
<file path=[Content_Types].xml><?xml version="1.0" encoding="utf-8"?>
<Types xmlns="http://schemas.openxmlformats.org/package/2006/content-types">
  <Default ContentType="application/vnd.openxmlformats-officedocument.spreadsheetml.sheet" Extension="xlsx"/>
  <Default ContentType="application/xml" Extension="xml"/>
  <Default ContentType="image/x-emf" Extension="em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pageBreakBefore w:val="0"/>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Joint Schedule 12 (Supply Chain Visibility)</w:t>
      </w:r>
    </w:p>
    <w:p w:rsidR="00000000" w:rsidDel="00000000" w:rsidP="00000000" w:rsidRDefault="00000000" w:rsidRPr="00000000" w14:paraId="0000000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hanging="43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1.1</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this Schedule, the following words shall have the following meanings and they shall supplement Joint Schedule 1 (Definitions):</w:t>
      </w:r>
    </w:p>
    <w:tbl>
      <w:tblPr>
        <w:tblStyle w:val="Table1"/>
        <w:tblW w:w="8198.0" w:type="dxa"/>
        <w:jc w:val="left"/>
        <w:tblInd w:w="52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342"/>
        <w:gridCol w:w="4856"/>
        <w:tblGridChange w:id="0">
          <w:tblGrid>
            <w:gridCol w:w="3342"/>
            <w:gridCol w:w="4856"/>
          </w:tblGrid>
        </w:tblGridChange>
      </w:tblGrid>
      <w:tr>
        <w:trPr>
          <w:cantSplit w:val="0"/>
          <w:trHeight w:val="20" w:hRule="atLeast"/>
          <w:tblHeader w:val="0"/>
        </w:trPr>
        <w:tc>
          <w:tcPr/>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tabs>
                <w:tab w:val="left" w:leader="none" w:pos="709"/>
                <w:tab w:val="left" w:leader="none" w:pos="1134"/>
              </w:tabs>
              <w:spacing w:after="120" w:before="12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"Contracts Finder"</w:t>
            </w:r>
          </w:p>
        </w:tc>
        <w:tc>
          <w:tcPr/>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tabs>
                <w:tab w:val="left" w:leader="none" w:pos="709"/>
                <w:tab w:val="left" w:leader="none" w:pos="1134"/>
              </w:tabs>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Government’s publishing portal for public sector procurement opportunities; </w:t>
            </w:r>
          </w:p>
        </w:tc>
      </w:tr>
      <w:tr>
        <w:trPr>
          <w:cantSplit w:val="0"/>
          <w:trHeight w:val="20" w:hRule="atLeast"/>
          <w:tblHeader w:val="0"/>
        </w:trPr>
        <w:tc>
          <w:tcPr/>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tabs>
                <w:tab w:val="left" w:leader="none" w:pos="709"/>
                <w:tab w:val="left" w:leader="none" w:pos="1134"/>
              </w:tabs>
              <w:spacing w:after="120" w:before="12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"SME"</w:t>
            </w:r>
          </w:p>
        </w:tc>
        <w:tc>
          <w:tcPr/>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tabs>
                <w:tab w:val="left" w:leader="none" w:pos="709"/>
                <w:tab w:val="left" w:leader="none" w:pos="1134"/>
              </w:tabs>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 enterprise falling within the category of micro, small and medium sized enterprises defined by the Commission Recommendation of 6 May 2003 concerning the definition of micro, small and medium sized enterprises; </w:t>
            </w:r>
          </w:p>
        </w:tc>
      </w:tr>
      <w:tr>
        <w:trPr>
          <w:cantSplit w:val="0"/>
          <w:trHeight w:val="20" w:hRule="atLeast"/>
          <w:tblHeader w:val="0"/>
        </w:trPr>
        <w:tc>
          <w:tcPr/>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tabs>
                <w:tab w:val="left" w:leader="none" w:pos="709"/>
                <w:tab w:val="left" w:leader="none" w:pos="1134"/>
              </w:tabs>
              <w:spacing w:after="120" w:before="12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“Supply Chain Information Report Template”</w:t>
            </w:r>
          </w:p>
        </w:tc>
        <w:tc>
          <w:tcPr/>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tabs>
                <w:tab w:val="left" w:leader="none" w:pos="709"/>
                <w:tab w:val="left" w:leader="none" w:pos="1134"/>
              </w:tabs>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document at Annex 1 of this Schedule 12; and</w:t>
            </w:r>
          </w:p>
        </w:tc>
      </w:tr>
      <w:tr>
        <w:trPr>
          <w:cantSplit w:val="0"/>
          <w:trHeight w:val="20" w:hRule="atLeast"/>
          <w:tblHeader w:val="0"/>
        </w:trPr>
        <w:tc>
          <w:tcPr/>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tabs>
                <w:tab w:val="left" w:leader="none" w:pos="709"/>
                <w:tab w:val="left" w:leader="none" w:pos="1134"/>
              </w:tabs>
              <w:spacing w:after="120" w:before="12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"VCSE"</w:t>
            </w:r>
          </w:p>
        </w:tc>
        <w:tc>
          <w:tcPr/>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tabs>
                <w:tab w:val="left" w:leader="none" w:pos="709"/>
                <w:tab w:val="left" w:leader="none" w:pos="1134"/>
              </w:tabs>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non-governmental organisation that is value-driven and which principally reinvests its surpluses to further social, environmental or cultural objectives.</w:t>
            </w:r>
          </w:p>
        </w:tc>
      </w:tr>
      <w:tr>
        <w:trPr>
          <w:cantSplit w:val="0"/>
          <w:trHeight w:val="20" w:hRule="atLeast"/>
          <w:tblHeader w:val="0"/>
        </w:trPr>
        <w:tc>
          <w:tcPr/>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tabs>
                <w:tab w:val="left" w:leader="none" w:pos="709"/>
                <w:tab w:val="left" w:leader="none" w:pos="1134"/>
              </w:tabs>
              <w:spacing w:after="120" w:before="12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tabs>
                <w:tab w:val="left" w:leader="none" w:pos="709"/>
                <w:tab w:val="left" w:leader="none" w:pos="1134"/>
              </w:tabs>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Visibility of Sub-Contract Opportunities in the Supply Chain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993" w:right="0" w:hanging="63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Supplier shall:</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subject to Paragraph 2.3, advertise on Contracts Finder all Sub-Contract opportunities arising from or in connection with the provision of the Deliverables above a minimum threshold of £25,000 that arise during the Contract Period;</w:t>
      </w:r>
    </w:p>
    <w:p w:rsidR="00000000" w:rsidDel="00000000" w:rsidP="00000000" w:rsidRDefault="00000000" w:rsidRPr="00000000" w14:paraId="00000016">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within 90 days of awarding a Sub-Contract to a Subcontractor, update the notice on Contract Finder with details of the successful Subcontractor; </w:t>
      </w:r>
    </w:p>
    <w:p w:rsidR="00000000" w:rsidDel="00000000" w:rsidP="00000000" w:rsidRDefault="00000000" w:rsidRPr="00000000" w14:paraId="00000017">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monitor the number, type and value of the Sub-Contract opportunities placed on Contracts Finder advertised and awarded in its supply chain during the Contract Period; </w:t>
      </w:r>
    </w:p>
    <w:p w:rsidR="00000000" w:rsidDel="00000000" w:rsidP="00000000" w:rsidRDefault="00000000" w:rsidRPr="00000000" w14:paraId="00000018">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 reports on the information at Paragraph 2.1.3 to the Relevant Authority in the format and frequency as reasonably specified by the Relevant Authority; and </w:t>
      </w:r>
    </w:p>
    <w:p w:rsidR="00000000" w:rsidDel="00000000" w:rsidP="00000000" w:rsidRDefault="00000000" w:rsidRPr="00000000" w14:paraId="00000019">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promote Contracts Finder to its suppliers and encourage those organisations to register on Contracts Finder.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993" w:right="0" w:hanging="63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Each advert referred to at Paragraph 2.1.1 of this Schedule 12 shall provide a full and detailed description of the Sub-Contract opportunity with each of the mandatory fields being completed on Contracts Finder by the Supplier.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3" w:right="0" w:hanging="63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993" w:right="0" w:hanging="63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obligation on the Supplier set out at Paragraph 2.1 shall only apply in respect of Sub-Contract opportunities arising after the Effective Date.</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3" w:right="0" w:hanging="63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993" w:right="0" w:hanging="63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Notwithstanding Paragraph 2.1, the Authority may by giving its prior Approval, agree that a Sub-Contract opportunity is not required to be advertised by the Supplier on Contracts Finder.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Visibility of Supply Chain Spend</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276" w:lineRule="auto"/>
        <w:ind w:left="993" w:right="0" w:hanging="567"/>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addition to any other management information requirements set out in the Contract, the Supplier agrees and acknowledges that it shall, at no charge, provide timely, full, accurate and complete SME management information reports (the “SME Management Information Reports”) to the Relevant Authority which incorporates the data described in the Supply Chain Information Report Template which is: </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total contract revenue received directly on the Contract;</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total value of sub-contracted revenues under the Contract (including revenues for non-SMEs/non-VCSEs); and</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total value of sub-contracted revenues to SMEs and VCSEs.</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993" w:right="0" w:hanging="63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SME Management Information Reports shall be provided by the Supplier in the correct format as required by the Supply Chain Information Report Template and any guidance issued by the Relevant Authority from time to time. The Supplier agrees that it shall use the Supply Chain Information Report Template to provide the information detailed at Paragraph 3.1(a) –(c) and acknowledges that the template may be changed from time to time (including the data required and/or format) by the Relevant Authority issuing a replacement version. The Relevant Authority agrees to give at least thirty (30) days’ notice in writing of any such change and shall specify the date from which it must be used.</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276" w:lineRule="auto"/>
        <w:ind w:left="993"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further agrees and acknowledges that it may not make any amendment to the Supply Chain Information Report Template without the prior Approval of the Authority.  </w:t>
      </w:r>
    </w:p>
    <w:p w:rsidR="00000000" w:rsidDel="00000000" w:rsidP="00000000" w:rsidRDefault="00000000" w:rsidRPr="00000000" w14:paraId="0000002C">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D">
      <w:pPr>
        <w:pageBreakBefore w:val="0"/>
        <w:ind w:left="3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Annex 1</w:t>
      </w:r>
    </w:p>
    <w:p w:rsidR="00000000" w:rsidDel="00000000" w:rsidP="00000000" w:rsidRDefault="00000000" w:rsidRPr="00000000" w14:paraId="0000002E">
      <w:pPr>
        <w:pageBreakBefore w:val="0"/>
        <w:ind w:left="3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Supply Chain Information Report template</w:t>
      </w:r>
    </w:p>
    <w:p w:rsidR="00000000" w:rsidDel="00000000" w:rsidP="00000000" w:rsidRDefault="00000000" w:rsidRPr="00000000" w14:paraId="0000002F">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0">
      <w:pPr>
        <w:pageBreakBefore w:val="0"/>
        <w:rPr/>
      </w:pPr>
      <w:r w:rsidDel="00000000" w:rsidR="00000000" w:rsidRPr="00000000">
        <w:rPr>
          <w:rtl w:val="0"/>
        </w:rPr>
      </w:r>
    </w:p>
    <w:p w:rsidR="00000000" w:rsidDel="00000000" w:rsidP="00000000" w:rsidRDefault="00000000" w:rsidRPr="00000000" w14:paraId="00000031">
      <w:pPr>
        <w:pageBreakBefore w:val="0"/>
        <w:rPr>
          <w:rFonts w:ascii="Arial" w:cs="Arial" w:eastAsia="Arial" w:hAnsi="Arial"/>
          <w:sz w:val="24"/>
          <w:szCs w:val="24"/>
        </w:rPr>
      </w:pPr>
      <w:r w:rsidDel="00000000" w:rsidR="00000000" w:rsidRPr="00000000">
        <w:rPr>
          <w:rFonts w:ascii="Arial" w:cs="Arial" w:eastAsia="Arial" w:hAnsi="Arial"/>
          <w:sz w:val="24"/>
          <w:szCs w:val="24"/>
        </w:rPr>
        <w:pict>
          <v:shape id="_x0000_i1029" style="width:116.8pt;height:56.8pt" o:ole="" type="#_x0000_t75">
            <v:imagedata r:id="rId1" o:title=""/>
          </v:shape>
          <o:OLEObject DrawAspect="Icon" r:id="rId2" ObjectID="_1467461564" ProgID="Excel.Sheet.12" ShapeID="_x0000_i1029" Type="Embed"/>
        </w:pict>
      </w:r>
      <w:r w:rsidDel="00000000" w:rsidR="00000000" w:rsidRPr="00000000">
        <w:rPr>
          <w:rtl w:val="0"/>
        </w:rPr>
      </w:r>
    </w:p>
    <w:p w:rsidR="00000000" w:rsidDel="00000000" w:rsidP="00000000" w:rsidRDefault="00000000" w:rsidRPr="00000000" w14:paraId="00000032">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3">
      <w:pPr>
        <w:pageBreakBefore w:val="0"/>
        <w:rPr>
          <w:rFonts w:ascii="Arial" w:cs="Arial" w:eastAsia="Arial" w:hAnsi="Arial"/>
          <w:sz w:val="24"/>
          <w:szCs w:val="24"/>
        </w:rPr>
      </w:pPr>
      <w:r w:rsidDel="00000000" w:rsidR="00000000" w:rsidRPr="00000000">
        <w:rPr>
          <w:rtl w:val="0"/>
        </w:rPr>
      </w:r>
    </w:p>
    <w:sectPr>
      <w:headerReference r:id="rId9" w:type="default"/>
      <w:footerReference r:id="rId10"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Framework Ref: RM6297 Print and Digit</w:t>
    </w:r>
    <w:r w:rsidDel="00000000" w:rsidR="00000000" w:rsidRPr="00000000">
      <w:rPr>
        <w:rFonts w:ascii="Arial" w:cs="Arial" w:eastAsia="Arial" w:hAnsi="Arial"/>
        <w:rtl w:val="0"/>
      </w:rPr>
      <w:t xml:space="preserve">al Communications</w:t>
    </w:r>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Project Version: 1.0</w:t>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Model Version 1.0</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Joint Schedule 12 (Supply Chain Visibility)</w:t>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Crown Copyright 20</w:t>
    </w:r>
    <w:r w:rsidDel="00000000" w:rsidR="00000000" w:rsidRPr="00000000">
      <w:rPr>
        <w:rFonts w:ascii="Arial" w:cs="Arial" w:eastAsia="Arial" w:hAnsi="Arial"/>
        <w:rtl w:val="0"/>
      </w:rPr>
      <w:t xml:space="preserve">23</w:t>
    </w:r>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2">
    <w:lvl w:ilvl="0">
      <w:start w:val="1"/>
      <w:numFmt w:val="decimal"/>
      <w:lvlText w:val="%1."/>
      <w:lvlJc w:val="left"/>
      <w:pPr>
        <w:ind w:left="720" w:hanging="360"/>
      </w:pPr>
      <w:rPr/>
    </w:lvl>
    <w:lvl w:ilvl="1">
      <w:start w:val="1"/>
      <w:numFmt w:val="decimal"/>
      <w:lvlText w:val="%1.%2"/>
      <w:lvlJc w:val="left"/>
      <w:pPr>
        <w:ind w:left="720" w:hanging="360"/>
      </w:pPr>
      <w:rPr/>
    </w:lvl>
    <w:lvl w:ilvl="2">
      <w:start w:val="1"/>
      <w:numFmt w:val="decimal"/>
      <w:lvlText w:val="%1.%2.%3"/>
      <w:lvlJc w:val="left"/>
      <w:pPr>
        <w:ind w:left="1080" w:hanging="720"/>
      </w:pPr>
      <w:rPr/>
    </w:lvl>
    <w:lvl w:ilvl="3">
      <w:start w:val="1"/>
      <w:numFmt w:val="decimal"/>
      <w:lvlText w:val="%1.%2.%3.%4"/>
      <w:lvlJc w:val="left"/>
      <w:pPr>
        <w:ind w:left="1440" w:hanging="1080"/>
      </w:pPr>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160" w:hanging="180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4305DC"/>
    <w:pPr>
      <w:ind w:left="720"/>
      <w:contextualSpacing w:val="1"/>
    </w:pPr>
  </w:style>
  <w:style w:type="paragraph" w:styleId="Sectionheading" w:customStyle="1">
    <w:name w:val="Section heading"/>
    <w:basedOn w:val="Normal"/>
    <w:rsid w:val="001B27C3"/>
    <w:pPr>
      <w:suppressAutoHyphens w:val="1"/>
      <w:spacing w:after="0" w:line="360" w:lineRule="auto"/>
      <w:jc w:val="both"/>
    </w:pPr>
    <w:rPr>
      <w:rFonts w:ascii="Times New Roman" w:cs="Times New Roman" w:eastAsia="Times New Roman" w:hAnsi="Times New Roman"/>
      <w:b w:val="1"/>
      <w:bCs w:val="1"/>
      <w:sz w:val="24"/>
      <w:szCs w:val="24"/>
      <w:u w:val="single"/>
    </w:rPr>
  </w:style>
  <w:style w:type="paragraph" w:styleId="Header">
    <w:name w:val="header"/>
    <w:basedOn w:val="Normal"/>
    <w:link w:val="HeaderChar"/>
    <w:uiPriority w:val="99"/>
    <w:unhideWhenUsed w:val="1"/>
    <w:rsid w:val="009D7CF0"/>
    <w:pPr>
      <w:tabs>
        <w:tab w:val="center" w:pos="4513"/>
        <w:tab w:val="right" w:pos="9026"/>
      </w:tabs>
      <w:spacing w:after="0" w:line="240" w:lineRule="auto"/>
    </w:pPr>
  </w:style>
  <w:style w:type="character" w:styleId="HeaderChar" w:customStyle="1">
    <w:name w:val="Header Char"/>
    <w:basedOn w:val="DefaultParagraphFont"/>
    <w:link w:val="Header"/>
    <w:uiPriority w:val="99"/>
    <w:rsid w:val="009D7CF0"/>
  </w:style>
  <w:style w:type="paragraph" w:styleId="Footer">
    <w:name w:val="footer"/>
    <w:basedOn w:val="Normal"/>
    <w:link w:val="FooterChar"/>
    <w:uiPriority w:val="99"/>
    <w:unhideWhenUsed w:val="1"/>
    <w:rsid w:val="009D7CF0"/>
    <w:pPr>
      <w:tabs>
        <w:tab w:val="center" w:pos="4513"/>
        <w:tab w:val="right" w:pos="9026"/>
      </w:tabs>
      <w:spacing w:after="0" w:line="240" w:lineRule="auto"/>
    </w:pPr>
  </w:style>
  <w:style w:type="character" w:styleId="FooterChar" w:customStyle="1">
    <w:name w:val="Footer Char"/>
    <w:basedOn w:val="DefaultParagraphFont"/>
    <w:link w:val="Footer"/>
    <w:uiPriority w:val="99"/>
    <w:rsid w:val="009D7CF0"/>
  </w:style>
  <w:style w:type="paragraph" w:styleId="GPSL2Numbered" w:customStyle="1">
    <w:name w:val="GPS L2 Numbered"/>
    <w:basedOn w:val="Normal"/>
    <w:link w:val="GPSL2NumberedChar"/>
    <w:qFormat w:val="1"/>
    <w:rsid w:val="0042661A"/>
    <w:pPr>
      <w:tabs>
        <w:tab w:val="left" w:pos="709"/>
        <w:tab w:val="left" w:pos="1134"/>
      </w:tabs>
      <w:adjustRightInd w:val="0"/>
      <w:spacing w:after="120" w:before="120" w:line="240" w:lineRule="auto"/>
      <w:ind w:hanging="360"/>
      <w:jc w:val="both"/>
    </w:pPr>
    <w:rPr>
      <w:rFonts w:ascii="Calibri" w:cs="Arial" w:eastAsia="Times New Roman" w:hAnsi="Calibri"/>
      <w:lang w:eastAsia="zh-CN"/>
    </w:rPr>
  </w:style>
  <w:style w:type="character" w:styleId="GPSL2NumberedChar" w:customStyle="1">
    <w:name w:val="GPS L2 Numbered Char"/>
    <w:link w:val="GPSL2Numbered"/>
    <w:locked w:val="1"/>
    <w:rsid w:val="0042661A"/>
    <w:rPr>
      <w:rFonts w:ascii="Calibri" w:cs="Arial" w:eastAsia="Times New Roman" w:hAnsi="Calibri"/>
      <w:lang w:eastAsia="zh-CN"/>
    </w:rPr>
  </w:style>
  <w:style w:type="table" w:styleId="TableGrid">
    <w:name w:val="Table Grid"/>
    <w:basedOn w:val="TableNormal"/>
    <w:uiPriority w:val="59"/>
    <w:rsid w:val="0042661A"/>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image" Target="media/image1.emf"/><Relationship Id="rId2" Type="http://schemas.openxmlformats.org/officeDocument/2006/relationships/package" Target="embeddings/Microsoft_Excel_Sheet1.xlsx"/><Relationship Id="rId3" Type="http://schemas.openxmlformats.org/officeDocument/2006/relationships/theme" Target="theme/theme1.xml"/><Relationship Id="rId4" Type="http://schemas.openxmlformats.org/officeDocument/2006/relationships/settings" Target="settings.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fontTable" Target="fontTable.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3"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3OcKO7vo4lWQKsZwZkdZJYszuA==">CgMxLjAyCGguZ2pkZ3hzOAByITE3VUdycktQRGtsR0J1aUZ4Z0hTTTk5OEJfWVJaYXVRSA==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2018-07-20T11:48:00Z</dcterms:created>
  <dc:creator>Nana Bowen</dc:creator>
</cp:coreProperties>
</file>