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7 (Financial Difficulties)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2" w:right="0" w:hanging="72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[Guidance: This Schedule provides CCS and the Buyer with the option of using Credit Ratings and/or Financial Indicators for the purposes of the Financial Distress Provisions. Buyers may use any combination of these indicators to suit their own requirements subject to the detailed guidance below.]</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4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definitions shall apply: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656.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04"/>
        <w:gridCol w:w="5952"/>
        <w:tblGridChange w:id="0">
          <w:tblGrid>
            <w:gridCol w:w="2704"/>
            <w:gridCol w:w="5952"/>
          </w:tblGrid>
        </w:tblGridChange>
      </w:tblGrid>
      <w:tr>
        <w:trPr>
          <w:cantSplit w:val="0"/>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“Applicable Financial Indicators”</w:t>
            </w:r>
          </w:p>
        </w:tc>
        <w:tc>
          <w:tcPr/>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92.125984251968" w:right="0" w:hanging="708.6614173228338"/>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financial indicators from Paragraph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this Schedule which are to apply to the Monitored Suppliers as set out in Paragraph 5.2 of this Schedule;</w:t>
            </w:r>
            <w:r w:rsidDel="00000000" w:rsidR="00000000" w:rsidRPr="00000000">
              <w:rPr>
                <w:rtl w:val="0"/>
              </w:rPr>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Supplier’s board of directors;</w:t>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 Confirmation”</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written confirmation from the Board in accordance with Paragraph 8 of this Schedule;</w:t>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“Cabinet Office Markets and Suppliers Team”</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Threshold”</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minimum credit rating level for each entity in the FDE Group as set out in Annex 1 to this Schedule;</w:t>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“FDE Group”</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[Supplier, Key Sub-contractors, [the Guarantor] and the [Monitored Suppliers]];</w:t>
            </w: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Event”</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events listed in Paragraph 3.1 of this Schedule;</w:t>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Distress Remediation Plan”</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setting out how the Supplier will ensure the continued performance and delivery of the Deliverables in accordance with the Contract in the event that a Financial Distress Event occurs;</w:t>
            </w:r>
          </w:p>
        </w:tc>
      </w:tr>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y6vkm"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Indicators”</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Supplier, Key Sub-contractors and the Guarantor, means each of the financial indicators set out at paragraph 5.1 of this Schedule and in respect of each Monitored Supplier, means those Applicable Financial Indicators;</w:t>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Target Thresholds”</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target thresholds for each of the Financial Indicators set out at paragraph 5.1 of this Schedule;</w:t>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Suppliers”</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those entities specified at paragraph 5.2 of this Schedule;</w:t>
            </w:r>
          </w:p>
        </w:tc>
      </w:tr>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“Rating Agencies”</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rating agencies listed in Annex 1 of this Schedule;</w:t>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5"/>
              </w:tabs>
              <w:spacing w:after="120" w:before="120" w:line="240" w:lineRule="auto"/>
              <w:ind w:left="850.3937007874017" w:right="0" w:hanging="992.125984251968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“Strategic Supplier”</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92.125984251968" w:right="0" w:hanging="708.66141732283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those suppliers to government listed at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https://www.gov.uk/government/publications/strategic-suppliers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comply with the provisions of this Schedule in relation to the assessment of the financial standing of the FDE Group and the consequences of a change to that financial standing.</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terms of this Schedule shall survive: </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Call-Off Contract until the termination or expiry of the Call-Off Contract.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1004"/>
        <w:jc w:val="left"/>
        <w:rPr>
          <w:rFonts w:ascii="Arial Bold" w:cs="Arial Bold" w:eastAsia="Arial Bold" w:hAnsi="Arial Bol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Warranties and duty to notify</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and represents to the Relevant Authority for the benefit of the Relevant Authority that as at the Effective Date:</w:t>
      </w:r>
    </w:p>
    <w:p w:rsidR="00000000" w:rsidDel="00000000" w:rsidP="00000000" w:rsidRDefault="00000000" w:rsidRPr="00000000" w14:paraId="0000002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long term credit ratings issued for each entity in the FDE Group by each of the Rating Agencies are as set out in Annex 2 to this Schedule; and</w:t>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financial position or, as appropriate, the financial performance of each of the Supplier, Guarantor and Key Sub-contractors satisfies the Financial Target Thresholds.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monitor the credit ratings of each entity in the FDE Group with the Rating Agencies;</w:t>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report submitted by the Supplier pursuant to paragraph 2.3.2 shall:</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single report with separate sections for each of the FDE Group entities;</w:t>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contain a sufficient level of information to enable the Relevant Authority to verify the calculations that have been made in respect of the Financial Indicators;</w:t>
      </w:r>
    </w:p>
    <w:p w:rsidR="00000000" w:rsidDel="00000000" w:rsidP="00000000" w:rsidRDefault="00000000" w:rsidRPr="00000000" w14:paraId="0000003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key financial and other supporting information (including any accounts data that has been relied on) as separate annexes;</w:t>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000000" w:rsidDel="00000000" w:rsidP="00000000" w:rsidRDefault="00000000" w:rsidRPr="00000000" w14:paraId="0000003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history of the Financial Indicators reported by the Supplier in graph form to enable the Relevant Authority to easily analyse and assess the trends in financial performance.</w:t>
      </w:r>
    </w:p>
    <w:p w:rsidR="00000000" w:rsidDel="00000000" w:rsidP="00000000" w:rsidRDefault="00000000" w:rsidRPr="00000000" w14:paraId="0000003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Financial Distress events</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shall be Financial Distress Events:</w:t>
      </w:r>
    </w:p>
    <w:p w:rsidR="00000000" w:rsidDel="00000000" w:rsidP="00000000" w:rsidRDefault="00000000" w:rsidRPr="00000000" w14:paraId="0000003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credit rating of an FDE Group entity dropping below the applicable Credit Rating Threshold;</w:t>
      </w:r>
    </w:p>
    <w:p w:rsidR="00000000" w:rsidDel="00000000" w:rsidP="00000000" w:rsidRDefault="00000000" w:rsidRPr="00000000" w14:paraId="0000003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issuing a profits warning to a stock exchange or making any other public announcement, in each case about a material deterioration in its financial position or prospects;</w:t>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being a public investigation into improper financial accounting and reporting, suspected fraud or any other impropriety of an FDE Group entity;</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FDE Group entity committing a material breach of covenant to its lenders;</w:t>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Key Sub-contractor notifying CCS or the Buyer that the Supplier has not satisfied any material sums properly due under a specified invoice and not subject to a genuine dispute;</w:t>
      </w:r>
    </w:p>
    <w:p w:rsidR="00000000" w:rsidDel="00000000" w:rsidP="00000000" w:rsidRDefault="00000000" w:rsidRPr="00000000" w14:paraId="0000004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w:t>
      </w:r>
    </w:p>
    <w:p w:rsidR="00000000" w:rsidDel="00000000" w:rsidP="00000000" w:rsidRDefault="00000000" w:rsidRPr="00000000" w14:paraId="0000004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commencement of any litigation against an FDE Group entity with respect to financial indebtedness greater than £5m or obligations under a service contract with a total contract value greater than £5m; </w:t>
      </w:r>
    </w:p>
    <w:p w:rsidR="00000000" w:rsidDel="00000000" w:rsidP="00000000" w:rsidRDefault="00000000" w:rsidRPr="00000000" w14:paraId="0000004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non-payment by an FDE Group entity of any financial indebtedness;</w:t>
      </w:r>
    </w:p>
    <w:p w:rsidR="00000000" w:rsidDel="00000000" w:rsidP="00000000" w:rsidRDefault="00000000" w:rsidRPr="00000000" w14:paraId="0000004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financial indebtedness of an FDE Group entity becoming due as a result of an event of default;</w:t>
      </w:r>
    </w:p>
    <w:p w:rsidR="00000000" w:rsidDel="00000000" w:rsidP="00000000" w:rsidRDefault="00000000" w:rsidRPr="00000000" w14:paraId="0000004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cancellation or suspension of any financial indebtedness in respect of an FDE Group entity; or</w:t>
      </w:r>
    </w:p>
    <w:p w:rsidR="00000000" w:rsidDel="00000000" w:rsidP="00000000" w:rsidRDefault="00000000" w:rsidRPr="00000000" w14:paraId="0000004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external auditor of an FDE Group entity expressing a qualified opinion on, or including an emphasis of matter in, its opinion on the statutory accounts of that FDE entity;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6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case which the Relevant Authority reasonably believes (or would be likely reasonably to believe) could directly impact on the continued performance and delivery of the Deliverables in accordance with the Contract; and</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[one] of the Financial Indicators set out at Paragraph 5 for any of the FDE Group entities failing to meet the required Financial Target Threshold.</w:t>
      </w:r>
      <w:r w:rsidDel="00000000" w:rsidR="00000000" w:rsidRPr="00000000">
        <w:rPr>
          <w:rtl w:val="0"/>
        </w:rPr>
      </w:r>
    </w:p>
    <w:p w:rsidR="00000000" w:rsidDel="00000000" w:rsidP="00000000" w:rsidRDefault="00000000" w:rsidRPr="00000000" w14:paraId="0000004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0"/>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Consequences</w:t>
      </w: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 of Financial Distress Events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 late or non-payment of a Key Sub-contractor pursuant to Paragraph 3.1.5, the Relevant Authority shall not exercise any of its rights or remedies under Paragraph 4.3 without first giving the Supplier 10 Working Days to:</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rectify such late or non-payment; or</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to the Relevant Authority’s reasonable satisfaction that there is a valid reason for late or non-payment.</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(and shall procure that any Monitored Supplier, the Guarantor and/or any relevant Key Sub-contractor shall):</w:t>
      </w:r>
    </w:p>
    <w:p w:rsidR="00000000" w:rsidDel="00000000" w:rsidP="00000000" w:rsidRDefault="00000000" w:rsidRPr="00000000" w14:paraId="000000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000000" w:rsidDel="00000000" w:rsidP="00000000" w:rsidRDefault="00000000" w:rsidRPr="00000000" w14:paraId="000000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rsidR="00000000" w:rsidDel="00000000" w:rsidP="00000000" w:rsidRDefault="00000000" w:rsidRPr="00000000" w14:paraId="0000005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000000" w:rsidDel="00000000" w:rsidP="00000000" w:rsidRDefault="00000000" w:rsidRPr="00000000" w14:paraId="0000005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the Financial Distress Remediation Plan by the Relevant Authority, the Supplier shall:</w:t>
      </w:r>
    </w:p>
    <w:p w:rsidR="00000000" w:rsidDel="00000000" w:rsidP="00000000" w:rsidRDefault="00000000" w:rsidRPr="00000000" w14:paraId="000000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regular basis (which shall not be less than fortnightly):</w:t>
      </w:r>
    </w:p>
    <w:p w:rsidR="00000000" w:rsidDel="00000000" w:rsidP="00000000" w:rsidRDefault="00000000" w:rsidRPr="00000000" w14:paraId="0000005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rsidR="00000000" w:rsidDel="00000000" w:rsidP="00000000" w:rsidRDefault="00000000" w:rsidRPr="00000000" w14:paraId="0000005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3402" w:right="0" w:hanging="9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000000" w:rsidDel="00000000" w:rsidP="00000000" w:rsidRDefault="00000000" w:rsidRPr="00000000" w14:paraId="0000005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000000" w:rsidDel="00000000" w:rsidP="00000000" w:rsidRDefault="00000000" w:rsidRPr="00000000" w14:paraId="0000005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Financial Distress Remediation Plan (including any updated Financial Distress Remediation Plan) and ensure that it achieves the financial and performance requirements set out in the Financial Distress Remediation Plan.</w:t>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000000" w:rsidDel="00000000" w:rsidP="00000000" w:rsidRDefault="00000000" w:rsidRPr="00000000" w14:paraId="0000005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obtaining in advance written authority from Key Sub-contractors, the Guarantor and/or Monitored Suppliers authorising the disclosure of the information to the Buyer and/or entering into confidentiality agreements which permit disclosure;</w:t>
      </w:r>
    </w:p>
    <w:p w:rsidR="00000000" w:rsidDel="00000000" w:rsidP="00000000" w:rsidRDefault="00000000" w:rsidRPr="00000000" w14:paraId="0000005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agreeing in advance with the Relevant Authority, Key Sub-contractors, the Guarantor and/or Monitored Suppliers a form of confidentiality agreement to be entered by the relevant parties to enable the disclosure of the information to the Relevant Authority;</w:t>
      </w:r>
    </w:p>
    <w:p w:rsidR="00000000" w:rsidDel="00000000" w:rsidP="00000000" w:rsidRDefault="00000000" w:rsidRPr="00000000" w14:paraId="0000006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000000" w:rsidDel="00000000" w:rsidP="00000000" w:rsidRDefault="00000000" w:rsidRPr="00000000" w14:paraId="0000006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disclosing the information to the fullest extent that it is lawfully entitled to do so, including through the use of redaction, anonymisation and any other techniques to permit disclosure of the information without breaching a duty of confidentiality.</w:t>
      </w:r>
    </w:p>
    <w:p w:rsidR="00000000" w:rsidDel="00000000" w:rsidP="00000000" w:rsidRDefault="00000000" w:rsidRPr="00000000" w14:paraId="0000006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Financial Indicators</w:t>
      </w:r>
      <w:r w:rsidDel="00000000" w:rsidR="00000000" w:rsidRPr="00000000">
        <w:rPr>
          <w:rtl w:val="0"/>
        </w:rPr>
      </w:r>
    </w:p>
    <w:p w:rsidR="00000000" w:rsidDel="00000000" w:rsidP="00000000" w:rsidRDefault="00000000" w:rsidRPr="00000000" w14:paraId="00000063">
      <w:pPr>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highlight w:val="yellow"/>
          <w:rtl w:val="0"/>
        </w:rPr>
        <w:t xml:space="preserve">: The Financial Indicators set out in the table at paragraph 5.1 are  established at Framework level to satisfy Cabinet Office Contract Tiering Tool requirements. For the purposes of your call off activity you may check that the original assessment of the indicators remains valid, but you may not re-run those assessments. You may also opt to ask the Supplier to monitor themselves according to some, rather than all, of the indicators in accordance with your internal procedures but you should not introduce new indicators or amend those set out below. Please take your own legal advice if you are uncertain how to proceed.  ]</w:t>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3"/>
        <w:gridCol w:w="1977"/>
        <w:gridCol w:w="1697"/>
        <w:gridCol w:w="3089"/>
        <w:tblGridChange w:id="0">
          <w:tblGrid>
            <w:gridCol w:w="2253"/>
            <w:gridCol w:w="1977"/>
            <w:gridCol w:w="1697"/>
            <w:gridCol w:w="3089"/>
          </w:tblGrid>
        </w:tblGridChange>
      </w:tblGrid>
      <w:tr>
        <w:trPr>
          <w:cantSplit w:val="0"/>
          <w:tblHeader w:val="0"/>
        </w:trPr>
        <w:tc>
          <w:tcPr>
            <w:shd w:fill="d9d9d9"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w:t>
            </w:r>
          </w:p>
        </w:tc>
        <w:tc>
          <w:tcPr>
            <w:shd w:fill="d9d9d9"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Calculation</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1</w:t>
            </w:r>
            <w:r w:rsidDel="00000000" w:rsidR="00000000" w:rsidRPr="00000000">
              <w:rPr>
                <w:rtl w:val="0"/>
              </w:rPr>
            </w:r>
          </w:p>
        </w:tc>
        <w:tc>
          <w:tcPr>
            <w:shd w:fill="d9d9d9"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Target Threshold:</w:t>
            </w:r>
          </w:p>
        </w:tc>
        <w:tc>
          <w:tcPr>
            <w:shd w:fill="d9d9d9"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1"/>
                <w:i w:val="0"/>
                <w:smallCaps w:val="0"/>
                <w:strike w:val="0"/>
                <w:color w:val="000000"/>
                <w:sz w:val="24"/>
                <w:szCs w:val="24"/>
                <w:u w:val="none"/>
                <w:vertAlign w:val="baseline"/>
              </w:rPr>
            </w:pPr>
            <w:bookmarkStart w:colFirst="0" w:colLast="0" w:name="_heading=h.1ci93xb"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 and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Reporting Frequency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[if different from the default position set out in Paragraph 2.3.2)]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1</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[Operating Margin]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tc>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[Operating Margin = Operating Profit / Revenue]</w:t>
            </w:r>
            <w:r w:rsidDel="00000000" w:rsidR="00000000" w:rsidRPr="00000000">
              <w:rPr>
                <w:rtl w:val="0"/>
              </w:rPr>
            </w:r>
          </w:p>
        </w:tc>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[&gt; [</w:t>
            </w:r>
            <w:r w:rsidDel="00000000" w:rsidR="00000000" w:rsidRPr="00000000">
              <w:rPr>
                <w:rFonts w:ascii="Arial" w:cs="Arial" w:eastAsia="Arial" w:hAnsi="Arial"/>
                <w:i w:val="1"/>
                <w:sz w:val="24"/>
                <w:szCs w:val="24"/>
                <w:rtl w:val="0"/>
              </w:rPr>
              <w:t xml:space="preserve">3</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w:t>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yearly</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in arrears within</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90</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based upon figures for the 12 months ending on the relevant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2</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Net Debt to EBITDA Ratio]</w:t>
            </w:r>
            <w:r w:rsidDel="00000000" w:rsidR="00000000" w:rsidRPr="00000000">
              <w:rPr>
                <w:rtl w:val="0"/>
              </w:rPr>
            </w:r>
          </w:p>
        </w:tc>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7030a0"/>
                <w:sz w:val="24"/>
                <w:szCs w:val="24"/>
                <w:u w:val="non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[Net Debt to EBITDA ratio = Net Debt / EBITDA]</w:t>
            </w:r>
            <w:r w:rsidDel="00000000" w:rsidR="00000000" w:rsidRPr="00000000">
              <w:rPr>
                <w:rtl w:val="0"/>
              </w:rPr>
            </w:r>
          </w:p>
        </w:tc>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[&lt; [</w:t>
            </w:r>
            <w:r w:rsidDel="00000000" w:rsidR="00000000" w:rsidRPr="00000000">
              <w:rPr>
                <w:rFonts w:ascii="Arial" w:cs="Arial" w:eastAsia="Arial" w:hAnsi="Arial"/>
                <w:i w:val="1"/>
                <w:sz w:val="24"/>
                <w:szCs w:val="24"/>
                <w:rtl w:val="0"/>
              </w:rPr>
              <w:t xml:space="preserve">3.5</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times</w:t>
            </w:r>
          </w:p>
        </w:tc>
        <w:tc>
          <w:tcP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yearly</w:t>
            </w:r>
            <w:r w:rsidDel="00000000" w:rsidR="00000000" w:rsidRPr="00000000">
              <w:rPr>
                <w:rFonts w:ascii="Arial" w:cs="Arial" w:eastAsia="Arial" w:hAnsi="Arial"/>
                <w:b w:val="0"/>
                <w:i w:val="1"/>
                <w:smallCaps w:val="0"/>
                <w:strike w:val="0"/>
                <w:color w:val="7030a0"/>
                <w:sz w:val="24"/>
                <w:szCs w:val="24"/>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90</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based upon</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Net Debt at, the relevant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3</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[Net Debt + Net Pension Deficit to EBITDA ratio]</w:t>
            </w:r>
            <w:r w:rsidDel="00000000" w:rsidR="00000000" w:rsidRPr="00000000">
              <w:rPr>
                <w:rtl w:val="0"/>
              </w:rPr>
            </w:r>
          </w:p>
        </w:tc>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[Net Debt + Net Pension Deficit to EBITDA Ratio = (Net Debt + Net Pension Deficit) / EBITDA]</w:t>
            </w:r>
            <w:r w:rsidDel="00000000" w:rsidR="00000000" w:rsidRPr="00000000">
              <w:rPr>
                <w:rtl w:val="0"/>
              </w:rPr>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[&lt; [</w:t>
            </w:r>
            <w:r w:rsidDel="00000000" w:rsidR="00000000" w:rsidRPr="00000000">
              <w:rPr>
                <w:rFonts w:ascii="Arial" w:cs="Arial" w:eastAsia="Arial" w:hAnsi="Arial"/>
                <w:i w:val="1"/>
                <w:sz w:val="24"/>
                <w:szCs w:val="24"/>
                <w:rtl w:val="0"/>
              </w:rPr>
              <w:t xml:space="preserve">5</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times</w:t>
            </w:r>
          </w:p>
        </w:tc>
        <w:tc>
          <w:tcP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Tested and reported yearly in arrears within </w:t>
            </w:r>
            <w:r w:rsidDel="00000000" w:rsidR="00000000" w:rsidRPr="00000000">
              <w:rPr>
                <w:rFonts w:ascii="Arial" w:cs="Arial" w:eastAsia="Arial" w:hAnsi="Arial"/>
                <w:b w:val="0"/>
                <w:i w:val="1"/>
                <w:smallCaps w:val="0"/>
                <w:strike w:val="0"/>
                <w:sz w:val="24"/>
                <w:szCs w:val="24"/>
                <w:u w:val="none"/>
                <w:vertAlign w:val="baseline"/>
                <w:rtl w:val="0"/>
              </w:rPr>
              <w:t xml:space="preserve">90</w:t>
            </w:r>
            <w:r w:rsidDel="00000000" w:rsidR="00000000" w:rsidRPr="00000000">
              <w:rPr>
                <w:rFonts w:ascii="Arial" w:cs="Arial" w:eastAsia="Arial" w:hAnsi="Arial"/>
                <w:b w:val="0"/>
                <w:i w:val="1"/>
                <w:smallCaps w:val="0"/>
                <w:strike w:val="0"/>
                <w:color w:val="f79646"/>
                <w:sz w:val="24"/>
                <w:szCs w:val="24"/>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days of each accounting reference date based upon EBITDA for the 12 months ending on, and the Net Debt and Net Pension Deficit at, the relevant accounting reference date</w:t>
            </w:r>
          </w:p>
        </w:tc>
      </w:tr>
      <w:tr>
        <w:trPr>
          <w:cantSplit w:val="0"/>
          <w:tblHeader w:val="0"/>
        </w:trPr>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4</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[Net Interest Paid Cover]</w:t>
            </w:r>
            <w:r w:rsidDel="00000000" w:rsidR="00000000" w:rsidRPr="00000000">
              <w:rPr>
                <w:rtl w:val="0"/>
              </w:rPr>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[Net Interest Paid Cover = Earnings Before Interest and Tax / Net Interest Paid]</w:t>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[&gt; [</w:t>
            </w:r>
            <w:r w:rsidDel="00000000" w:rsidR="00000000" w:rsidRPr="00000000">
              <w:rPr>
                <w:rFonts w:ascii="Arial" w:cs="Arial" w:eastAsia="Arial" w:hAnsi="Arial"/>
                <w:i w:val="1"/>
                <w:sz w:val="24"/>
                <w:szCs w:val="24"/>
                <w:rtl w:val="0"/>
              </w:rPr>
              <w:t xml:space="preserve">3</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times</w:t>
            </w:r>
          </w:p>
        </w:tc>
        <w:tc>
          <w:tcP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yearly</w:t>
            </w:r>
            <w:r w:rsidDel="00000000" w:rsidR="00000000" w:rsidRPr="00000000">
              <w:rPr>
                <w:rFonts w:ascii="Arial" w:cs="Arial" w:eastAsia="Arial" w:hAnsi="Arial"/>
                <w:b w:val="0"/>
                <w:i w:val="1"/>
                <w:smallCaps w:val="0"/>
                <w:strike w:val="0"/>
                <w:color w:val="8064a2"/>
                <w:sz w:val="24"/>
                <w:szCs w:val="24"/>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90</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days of each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based upon figures for the 12 months ending on the relevant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5</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[Acid Ratio]</w:t>
            </w:r>
            <w:r w:rsidDel="00000000" w:rsidR="00000000" w:rsidRPr="00000000">
              <w:rPr>
                <w:rtl w:val="0"/>
              </w:rPr>
            </w:r>
          </w:p>
        </w:tc>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[Acid Ratio = (Current Assets – Inventories) / Current Liabilities]</w:t>
            </w:r>
            <w:r w:rsidDel="00000000" w:rsidR="00000000" w:rsidRPr="00000000">
              <w:rPr>
                <w:rtl w:val="0"/>
              </w:rPr>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[&gt; [</w:t>
            </w:r>
            <w:r w:rsidDel="00000000" w:rsidR="00000000" w:rsidRPr="00000000">
              <w:rPr>
                <w:rFonts w:ascii="Arial" w:cs="Arial" w:eastAsia="Arial" w:hAnsi="Arial"/>
                <w:i w:val="1"/>
                <w:sz w:val="24"/>
                <w:szCs w:val="24"/>
                <w:rtl w:val="0"/>
              </w:rPr>
              <w:t xml:space="preserve">1</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times</w:t>
            </w:r>
          </w:p>
        </w:tc>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yearly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days of each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based upon figures at the relevant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6</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[Net Asset value]</w:t>
            </w:r>
            <w:r w:rsidDel="00000000" w:rsidR="00000000" w:rsidRPr="00000000">
              <w:rPr>
                <w:rtl w:val="0"/>
              </w:rPr>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[Net Asset Value = Net Assets]</w:t>
            </w:r>
            <w:r w:rsidDel="00000000" w:rsidR="00000000" w:rsidRPr="00000000">
              <w:rPr>
                <w:rtl w:val="0"/>
              </w:rPr>
            </w:r>
          </w:p>
        </w:tc>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[&gt; £0]</w:t>
            </w:r>
            <w:r w:rsidDel="00000000" w:rsidR="00000000" w:rsidRPr="00000000">
              <w:rPr>
                <w:rtl w:val="0"/>
              </w:rPr>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Tested and reported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yearly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in arrears within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90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days of each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based upon figures at the relevant </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accounting reference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7</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[Group Exposure Ratio]</w:t>
            </w:r>
            <w:r w:rsidDel="00000000" w:rsidR="00000000" w:rsidRPr="00000000">
              <w:rPr>
                <w:rtl w:val="0"/>
              </w:rPr>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[Group Exposure / Gross Assets]</w:t>
            </w:r>
            <w:r w:rsidDel="00000000" w:rsidR="00000000" w:rsidRPr="00000000">
              <w:rPr>
                <w:rtl w:val="0"/>
              </w:rPr>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[&lt; [</w:t>
            </w:r>
            <w:r w:rsidDel="00000000" w:rsidR="00000000" w:rsidRPr="00000000">
              <w:rPr>
                <w:rFonts w:ascii="Arial" w:cs="Arial" w:eastAsia="Arial" w:hAnsi="Arial"/>
                <w:i w:val="1"/>
                <w:sz w:val="24"/>
                <w:szCs w:val="24"/>
                <w:rtl w:val="0"/>
              </w:rPr>
              <w:t xml:space="preserve">50</w:t>
            </w:r>
            <w:r w:rsidDel="00000000" w:rsidR="00000000" w:rsidRPr="00000000">
              <w:rPr>
                <w:rFonts w:ascii="Arial" w:cs="Arial" w:eastAsia="Arial" w:hAnsi="Arial"/>
                <w:b w:val="0"/>
                <w:i w:val="1"/>
                <w:smallCaps w:val="0"/>
                <w:strike w:val="0"/>
                <w:color w:val="000000"/>
                <w:sz w:val="24"/>
                <w:szCs w:val="24"/>
                <w:u w:val="none"/>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Tested and reported yearly in arrears within 90 days of each accounting reference date based upon figures at the relevant accounting reference date</w:t>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 1 – see Annex 3 to this Schedule which sets out the calculation methodology to be used in the calculation of each financial indicator.</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Monitored Suppliers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r w:rsidDel="00000000" w:rsidR="00000000" w:rsidRPr="00000000">
        <w:rPr>
          <w:rtl w:val="0"/>
        </w:rPr>
      </w:r>
    </w:p>
    <w:tbl>
      <w:tblPr>
        <w:tblStyle w:val="Table3"/>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3"/>
        <w:gridCol w:w="4223"/>
        <w:tblGridChange w:id="0">
          <w:tblGrid>
            <w:gridCol w:w="4073"/>
            <w:gridCol w:w="4223"/>
          </w:tblGrid>
        </w:tblGridChange>
      </w:tblGrid>
      <w:tr>
        <w:trPr>
          <w:cantSplit w:val="0"/>
          <w:tblHeader w:val="0"/>
        </w:trPr>
        <w:tc>
          <w:tcPr>
            <w:shd w:fill="d9d9d9"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Monitored Supplier</w:t>
            </w:r>
          </w:p>
        </w:tc>
        <w:tc>
          <w:tcPr>
            <w:shd w:fill="d9d9d9"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Applicable Financial Indicators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are the Financial Indicators from the table in Paragraph 5.1 which are to apply to the Monitored Suppliers)</w:t>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1 e.g Group Member, Sub-contractor, Relevant Parent Company etc.] </w:t>
            </w: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r w:rsidDel="00000000" w:rsidR="00000000" w:rsidRPr="00000000">
              <w:rPr>
                <w:rtl w:val="0"/>
              </w:rPr>
            </w:r>
          </w:p>
        </w:tc>
      </w:tr>
      <w:tr>
        <w:trPr>
          <w:cantSplit w:val="0"/>
          <w:tblHeader w:val="0"/>
        </w:trPr>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[Entity 2 e.g Group Member, Sub-contractor, Relevant Parent Company etc.]</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 – Operating Margin]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 – etc.]</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[3][4][5][6][7][8][etc..]</w:t>
            </w:r>
          </w:p>
        </w:tc>
      </w:tr>
      <w:tr>
        <w:trPr>
          <w:cantSplit w:val="0"/>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[etc.]</w:t>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100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Termination rights</w:t>
      </w:r>
    </w:p>
    <w:p w:rsidR="00000000" w:rsidDel="00000000" w:rsidP="00000000" w:rsidRDefault="00000000" w:rsidRPr="00000000" w14:paraId="000000A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be entitled to terminate the Contract if:</w:t>
      </w:r>
    </w:p>
    <w:p w:rsidR="00000000" w:rsidDel="00000000" w:rsidP="00000000" w:rsidRDefault="00000000" w:rsidRPr="00000000" w14:paraId="000000A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notify the Relevant Authority of a Financial Distress Event in accordance with Paragraph 2.3.3;</w:t>
      </w:r>
    </w:p>
    <w:p w:rsidR="00000000" w:rsidDel="00000000" w:rsidP="00000000" w:rsidRDefault="00000000" w:rsidRPr="00000000" w14:paraId="000000A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fail to agree a Financial Distress Remediation Plan (or any updated Financial Distress Remediation Plan) in accordance with Paragraphs 4.3 to 4.5; and/or</w:t>
      </w:r>
    </w:p>
    <w:p w:rsidR="00000000" w:rsidDel="00000000" w:rsidP="00000000" w:rsidRDefault="00000000" w:rsidRPr="00000000" w14:paraId="000000A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the terms of the Financial Distress Remediation Plan (or any updated Financial Distress Remediation Plan) in accordance with Paragraph 4.6.3,</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A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Primacy of Credit Ratings</w:t>
      </w:r>
    </w:p>
    <w:p w:rsidR="00000000" w:rsidDel="00000000" w:rsidP="00000000" w:rsidRDefault="00000000" w:rsidRPr="00000000" w14:paraId="000000A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000000" w:rsidDel="00000000" w:rsidP="00000000" w:rsidRDefault="00000000" w:rsidRPr="00000000" w14:paraId="000000A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relieved automatically of its obligations under Paragraphs 4.3 to 4.6; and</w:t>
      </w:r>
    </w:p>
    <w:p w:rsidR="00000000" w:rsidDel="00000000" w:rsidP="00000000" w:rsidRDefault="00000000" w:rsidRPr="00000000" w14:paraId="000000A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shall not be entitled to require the Supplier to provide financial information in accordance with Paragraph 4.3.2(b).</w:t>
      </w:r>
    </w:p>
    <w:p w:rsidR="00000000" w:rsidDel="00000000" w:rsidP="00000000" w:rsidRDefault="00000000" w:rsidRPr="00000000" w14:paraId="000000A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Board confirmation</w:t>
      </w:r>
    </w:p>
    <w:p w:rsidR="00000000" w:rsidDel="00000000" w:rsidP="00000000" w:rsidRDefault="00000000" w:rsidRPr="00000000" w14:paraId="000000A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If the Contract has been specified as a Critical Service Contract under Paragraph 1.1 of Call-Off Schedule 24 (Corporate Resolution Planning)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000000" w:rsidDel="00000000" w:rsidP="00000000" w:rsidRDefault="00000000" w:rsidRPr="00000000" w14:paraId="000000A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Effective Date or the previous Board Confirmation or is subsisting; or</w:t>
      </w:r>
    </w:p>
    <w:p w:rsidR="00000000" w:rsidDel="00000000" w:rsidP="00000000" w:rsidRDefault="00000000" w:rsidRPr="00000000" w14:paraId="000000A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p>
    <w:p w:rsidR="00000000" w:rsidDel="00000000" w:rsidP="00000000" w:rsidRDefault="00000000" w:rsidRPr="00000000" w14:paraId="000000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in its preparation of the Board Confirmation it exercises due care and diligence and has made reasonable enquiry of all relevant Supplier Staff and other persons as is reasonably necessary to understand and confirm the position.</w:t>
      </w:r>
    </w:p>
    <w:p w:rsidR="00000000" w:rsidDel="00000000" w:rsidP="00000000" w:rsidRDefault="00000000" w:rsidRPr="00000000" w14:paraId="000000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the first Board Confirmation to be provided under this Contract, the Supplier shall provide the Board Confirmation within 15 months of the Effective Date if earlier than the timescale for submission set out in Paragraph 8.1 of this Schedule.</w:t>
      </w:r>
    </w:p>
    <w:p w:rsidR="00000000" w:rsidDel="00000000" w:rsidP="00000000" w:rsidRDefault="00000000" w:rsidRPr="00000000" w14:paraId="000000B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spacing w:after="200" w:line="276" w:lineRule="auto"/>
        <w:jc w:val="left"/>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 Rating Agencies and their standard Rating System</w:t>
      </w:r>
    </w:p>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Dunn &amp; Bradstreet</w:t>
      </w:r>
      <w:r w:rsidDel="00000000" w:rsidR="00000000" w:rsidRPr="00000000">
        <w:rPr>
          <w:rtl w:val="0"/>
        </w:rPr>
      </w:r>
    </w:p>
    <w:p w:rsidR="00000000" w:rsidDel="00000000" w:rsidP="00000000" w:rsidRDefault="00000000" w:rsidRPr="00000000" w14:paraId="000000B4">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both"/>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2bn6wsx" w:id="3"/>
      <w:bookmarkEnd w:id="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Annex 2</w:t>
      </w:r>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 </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Credit Ratings and Credit Rating Thresholds</w:t>
      </w:r>
    </w:p>
    <w:p w:rsidR="00000000" w:rsidDel="00000000" w:rsidP="00000000" w:rsidRDefault="00000000" w:rsidRPr="00000000" w14:paraId="000000B6">
      <w:pPr>
        <w:keepNext w:val="1"/>
        <w:ind w:left="0" w:firstLine="0"/>
        <w:jc w:val="left"/>
        <w:rPr>
          <w:rFonts w:ascii="Arial Bold" w:cs="Arial Bold" w:eastAsia="Arial Bold" w:hAnsi="Arial Bold"/>
          <w:b w:val="1"/>
          <w:sz w:val="24"/>
          <w:szCs w:val="24"/>
        </w:rPr>
      </w:pPr>
      <w:r w:rsidDel="00000000" w:rsidR="00000000" w:rsidRPr="00000000">
        <w:rPr>
          <w:rFonts w:ascii="Arial" w:cs="Arial" w:eastAsia="Arial" w:hAnsi="Arial"/>
          <w:b w:val="1"/>
          <w:sz w:val="24"/>
          <w:szCs w:val="24"/>
          <w:rtl w:val="0"/>
        </w:rPr>
        <w:t xml:space="preserve">Part 1: Current Rating</w:t>
      </w:r>
      <w:r w:rsidDel="00000000" w:rsidR="00000000" w:rsidRPr="00000000">
        <w:rPr>
          <w:rtl w:val="0"/>
        </w:rPr>
      </w:r>
    </w:p>
    <w:tbl>
      <w:tblPr>
        <w:tblStyle w:val="Table4"/>
        <w:tblW w:w="6161.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080"/>
        <w:gridCol w:w="3081"/>
        <w:tblGridChange w:id="0">
          <w:tblGrid>
            <w:gridCol w:w="3080"/>
            <w:gridCol w:w="3081"/>
          </w:tblGrid>
        </w:tblGridChange>
      </w:tblGrid>
      <w:tr>
        <w:trPr>
          <w:cantSplit w:val="0"/>
          <w:tblHeader w:val="0"/>
        </w:trPr>
        <w:tc>
          <w:tcPr>
            <w:tcBorders>
              <w:top w:color="000000" w:space="0" w:sz="4" w:val="single"/>
            </w:tcBorders>
            <w:shd w:fill="ffffff" w:val="clear"/>
          </w:tcPr>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Entity</w:t>
            </w:r>
          </w:p>
        </w:tc>
        <w:tc>
          <w:tcPr>
            <w:tcBorders>
              <w:top w:color="000000" w:space="0" w:sz="4" w:val="single"/>
            </w:tcBorders>
            <w:shd w:fill="ffffff" w:val="clear"/>
          </w:tcPr>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Credit rating (long term)</w:t>
            </w:r>
          </w:p>
        </w:tc>
      </w:tr>
      <w:tr>
        <w:trPr>
          <w:cantSplit w:val="0"/>
          <w:tblHeader w:val="0"/>
        </w:trPr>
        <w:tc>
          <w:tcPr>
            <w:shd w:fill="ffffff" w:val="clear"/>
          </w:tcPr>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w:t>
            </w:r>
          </w:p>
        </w:tc>
        <w:tc>
          <w:tcPr>
            <w:shd w:fill="ffffff" w:val="clear"/>
          </w:tcPr>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sz w:val="24"/>
                <w:szCs w:val="24"/>
                <w:rtl w:val="0"/>
              </w:rPr>
              <w:t xml:space="preserve">See lot specific thresholds below</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Guarantor</w:t>
            </w:r>
          </w:p>
        </w:tc>
        <w:tc>
          <w:tcPr>
            <w:shd w:fill="ffffff" w:val="clear"/>
          </w:tcPr>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40</w:t>
            </w:r>
            <w:r w:rsidDel="00000000" w:rsidR="00000000" w:rsidRPr="00000000">
              <w:rPr>
                <w:rtl w:val="0"/>
              </w:rPr>
            </w:r>
          </w:p>
        </w:tc>
      </w:tr>
      <w:tr>
        <w:trPr>
          <w:cantSplit w:val="0"/>
          <w:tblHeader w:val="0"/>
        </w:trPr>
        <w:tc>
          <w:tcPr>
            <w:tcBorders>
              <w:bottom w:color="000000" w:space="0" w:sz="4" w:val="single"/>
            </w:tcBorders>
            <w:shd w:fill="ffffff" w:val="clear"/>
          </w:tcPr>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Key Subcontractor</w:t>
            </w:r>
          </w:p>
        </w:tc>
        <w:tc>
          <w:tcPr>
            <w:tcBorders>
              <w:bottom w:color="000000" w:space="0" w:sz="4" w:val="single"/>
            </w:tcBorders>
            <w:shd w:fill="ffffff" w:val="clear"/>
          </w:tcPr>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40</w:t>
            </w: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 2: Credit Rating Threshold</w:t>
      </w:r>
    </w:p>
    <w:p w:rsidR="00000000" w:rsidDel="00000000" w:rsidP="00000000" w:rsidRDefault="00000000" w:rsidRPr="00000000" w14:paraId="000000C1">
      <w:pPr>
        <w:spacing w:after="0" w:lineRule="auto"/>
        <w:rPr>
          <w:rFonts w:ascii="Arial" w:cs="Arial" w:eastAsia="Arial" w:hAnsi="Arial"/>
          <w:b w:val="1"/>
          <w:sz w:val="24"/>
          <w:szCs w:val="24"/>
        </w:rPr>
      </w:pPr>
      <w:r w:rsidDel="00000000" w:rsidR="00000000" w:rsidRPr="00000000">
        <w:rPr>
          <w:rtl w:val="0"/>
        </w:rPr>
      </w:r>
    </w:p>
    <w:tbl>
      <w:tblPr>
        <w:tblStyle w:val="Table5"/>
        <w:tblW w:w="625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3300"/>
        <w:tblGridChange w:id="0">
          <w:tblGrid>
            <w:gridCol w:w="2955"/>
            <w:gridCol w:w="33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No. &amp; Description</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Credit rating threshold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Rule="auto"/>
              <w:jc w:val="left"/>
              <w:rPr>
                <w:rFonts w:ascii="Arial" w:cs="Arial" w:eastAsia="Arial" w:hAnsi="Arial"/>
                <w:b w:val="1"/>
              </w:rPr>
            </w:pPr>
            <w:r w:rsidDel="00000000" w:rsidR="00000000" w:rsidRPr="00000000">
              <w:rPr>
                <w:rFonts w:ascii="Arial" w:cs="Arial" w:eastAsia="Arial" w:hAnsi="Arial"/>
                <w:b w:val="1"/>
                <w:rtl w:val="0"/>
              </w:rPr>
              <w:t xml:space="preserve">Lot 1 </w:t>
            </w:r>
            <w:r w:rsidDel="00000000" w:rsidR="00000000" w:rsidRPr="00000000">
              <w:rPr>
                <w:rFonts w:ascii="Arial" w:cs="Arial" w:eastAsia="Arial" w:hAnsi="Arial"/>
                <w:rtl w:val="0"/>
              </w:rPr>
              <w:t xml:space="preserve">Print and Digital Communications - Direct Award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Rule="auto"/>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Print and Digital Communications - Further Competition</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r>
    </w:tbl>
    <w:p w:rsidR="00000000" w:rsidDel="00000000" w:rsidP="00000000" w:rsidRDefault="00000000" w:rsidRPr="00000000" w14:paraId="000000C8">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3: Calculation methodology for Financial Indicators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bookmarkStart w:colFirst="0" w:colLast="0" w:name="_heading=h.qsh70q" w:id="4"/>
      <w:bookmarkEnd w:id="4"/>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[Guidance: Amend this section as appropriate to reflect the calculation methodology for those Financial Indicators that are selected for inclusion in Paragraph 5.1 of this Schedule]</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it uses the following general and specific methodologies for calculating the Financial Indicators against the Financial Target Thresholds: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General methodology</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Terminology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5"/>
      <w:bookmarkEnd w:id="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the entity is the holding company of a group and prepares consolidated financial statements, the consolidated figures should be used.</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Foreign currency conversion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Figures denominated in foreign currencies should be converted at the exchange rate in force at the relevant date for which the Financial Indicator is being calculated.</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Treatment of non-underlying items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Financial Indicators should be based on the figures in the financial statements before adjusting for non-underlying items.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Specific Methodology</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478"/>
        <w:tblGridChange w:id="0">
          <w:tblGrid>
            <w:gridCol w:w="2538"/>
            <w:gridCol w:w="6478"/>
          </w:tblGrid>
        </w:tblGridChange>
      </w:tblGrid>
      <w:tr>
        <w:trPr>
          <w:cantSplit w:val="0"/>
          <w:tblHeader w:val="0"/>
        </w:trPr>
        <w:tc>
          <w:tcPr>
            <w:shd w:fill="d9d9d9"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Financial Indicator</w:t>
            </w:r>
          </w:p>
        </w:tc>
        <w:tc>
          <w:tcPr>
            <w:shd w:fill="d9d9d9"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 Methodology</w:t>
            </w:r>
          </w:p>
        </w:tc>
      </w:tr>
      <w:tr>
        <w:trPr>
          <w:cantSplit w:val="0"/>
          <w:tblHeader w:val="0"/>
        </w:trPr>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Operating Margin</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elements used to calculate the Operating Margin should be shown on the face of the Income Statement in a standard set of financial statements.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Figures for Operating Profit and Revenue should exclude the entity’s share of the results of any joint ventures or Associates.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entity has an operating loss (i.e. where the operating profit is negative), Operating Profit should be taken to be zero.</w:t>
            </w:r>
          </w:p>
        </w:tc>
      </w:tr>
      <w:tr>
        <w:trPr>
          <w:cantSplit w:val="0"/>
          <w:tblHeader w:val="0"/>
        </w:trPr>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Free Cash Flow to Net Debt Ratio</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Debt to EBITDA Ratio</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Free Cash Flow</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Net Cash Flow from Operating Activities – Capital Expenditure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Capital Expenditure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Purchase of property, plant &amp; equipment + purchase of intangible assets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Free Cash Flow to Net Debt Ratio should be shown on the face of the Statement of Cash Flows and the Balance Sheet in a standard set of financial statements.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Cash Flow from Operating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should be stated after deduction of interest and tax paid.</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Capital expenditure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is negative (i.e. an entity has net cash), the relevant Financial Target Threshold should be treated as having been met.</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 + Depreciation charge + Amortisation charge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is negative (i.e. an entity has net cash), the relevant Financial Target Threshold should be treated as having been met.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bookmarkStart w:colFirst="0" w:colLast="0" w:name="_heading=h.1pxezwc" w:id="6"/>
            <w:bookmarkEnd w:id="6"/>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EBITDA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Operating profit should be shown on the face of the Income Statement and, for the purposes of calculating this Financial Indicator, should include the entity’s share of the results of any joint ventures or Associates.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trPr>
          <w:cantSplit w:val="0"/>
          <w:tblHeader w:val="0"/>
        </w:trPr>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Debt + Net  Pension Deficit to EBITDA ratio</w:t>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Debt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Bank overdrafts + Loans and borrowings + Finance leases + Deferred consideration payable – Cash and cash equivalents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Pension Deficit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Retirement Benefit Obligations – Retirement Benefit Assets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EBITDA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 + Depreciation charge + Amortisation charge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Debt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non-designated hedges). Borrowings should also include balances owed to other group members.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Deferred consideration payable should be included in Net Debt despite typically being non-interest bearing.</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and cash equivalents should include short-term financial investments shown in current assets.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Net Pension Deficit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Debt + Net Pension Deficit’ is negative, the relevant Financial Target Threshold should be treated as having been met.</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EBITDA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Operating profit should be shown on the face of the Income Statement and, for the purposes of calculating this Financial Indicator, should include the entity’s share of the results of any joint ventures or Associates.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9x2ik5"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depreciation and amortisation charges for the period may be found on the face of the Statement of Cash Flows or in a Note to the Accounts.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EBITDA is negative, the relevant Financial Target Threshold should be treated as not having been met (unless ‘Net Debt + Net Pension Deficit’ is also negative, in which case the relevant Financial Target Threshold should be regarded as having been met).</w:t>
            </w:r>
          </w:p>
        </w:tc>
      </w:tr>
      <w:tr>
        <w:trPr>
          <w:cantSplit w:val="0"/>
          <w:tblHeader w:val="0"/>
        </w:trPr>
        <w:tc>
          <w:tcP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Interest Paid Cover</w:t>
            </w:r>
          </w:p>
        </w:tc>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Earnings Before Interest and Tax</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Operating profit</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Net Interest Paid</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Interest paid – Interest received</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profit should be shown on the face of the Income Statement in a standard set of financial statements and, for the purposes of calculating this Financial Indicator, should include the entity’s share of the results of any joint ventures or Associates.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Interest received and interest paid should be shown on the face of the Cash Flow statement.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Net interest paid is negative (i.e. the entity has net interest received), the relevant Financial Target Threshold should be treated as having been met.</w:t>
            </w:r>
          </w:p>
        </w:tc>
      </w:tr>
      <w:tr>
        <w:trPr>
          <w:cantSplit w:val="0"/>
          <w:tblHeader w:val="0"/>
        </w:trPr>
        <w:tc>
          <w:tcP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Acid Ratio</w:t>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elements that are used to calculate the Acid Ratio are available on the face of the Balance Sheet in a standard set of financial statements.</w:t>
            </w:r>
          </w:p>
        </w:tc>
      </w:tr>
      <w:tr>
        <w:trPr>
          <w:cantSplit w:val="0"/>
          <w:tblHeader w:val="0"/>
        </w:trPr>
        <w:tc>
          <w:tcP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Asset value</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trPr>
          <w:cantSplit w:val="0"/>
          <w:tblHeader w:val="0"/>
        </w:trPr>
        <w:tc>
          <w:tcPr>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Group Exposure Ratio</w:t>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 Exposure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Balances owed by Group Undertakings + Contingent liabilities assumed in support of Group Undertakings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Gross Assets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 Fixed Assets + Current Assets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Group Exposure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many cases an entity may not have assumed any contingent liabilities in support of Group Undertakings, in particular where an entity is not a member of a group or is itself the ultimate holding company of the group.</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Gross Assets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Fixed assets and Current assets are shown on the face of the Balance Sheet</w:t>
            </w:r>
          </w:p>
        </w:tc>
      </w:tr>
    </w:tbl>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spacing w:after="200" w:line="276"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left"/>
        <w:rPr>
          <w:rFonts w:ascii="Arial Bold" w:cs="Arial Bold" w:eastAsia="Arial Bold" w:hAnsi="Arial Bold"/>
          <w:b w:val="1"/>
          <w:i w:val="0"/>
          <w:smallCaps w:val="1"/>
          <w:strike w:val="0"/>
          <w:color w:val="000000"/>
          <w:sz w:val="24"/>
          <w:szCs w:val="24"/>
          <w:u w:val="none"/>
          <w:shd w:fill="auto" w:val="clear"/>
          <w:vertAlign w:val="baseline"/>
        </w:rPr>
      </w:pPr>
      <w:bookmarkStart w:colFirst="0" w:colLast="0" w:name="_heading=h.2p2csry" w:id="8"/>
      <w:bookmarkEnd w:id="8"/>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Annex 4: Board Confirmation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Name: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Reference Number:</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acknowledge the requirements set out at paragraph 8 of Joint Schedule 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Financial Distress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confirm that the Supplier has exercised due care and diligence and made reasonable enquiry of all relevant Supplier Staff and other persons as is reasonably necessary to enable the Board to prepare this statement.</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of Directors confirms, to the best of its knowledge and belief, that as at the date of this Board Confirmation it is not aware of and has no knowledge:</w:t>
      </w:r>
    </w:p>
    <w:p w:rsidR="00000000" w:rsidDel="00000000" w:rsidP="00000000" w:rsidRDefault="00000000" w:rsidRPr="00000000" w14:paraId="0000013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 Financial Distress Event has occurred since the later of the previous Board Confirmation and the Effective Date or is subsisting; or</w:t>
      </w:r>
    </w:p>
    <w:p w:rsidR="00000000" w:rsidDel="00000000" w:rsidP="00000000" w:rsidRDefault="00000000" w:rsidRPr="00000000" w14:paraId="0000013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803"/>
        </w:tabs>
        <w:spacing w:after="200" w:before="100" w:line="240" w:lineRule="auto"/>
        <w:ind w:left="1803" w:right="0" w:hanging="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matters which have occurred or are subsisting that could reasonably be expected to cause a Financial Distress Event</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behalf of the Board of Directors: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w:t>
        <w:tab/>
        <w:tab/>
        <w:t xml:space="preserv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w:t>
        <w:tab/>
        <w:tab/>
        <w:t xml:space="preserv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w:t>
        <w:tab/>
        <w:tab/>
        <w:t xml:space="preserv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8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tab/>
        <w:tab/>
        <w:t xml:space="preserve">…………………………………</w:t>
      </w:r>
    </w:p>
    <w:p w:rsidR="00000000" w:rsidDel="00000000" w:rsidP="00000000" w:rsidRDefault="00000000" w:rsidRPr="00000000" w14:paraId="00000143">
      <w:pPr>
        <w:spacing w:after="200" w:line="276" w:lineRule="auto"/>
        <w:jc w:val="left"/>
        <w:rPr>
          <w:rFonts w:ascii="Arial" w:cs="Arial" w:eastAsia="Arial" w:hAnsi="Arial"/>
          <w:sz w:val="24"/>
          <w:szCs w:val="24"/>
        </w:rPr>
      </w:pPr>
      <w:bookmarkStart w:colFirst="0" w:colLast="0" w:name="_heading=h.4i7ojhp" w:id="10"/>
      <w:bookmarkEnd w:id="10"/>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v3.6</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Calibri" w:cs="Calibri" w:eastAsia="Calibri" w:hAnsi="Calibri"/>
        <w:b w:val="0"/>
        <w:i w:val="0"/>
        <w:smallCaps w:val="0"/>
        <w:strike w:val="0"/>
        <w:color w:val="bfbfbf"/>
        <w:sz w:val="22"/>
        <w:szCs w:val="22"/>
        <w:u w:val="none"/>
        <w:shd w:fill="auto" w:val="clear"/>
        <w:vertAlign w:val="baseline"/>
        <w:rtl w:val="0"/>
      </w:rPr>
      <w:t xml:space="preserve">Project Version: v1.0</w:t>
      <w:tab/>
      <w:tab/>
      <w:tab/>
      <w:t xml:space="preserve"> </w:t>
    </w:r>
    <w:r w:rsidDel="00000000" w:rsidR="00000000" w:rsidRPr="00000000">
      <w:rPr>
        <w:rFonts w:ascii="Calibri" w:cs="Calibri" w:eastAsia="Calibri" w:hAnsi="Calibri"/>
        <w:b w:val="0"/>
        <w:i w:val="0"/>
        <w:smallCaps w:val="0"/>
        <w:strike w:val="0"/>
        <w:color w:val="bfbfb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B">
    <w:pPr>
      <w:spacing w:after="0" w:lineRule="auto"/>
      <w:rPr>
        <w:rFonts w:ascii="Arial" w:cs="Arial" w:eastAsia="Arial" w:hAnsi="Arial"/>
        <w:color w:val="bfbfbf"/>
        <w:sz w:val="20"/>
        <w:szCs w:val="20"/>
      </w:rPr>
    </w:pPr>
    <w:r w:rsidDel="00000000" w:rsidR="00000000" w:rsidRPr="00000000">
      <w:rPr>
        <w:color w:val="bfbfbf"/>
        <w:rtl w:val="0"/>
      </w:rPr>
      <w:t xml:space="preserve">Model Version : v3.0</w:t>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7 (Financial Difficulties)</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paragraph" w:styleId="Heading1">
    <w:name w:val="heading 1"/>
    <w:basedOn w:val="Normal"/>
    <w:next w:val="Normal"/>
    <w:link w:val="Heading1Char"/>
    <w:rsid w:val="00A96D9C"/>
    <w:pPr>
      <w:keepNext w:val="1"/>
      <w:keepLines w:val="1"/>
      <w:spacing w:after="120" w:before="480"/>
      <w:outlineLvl w:val="0"/>
    </w:pPr>
    <w:rPr>
      <w:b w:val="1"/>
      <w:sz w:val="48"/>
      <w:szCs w:val="48"/>
      <w:lang w:eastAsia="en-GB"/>
    </w:rPr>
  </w:style>
  <w:style w:type="paragraph" w:styleId="Heading2">
    <w:name w:val="heading 2"/>
    <w:basedOn w:val="Normal"/>
    <w:next w:val="Normal"/>
    <w:link w:val="Heading2Char"/>
    <w:rsid w:val="00A96D9C"/>
    <w:pPr>
      <w:keepNext w:val="1"/>
      <w:keepLines w:val="1"/>
      <w:spacing w:after="80" w:before="360"/>
      <w:outlineLvl w:val="1"/>
    </w:pPr>
    <w:rPr>
      <w:b w:val="1"/>
      <w:sz w:val="36"/>
      <w:szCs w:val="36"/>
      <w:lang w:eastAsia="en-GB"/>
    </w:rPr>
  </w:style>
  <w:style w:type="paragraph" w:styleId="Heading3">
    <w:name w:val="heading 3"/>
    <w:basedOn w:val="Normal"/>
    <w:next w:val="Normal"/>
    <w:link w:val="Heading3Char"/>
    <w:rsid w:val="00A96D9C"/>
    <w:pPr>
      <w:keepNext w:val="1"/>
      <w:keepLines w:val="1"/>
      <w:spacing w:after="80" w:before="280"/>
      <w:outlineLvl w:val="2"/>
    </w:pPr>
    <w:rPr>
      <w:b w:val="1"/>
      <w:sz w:val="28"/>
      <w:szCs w:val="28"/>
      <w:lang w:eastAsia="en-GB"/>
    </w:rPr>
  </w:style>
  <w:style w:type="paragraph" w:styleId="Heading4">
    <w:name w:val="heading 4"/>
    <w:basedOn w:val="Normal"/>
    <w:next w:val="Normal"/>
    <w:link w:val="Heading4Char"/>
    <w:rsid w:val="00A96D9C"/>
    <w:pPr>
      <w:keepNext w:val="1"/>
      <w:keepLines w:val="1"/>
      <w:spacing w:after="40" w:before="240"/>
      <w:outlineLvl w:val="3"/>
    </w:pPr>
    <w:rPr>
      <w:b w:val="1"/>
      <w:sz w:val="24"/>
      <w:szCs w:val="24"/>
      <w:lang w:eastAsia="en-GB"/>
    </w:rPr>
  </w:style>
  <w:style w:type="paragraph" w:styleId="Heading5">
    <w:name w:val="heading 5"/>
    <w:basedOn w:val="Normal"/>
    <w:next w:val="Normal"/>
    <w:link w:val="Heading5Char"/>
    <w:rsid w:val="00A96D9C"/>
    <w:pPr>
      <w:keepNext w:val="1"/>
      <w:keepLines w:val="1"/>
      <w:spacing w:after="40" w:before="220"/>
      <w:outlineLvl w:val="4"/>
    </w:pPr>
    <w:rPr>
      <w:b w:val="1"/>
      <w:lang w:eastAsia="en-GB"/>
    </w:rPr>
  </w:style>
  <w:style w:type="paragraph" w:styleId="Heading6">
    <w:name w:val="heading 6"/>
    <w:basedOn w:val="Normal"/>
    <w:next w:val="Normal"/>
    <w:link w:val="Heading6Char"/>
    <w:rsid w:val="00A96D9C"/>
    <w:pPr>
      <w:keepNext w:val="1"/>
      <w:keepLines w:val="1"/>
      <w:spacing w:after="40" w:before="200"/>
      <w:outlineLvl w:val="5"/>
    </w:pPr>
    <w:rPr>
      <w:b w:val="1"/>
      <w:sz w:val="20"/>
      <w:szCs w:val="2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rsid w:val="00A96D9C"/>
    <w:pPr>
      <w:numPr>
        <w:numId w:val="2"/>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rsid w:val="00A96D9C"/>
    <w:pPr>
      <w:numPr>
        <w:ilvl w:val="2"/>
        <w:numId w:val="2"/>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rsid w:val="00A96D9C"/>
    <w:pPr>
      <w:numPr>
        <w:ilvl w:val="3"/>
      </w:numPr>
      <w:tabs>
        <w:tab w:val="clear" w:pos="1985"/>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rsid w:val="00A96D9C"/>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Definition" w:customStyle="1">
    <w:name w:val="GPs Definition"/>
    <w:basedOn w:val="Normal"/>
    <w:qFormat w:val="1"/>
    <w:rsid w:val="00A96D9C"/>
    <w:pPr>
      <w:numPr>
        <w:numId w:val="1"/>
      </w:numPr>
      <w:tabs>
        <w:tab w:val="left" w:pos="175"/>
      </w:tabs>
      <w:spacing w:after="120"/>
    </w:pPr>
  </w:style>
  <w:style w:type="paragraph" w:styleId="GPSDefinitionL2" w:customStyle="1">
    <w:name w:val="GPS Definition L2"/>
    <w:basedOn w:val="GPsDefinition"/>
    <w:qFormat w:val="1"/>
    <w:pPr>
      <w:numPr>
        <w:ilvl w:val="1"/>
      </w:numPr>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outlineLvl w:val="9"/>
    </w:p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paragraph" w:styleId="GPSmacrorestart" w:customStyle="1">
    <w:name w:val="GPS macro restart"/>
    <w:basedOn w:val="Normal"/>
    <w:qFormat w:val="1"/>
    <w:pPr>
      <w:spacing w:after="0"/>
    </w:pPr>
    <w:rPr>
      <w:color w:val="ffffff"/>
      <w:sz w:val="16"/>
      <w:szCs w:val="16"/>
    </w:rPr>
  </w:style>
  <w:style w:type="paragraph" w:styleId="GPSSchAnnexname" w:customStyle="1">
    <w:name w:val="GPS Sch Annex name"/>
    <w:basedOn w:val="Normal"/>
    <w:link w:val="GPSSchAnnexnameChar"/>
    <w:qFormat w:val="1"/>
    <w:pPr>
      <w:keepNext w:val="1"/>
      <w:overflowPunct w:val="1"/>
      <w:autoSpaceDE w:val="1"/>
      <w:autoSpaceDN w:val="1"/>
      <w:ind w:firstLine="426"/>
      <w:jc w:val="center"/>
      <w:textAlignment w:val="auto"/>
      <w:outlineLvl w:val="1"/>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rsid w:val="00A96D9C"/>
    <w:pPr>
      <w:tabs>
        <w:tab w:val="clear" w:pos="1134"/>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3IndentChar" w:customStyle="1">
    <w:name w:val="GPS L3 Indent Char"/>
    <w:link w:val="GPSL3Indent"/>
    <w:locked w:val="1"/>
    <w:rPr>
      <w:rFonts w:ascii="Calibri" w:cs="Arial" w:eastAsia="Times New Roman" w:hAnsi="Calibri"/>
      <w:lang w:eastAsia="zh-CN" w:val="en-US"/>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2IndentChar" w:customStyle="1">
    <w:name w:val="GPS L2 Indent Char"/>
    <w:link w:val="GPSL2Indent"/>
    <w:rPr>
      <w:rFonts w:ascii="Calibri" w:cs="Arial" w:eastAsia="Times New Roman" w:hAnsi="Calibri"/>
      <w:szCs w:val="24"/>
    </w:rPr>
  </w:style>
  <w:style w:type="character" w:styleId="GPSSchAnnexnameChar" w:customStyle="1">
    <w:name w:val="GPS Sch Annex name Char"/>
    <w:link w:val="GPSSchAnnexname"/>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Hyperlink">
    <w:name w:val="Hyperlink"/>
    <w:basedOn w:val="DefaultParagraphFont"/>
    <w:uiPriority w:val="99"/>
    <w:semiHidden w:val="1"/>
    <w:unhideWhenUsed w:val="1"/>
    <w:rPr>
      <w:color w:val="0000ff"/>
      <w:u w:val="single"/>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StdBodyText" w:customStyle="1">
    <w:name w:val="Std Body Text"/>
    <w:basedOn w:val="Normal"/>
    <w:qFormat w:val="1"/>
    <w:rsid w:val="00106E9B"/>
    <w:pPr>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StdBodyTextBold" w:customStyle="1">
    <w:name w:val="Std Body Text Bold"/>
    <w:basedOn w:val="Normal"/>
    <w:next w:val="StdBodyText"/>
    <w:link w:val="StdBodyTextBoldChar"/>
    <w:qFormat w:val="1"/>
    <w:rsid w:val="00106E9B"/>
    <w:pPr>
      <w:overflowPunct w:val="1"/>
      <w:autoSpaceDE w:val="1"/>
      <w:autoSpaceDN w:val="1"/>
      <w:adjustRightInd w:val="1"/>
      <w:spacing w:after="200" w:before="100"/>
      <w:jc w:val="left"/>
      <w:textAlignment w:val="auto"/>
    </w:pPr>
    <w:rPr>
      <w:rFonts w:ascii="Arial" w:cs="Times New Roman" w:hAnsi="Arial"/>
      <w:b w:val="1"/>
      <w:sz w:val="24"/>
      <w:szCs w:val="24"/>
      <w:lang w:eastAsia="en-GB"/>
    </w:rPr>
  </w:style>
  <w:style w:type="character" w:styleId="StdBodyTextBoldChar" w:customStyle="1">
    <w:name w:val="Std Body Text Bold Char"/>
    <w:basedOn w:val="DefaultParagraphFont"/>
    <w:link w:val="StdBodyTextBold"/>
    <w:rsid w:val="00106E9B"/>
    <w:rPr>
      <w:rFonts w:ascii="Arial" w:cs="Times New Roman" w:eastAsia="Times New Roman" w:hAnsi="Arial"/>
      <w:b w:val="1"/>
      <w:sz w:val="24"/>
      <w:szCs w:val="24"/>
      <w:lang w:eastAsia="en-GB"/>
    </w:rPr>
  </w:style>
  <w:style w:type="paragraph" w:styleId="StdBodyText1" w:customStyle="1">
    <w:name w:val="Std Body Text 1"/>
    <w:basedOn w:val="StdBodyText"/>
    <w:rsid w:val="005F1595"/>
    <w:pPr>
      <w:ind w:left="720"/>
    </w:pPr>
  </w:style>
  <w:style w:type="paragraph" w:styleId="AnnexHeading" w:customStyle="1">
    <w:name w:val="Annex Heading"/>
    <w:basedOn w:val="Normal"/>
    <w:next w:val="Normal"/>
    <w:rsid w:val="006B02AC"/>
    <w:pPr>
      <w:numPr>
        <w:numId w:val="4"/>
      </w:numPr>
      <w:overflowPunct w:val="1"/>
      <w:autoSpaceDE w:val="1"/>
      <w:autoSpaceDN w:val="1"/>
      <w:adjustRightInd w:val="1"/>
      <w:spacing w:after="300" w:before="100"/>
      <w:jc w:val="center"/>
      <w:textAlignment w:val="auto"/>
    </w:pPr>
    <w:rPr>
      <w:rFonts w:ascii="Arial Bold" w:cs="Times New Roman" w:hAnsi="Arial Bold"/>
      <w:b w:val="1"/>
      <w:caps w:val="1"/>
      <w:sz w:val="24"/>
      <w:szCs w:val="24"/>
      <w:lang w:eastAsia="en-GB"/>
    </w:rPr>
  </w:style>
  <w:style w:type="paragraph" w:styleId="AppendixText1" w:customStyle="1">
    <w:name w:val="Appendix Text 1"/>
    <w:basedOn w:val="Normal"/>
    <w:next w:val="StdBodyText1"/>
    <w:rsid w:val="006B02AC"/>
    <w:pPr>
      <w:numPr>
        <w:numId w:val="5"/>
      </w:numPr>
      <w:overflowPunct w:val="1"/>
      <w:autoSpaceDE w:val="1"/>
      <w:autoSpaceDN w:val="1"/>
      <w:adjustRightInd w:val="1"/>
      <w:spacing w:after="200" w:before="100"/>
      <w:jc w:val="left"/>
      <w:textAlignment w:val="auto"/>
    </w:pPr>
    <w:rPr>
      <w:rFonts w:ascii="Arial" w:cs="Times New Roman" w:hAnsi="Arial"/>
      <w:b w:val="1"/>
      <w:sz w:val="24"/>
      <w:szCs w:val="24"/>
      <w:lang w:eastAsia="en-GB"/>
    </w:rPr>
  </w:style>
  <w:style w:type="paragraph" w:styleId="AppendixText2" w:customStyle="1">
    <w:name w:val="Appendix Text 2"/>
    <w:basedOn w:val="AppendixText1"/>
    <w:next w:val="Normal"/>
    <w:rsid w:val="006B02AC"/>
    <w:pPr>
      <w:numPr>
        <w:ilvl w:val="1"/>
      </w:numPr>
    </w:pPr>
    <w:rPr>
      <w:b w:val="0"/>
    </w:rPr>
  </w:style>
  <w:style w:type="paragraph" w:styleId="AppendixText3" w:customStyle="1">
    <w:name w:val="Appendix Text 3"/>
    <w:basedOn w:val="Normal"/>
    <w:next w:val="Normal"/>
    <w:rsid w:val="006B02AC"/>
    <w:pPr>
      <w:numPr>
        <w:ilvl w:val="2"/>
        <w:numId w:val="5"/>
      </w:numPr>
      <w:tabs>
        <w:tab w:val="left" w:pos="720"/>
        <w:tab w:val="left" w:pos="180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4" w:customStyle="1">
    <w:name w:val="Appendix Text 4"/>
    <w:basedOn w:val="Normal"/>
    <w:next w:val="Normal"/>
    <w:rsid w:val="006B02AC"/>
    <w:pPr>
      <w:numPr>
        <w:ilvl w:val="3"/>
        <w:numId w:val="5"/>
      </w:numPr>
      <w:tabs>
        <w:tab w:val="left" w:pos="720"/>
        <w:tab w:val="left" w:pos="180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5" w:customStyle="1">
    <w:name w:val="Appendix Text 5"/>
    <w:basedOn w:val="Normal"/>
    <w:next w:val="Normal"/>
    <w:rsid w:val="006B02AC"/>
    <w:pPr>
      <w:numPr>
        <w:ilvl w:val="4"/>
        <w:numId w:val="5"/>
      </w:numPr>
      <w:tabs>
        <w:tab w:val="left" w:pos="720"/>
        <w:tab w:val="left" w:pos="2523"/>
      </w:tabs>
      <w:overflowPunct w:val="1"/>
      <w:autoSpaceDE w:val="1"/>
      <w:autoSpaceDN w:val="1"/>
      <w:adjustRightInd w:val="1"/>
      <w:spacing w:after="200" w:before="100"/>
      <w:jc w:val="left"/>
      <w:textAlignment w:val="auto"/>
    </w:pPr>
    <w:rPr>
      <w:rFonts w:ascii="Arial" w:cs="Times New Roman" w:hAnsi="Arial"/>
      <w:sz w:val="24"/>
      <w:szCs w:val="24"/>
      <w:lang w:eastAsia="en-GB"/>
    </w:rPr>
  </w:style>
  <w:style w:type="paragraph" w:styleId="AppendixText6" w:customStyle="1">
    <w:name w:val="Appendix Text 6"/>
    <w:basedOn w:val="AppendixText5"/>
    <w:rsid w:val="006B02AC"/>
    <w:pPr>
      <w:numPr>
        <w:ilvl w:val="5"/>
      </w:numPr>
    </w:pPr>
  </w:style>
  <w:style w:type="numbering" w:styleId="Level" w:customStyle="1">
    <w:name w:val="Level"/>
    <w:uiPriority w:val="99"/>
    <w:rsid w:val="0034142A"/>
    <w:pPr>
      <w:numPr>
        <w:numId w:val="7"/>
      </w:numPr>
    </w:pPr>
  </w:style>
  <w:style w:type="numbering" w:styleId="Scheduleheading" w:customStyle="1">
    <w:name w:val="Schedule heading"/>
    <w:uiPriority w:val="99"/>
    <w:rsid w:val="0034142A"/>
    <w:pPr>
      <w:numPr>
        <w:numId w:val="8"/>
      </w:numPr>
    </w:pPr>
  </w:style>
  <w:style w:type="paragraph" w:styleId="StdBodyText4" w:customStyle="1">
    <w:name w:val="Std Body Text 4"/>
    <w:basedOn w:val="Normal"/>
    <w:rsid w:val="0034142A"/>
    <w:pPr>
      <w:overflowPunct w:val="1"/>
      <w:autoSpaceDE w:val="1"/>
      <w:autoSpaceDN w:val="1"/>
      <w:adjustRightInd w:val="1"/>
      <w:spacing w:after="200" w:before="100"/>
      <w:ind w:left="1803"/>
      <w:jc w:val="left"/>
      <w:textAlignment w:val="auto"/>
    </w:pPr>
    <w:rPr>
      <w:rFonts w:ascii="Arial" w:cs="Times New Roman" w:hAnsi="Arial"/>
      <w:sz w:val="24"/>
      <w:szCs w:val="24"/>
      <w:lang w:eastAsia="en-GB"/>
    </w:rPr>
  </w:style>
  <w:style w:type="character" w:styleId="Heading1Char" w:customStyle="1">
    <w:name w:val="Heading 1 Char"/>
    <w:basedOn w:val="DefaultParagraphFont"/>
    <w:link w:val="Heading1"/>
    <w:rsid w:val="00A96D9C"/>
    <w:rPr>
      <w:rFonts w:ascii="Calibri" w:cs="Arial" w:eastAsia="Times New Roman" w:hAnsi="Calibri"/>
      <w:b w:val="1"/>
      <w:sz w:val="48"/>
      <w:szCs w:val="48"/>
      <w:lang w:eastAsia="en-GB"/>
    </w:rPr>
  </w:style>
  <w:style w:type="character" w:styleId="Heading2Char" w:customStyle="1">
    <w:name w:val="Heading 2 Char"/>
    <w:basedOn w:val="DefaultParagraphFont"/>
    <w:link w:val="Heading2"/>
    <w:rsid w:val="00A96D9C"/>
    <w:rPr>
      <w:rFonts w:ascii="Calibri" w:cs="Arial" w:eastAsia="Times New Roman" w:hAnsi="Calibri"/>
      <w:b w:val="1"/>
      <w:sz w:val="36"/>
      <w:szCs w:val="36"/>
      <w:lang w:eastAsia="en-GB"/>
    </w:rPr>
  </w:style>
  <w:style w:type="character" w:styleId="Heading3Char" w:customStyle="1">
    <w:name w:val="Heading 3 Char"/>
    <w:basedOn w:val="DefaultParagraphFont"/>
    <w:link w:val="Heading3"/>
    <w:rsid w:val="00A96D9C"/>
    <w:rPr>
      <w:rFonts w:ascii="Calibri" w:cs="Arial" w:eastAsia="Times New Roman" w:hAnsi="Calibri"/>
      <w:b w:val="1"/>
      <w:sz w:val="28"/>
      <w:szCs w:val="28"/>
      <w:lang w:eastAsia="en-GB"/>
    </w:rPr>
  </w:style>
  <w:style w:type="character" w:styleId="Heading4Char" w:customStyle="1">
    <w:name w:val="Heading 4 Char"/>
    <w:basedOn w:val="DefaultParagraphFont"/>
    <w:link w:val="Heading4"/>
    <w:rsid w:val="00A96D9C"/>
    <w:rPr>
      <w:rFonts w:ascii="Calibri" w:cs="Arial" w:eastAsia="Times New Roman" w:hAnsi="Calibri"/>
      <w:b w:val="1"/>
      <w:sz w:val="24"/>
      <w:szCs w:val="24"/>
      <w:lang w:eastAsia="en-GB"/>
    </w:rPr>
  </w:style>
  <w:style w:type="character" w:styleId="Heading5Char" w:customStyle="1">
    <w:name w:val="Heading 5 Char"/>
    <w:basedOn w:val="DefaultParagraphFont"/>
    <w:link w:val="Heading5"/>
    <w:rsid w:val="00A96D9C"/>
    <w:rPr>
      <w:rFonts w:ascii="Calibri" w:cs="Arial" w:eastAsia="Times New Roman" w:hAnsi="Calibri"/>
      <w:b w:val="1"/>
      <w:lang w:eastAsia="en-GB"/>
    </w:rPr>
  </w:style>
  <w:style w:type="character" w:styleId="Heading6Char" w:customStyle="1">
    <w:name w:val="Heading 6 Char"/>
    <w:basedOn w:val="DefaultParagraphFont"/>
    <w:link w:val="Heading6"/>
    <w:rsid w:val="00A96D9C"/>
    <w:rPr>
      <w:rFonts w:ascii="Calibri" w:cs="Arial" w:eastAsia="Times New Roman" w:hAnsi="Calibri"/>
      <w:b w:val="1"/>
      <w:sz w:val="20"/>
      <w:szCs w:val="20"/>
      <w:lang w:eastAsia="en-GB"/>
    </w:rPr>
  </w:style>
  <w:style w:type="paragraph" w:styleId="Title">
    <w:name w:val="Title"/>
    <w:basedOn w:val="Normal"/>
    <w:next w:val="Normal"/>
    <w:link w:val="TitleChar"/>
    <w:rsid w:val="00A96D9C"/>
    <w:pPr>
      <w:keepNext w:val="1"/>
      <w:keepLines w:val="1"/>
      <w:spacing w:after="120" w:before="480"/>
    </w:pPr>
    <w:rPr>
      <w:b w:val="1"/>
      <w:sz w:val="72"/>
      <w:szCs w:val="72"/>
      <w:lang w:eastAsia="en-GB"/>
    </w:rPr>
  </w:style>
  <w:style w:type="character" w:styleId="TitleChar" w:customStyle="1">
    <w:name w:val="Title Char"/>
    <w:basedOn w:val="DefaultParagraphFont"/>
    <w:link w:val="Title"/>
    <w:rsid w:val="00A96D9C"/>
    <w:rPr>
      <w:rFonts w:ascii="Calibri" w:cs="Arial" w:eastAsia="Times New Roman" w:hAnsi="Calibri"/>
      <w:b w:val="1"/>
      <w:sz w:val="72"/>
      <w:szCs w:val="72"/>
      <w:lang w:eastAsia="en-GB"/>
    </w:rPr>
  </w:style>
  <w:style w:type="paragraph" w:styleId="Subtitle">
    <w:name w:val="Subtitle"/>
    <w:basedOn w:val="Normal"/>
    <w:next w:val="Normal"/>
    <w:link w:val="SubtitleChar"/>
    <w:rsid w:val="00A96D9C"/>
    <w:pPr>
      <w:keepNext w:val="1"/>
      <w:keepLines w:val="1"/>
      <w:spacing w:after="80" w:before="360"/>
    </w:pPr>
    <w:rPr>
      <w:rFonts w:ascii="Georgia" w:cs="Georgia" w:eastAsia="Georgia" w:hAnsi="Georgia"/>
      <w:i w:val="1"/>
      <w:color w:val="666666"/>
      <w:sz w:val="48"/>
      <w:szCs w:val="48"/>
      <w:lang w:eastAsia="en-GB"/>
    </w:rPr>
  </w:style>
  <w:style w:type="character" w:styleId="SubtitleChar" w:customStyle="1">
    <w:name w:val="Subtitle Char"/>
    <w:basedOn w:val="DefaultParagraphFont"/>
    <w:link w:val="Subtitle"/>
    <w:rsid w:val="00A96D9C"/>
    <w:rPr>
      <w:rFonts w:ascii="Georgia" w:cs="Georgia" w:eastAsia="Georgia" w:hAnsi="Georgia"/>
      <w:i w:val="1"/>
      <w:color w:val="666666"/>
      <w:sz w:val="48"/>
      <w:szCs w:val="48"/>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trategic-supplier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8Z6iXgF0GmPSJjLWUw71AYN3A==">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2023-02-05T22:26:00Z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