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b/>
          <w:color w:val="000000"/>
          <w:sz w:val="19"/>
          <w:szCs w:val="19"/>
        </w:rPr>
      </w:pPr>
      <w:bookmarkStart w:id="0" w:name="_GoBack"/>
      <w:bookmarkEnd w:id="0"/>
      <w:r>
        <w:rPr>
          <w:b/>
          <w:color w:val="000000"/>
          <w:sz w:val="19"/>
          <w:szCs w:val="19"/>
        </w:rPr>
        <w:t xml:space="preserve">Call-Off Schedule 19 (Scottish Law) </w:t>
      </w:r>
    </w:p>
    <w:p w14:paraId="00000002" w14:textId="7777777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Call-Off Ref: </w:t>
      </w:r>
    </w:p>
    <w:p w14:paraId="00000003" w14:textId="7777777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2018 </w:t>
      </w:r>
    </w:p>
    <w:p w14:paraId="00000004" w14:textId="71CC7038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74" w:line="240" w:lineRule="auto"/>
        <w:ind w:left="14"/>
        <w:rPr>
          <w:b/>
          <w:color w:val="000000"/>
          <w:sz w:val="35"/>
          <w:szCs w:val="35"/>
        </w:rPr>
      </w:pPr>
      <w:r>
        <w:rPr>
          <w:b/>
          <w:color w:val="000000"/>
          <w:sz w:val="35"/>
          <w:szCs w:val="35"/>
        </w:rPr>
        <w:t xml:space="preserve">Call-Off Schedule 19 (Scottish Law) </w:t>
      </w:r>
    </w:p>
    <w:p w14:paraId="00000005" w14:textId="7699F48A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1" w:line="240" w:lineRule="auto"/>
        <w:ind w:left="16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1. When you should use this Schedule </w:t>
      </w:r>
    </w:p>
    <w:p w14:paraId="00000006" w14:textId="094A844D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23" w:right="632"/>
        <w:jc w:val="center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1.1 This Call-Off Schedule 19 may be included to adapt the Core Terms and Schedules so that the Call Off Contract is under Scottish Law. </w:t>
      </w:r>
    </w:p>
    <w:p w14:paraId="00000007" w14:textId="5526CF03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240" w:lineRule="auto"/>
        <w:ind w:left="3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2. Changes to the Core Terms </w:t>
      </w:r>
    </w:p>
    <w:p w14:paraId="00000008" w14:textId="44F584DA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726" w:right="52" w:hanging="72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2.1 Clause 19, (Other people’s rights in this contract) – “Contract Rights of Third Parties Act (CRTPA)” shall be replaced by </w:t>
      </w:r>
      <w:r>
        <w:rPr>
          <w:i/>
          <w:color w:val="000000"/>
          <w:sz w:val="23"/>
          <w:szCs w:val="23"/>
        </w:rPr>
        <w:t>“</w:t>
      </w:r>
      <w:r>
        <w:rPr>
          <w:color w:val="000000"/>
          <w:sz w:val="23"/>
          <w:szCs w:val="23"/>
        </w:rPr>
        <w:t>Contract (Third Party Rights) (Scotland) Act 2017 (CTPRSA)</w:t>
      </w:r>
      <w:r>
        <w:rPr>
          <w:i/>
          <w:color w:val="000000"/>
          <w:sz w:val="23"/>
          <w:szCs w:val="23"/>
        </w:rPr>
        <w:t xml:space="preserve">”. </w:t>
      </w:r>
      <w:r>
        <w:rPr>
          <w:color w:val="000000"/>
          <w:sz w:val="23"/>
          <w:szCs w:val="23"/>
        </w:rPr>
        <w:t>References to “</w:t>
      </w:r>
      <w:r>
        <w:rPr>
          <w:i/>
          <w:color w:val="000000"/>
          <w:sz w:val="23"/>
          <w:szCs w:val="23"/>
        </w:rPr>
        <w:t>CRTPA</w:t>
      </w:r>
      <w:r>
        <w:rPr>
          <w:color w:val="000000"/>
          <w:sz w:val="23"/>
          <w:szCs w:val="23"/>
        </w:rPr>
        <w:t>” shall be replaced by “</w:t>
      </w:r>
      <w:r>
        <w:rPr>
          <w:i/>
          <w:color w:val="000000"/>
          <w:sz w:val="23"/>
          <w:szCs w:val="23"/>
        </w:rPr>
        <w:t>CTPRSA</w:t>
      </w:r>
      <w:r>
        <w:rPr>
          <w:color w:val="000000"/>
          <w:sz w:val="23"/>
          <w:szCs w:val="23"/>
        </w:rPr>
        <w:t xml:space="preserve">”. </w:t>
      </w:r>
    </w:p>
    <w:p w14:paraId="00000009" w14:textId="5A791086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 Clause 34 (Resolving Disputes): </w:t>
      </w:r>
    </w:p>
    <w:p w14:paraId="0000000A" w14:textId="736D4446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1425" w:right="142" w:hanging="70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2.2.1 Clause 34.2 – add the following wording: “The governing law and jurisdiction provisions of CEDR’s Model Mediation Agreement shall be deemed to be amended to refer to the laws of Scotland and the Court of Session.” </w:t>
      </w:r>
    </w:p>
    <w:p w14:paraId="0000000B" w14:textId="659F67DC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44" w:right="957" w:hanging="721"/>
        <w:rPr>
          <w:i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2.2.2 Clause 34.3 The term “Courts of England and Wales” shall be amended to read </w:t>
      </w:r>
      <w:r>
        <w:rPr>
          <w:i/>
          <w:color w:val="000000"/>
          <w:sz w:val="23"/>
          <w:szCs w:val="23"/>
        </w:rPr>
        <w:t xml:space="preserve">“Court of Session” </w:t>
      </w:r>
    </w:p>
    <w:p w14:paraId="0000000C" w14:textId="1C7D5A31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72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2.2.3 Clause 34.4 – Conduct of Arbitration. </w:t>
      </w:r>
    </w:p>
    <w:p w14:paraId="0000000D" w14:textId="2190A8CB" w:rsidR="00B076C7" w:rsidRDefault="004D4AE9" w:rsidP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1450" w:right="22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(a) The words “</w:t>
      </w:r>
      <w:r>
        <w:rPr>
          <w:i/>
          <w:color w:val="000000"/>
          <w:sz w:val="23"/>
          <w:szCs w:val="23"/>
        </w:rPr>
        <w:t>under the London Court of International Arbitration rules current at the time of the Dispute</w:t>
      </w:r>
      <w:r>
        <w:rPr>
          <w:color w:val="000000"/>
          <w:sz w:val="23"/>
          <w:szCs w:val="23"/>
        </w:rPr>
        <w:t xml:space="preserve">” shall be deleted. </w:t>
      </w:r>
    </w:p>
    <w:p w14:paraId="0000000E" w14:textId="140B6698" w:rsidR="00B076C7" w:rsidRDefault="004D4AE9" w:rsidP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50" w:right="33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(b) The seat or legal place of the arbitration shall be amended so that it takes place in “</w:t>
      </w:r>
      <w:r>
        <w:rPr>
          <w:i/>
          <w:color w:val="000000"/>
          <w:sz w:val="23"/>
          <w:szCs w:val="23"/>
        </w:rPr>
        <w:t>Edinburgh</w:t>
      </w:r>
      <w:r>
        <w:rPr>
          <w:color w:val="000000"/>
          <w:sz w:val="23"/>
          <w:szCs w:val="23"/>
        </w:rPr>
        <w:t>” as opposed to “</w:t>
      </w:r>
      <w:r>
        <w:rPr>
          <w:i/>
          <w:color w:val="000000"/>
          <w:sz w:val="23"/>
          <w:szCs w:val="23"/>
        </w:rPr>
        <w:t>London</w:t>
      </w:r>
      <w:r>
        <w:rPr>
          <w:color w:val="000000"/>
          <w:sz w:val="23"/>
          <w:szCs w:val="23"/>
        </w:rPr>
        <w:t xml:space="preserve">”. </w:t>
      </w:r>
    </w:p>
    <w:p w14:paraId="0000000F" w14:textId="146B85C6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2165" w:right="95" w:hanging="715"/>
        <w:rPr>
          <w:i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(c) Add the following wording “</w:t>
      </w:r>
      <w:r>
        <w:rPr>
          <w:i/>
          <w:color w:val="000000"/>
          <w:sz w:val="23"/>
          <w:szCs w:val="23"/>
        </w:rPr>
        <w:t xml:space="preserve">The arbitration shall be conducted in accordance with the Arbitration (Scotland) Act 2010 subject to </w:t>
      </w:r>
    </w:p>
    <w:p w14:paraId="00000010" w14:textId="02429566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left="2172" w:right="7" w:hanging="4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disapplication in whole or in part of any of the default rules of the Scottish Arbitration Rules comprising Schedule 1 to that Act as </w:t>
      </w:r>
    </w:p>
    <w:p w14:paraId="00000011" w14:textId="7BF7CB60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2168"/>
        <w:rPr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>the Parties may agree</w:t>
      </w:r>
      <w:r>
        <w:rPr>
          <w:color w:val="000000"/>
          <w:sz w:val="23"/>
          <w:szCs w:val="23"/>
        </w:rPr>
        <w:t xml:space="preserve">.” </w:t>
      </w:r>
    </w:p>
    <w:p w14:paraId="00000012" w14:textId="3F46EB49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726" w:right="16" w:hanging="72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2.3 Clause 35 (Which Laws apply) – the words “</w:t>
      </w:r>
      <w:r>
        <w:rPr>
          <w:i/>
          <w:color w:val="000000"/>
          <w:sz w:val="23"/>
          <w:szCs w:val="23"/>
        </w:rPr>
        <w:t>English Law</w:t>
      </w:r>
      <w:r>
        <w:rPr>
          <w:color w:val="000000"/>
          <w:sz w:val="23"/>
          <w:szCs w:val="23"/>
        </w:rPr>
        <w:t>” shall be replaced by “</w:t>
      </w:r>
      <w:r>
        <w:rPr>
          <w:i/>
          <w:color w:val="000000"/>
          <w:sz w:val="23"/>
          <w:szCs w:val="23"/>
        </w:rPr>
        <w:t xml:space="preserve">the Law of Scotland </w:t>
      </w:r>
      <w:r>
        <w:rPr>
          <w:color w:val="000000"/>
          <w:sz w:val="23"/>
          <w:szCs w:val="23"/>
        </w:rPr>
        <w:t xml:space="preserve">”. </w:t>
      </w:r>
    </w:p>
    <w:p w14:paraId="00000013" w14:textId="745C23F4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1" w:line="240" w:lineRule="auto"/>
        <w:ind w:left="6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3. Changes to the Joint Schedules </w:t>
      </w:r>
    </w:p>
    <w:p w14:paraId="00000014" w14:textId="53812076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 Joint Schedule 1 – Definitions shall be amended as follows: </w:t>
      </w:r>
    </w:p>
    <w:p w14:paraId="00000015" w14:textId="4127BF52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1450" w:right="-11" w:hanging="723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3.1.1 The definition of “CRTPA” shall be replaced by “CTPRSA” the Contract (Third Party Rights) (Scotland) Act 2017”. </w:t>
      </w:r>
    </w:p>
    <w:p w14:paraId="00000016" w14:textId="2E7005F5" w:rsidR="00B076C7" w:rsidRDefault="004D4AE9" w:rsidP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726" w:right="441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3.1.2 In the definition of “Dispute” the reference to “</w:t>
      </w:r>
      <w:r>
        <w:rPr>
          <w:i/>
          <w:color w:val="000000"/>
          <w:sz w:val="23"/>
          <w:szCs w:val="23"/>
        </w:rPr>
        <w:t>English law</w:t>
      </w:r>
      <w:r>
        <w:rPr>
          <w:color w:val="000000"/>
          <w:sz w:val="23"/>
          <w:szCs w:val="23"/>
        </w:rPr>
        <w:t>” shall be replaced by “</w:t>
      </w:r>
      <w:r>
        <w:rPr>
          <w:i/>
          <w:color w:val="000000"/>
          <w:sz w:val="23"/>
          <w:szCs w:val="23"/>
        </w:rPr>
        <w:t>the Law of Scotland</w:t>
      </w:r>
      <w:r>
        <w:rPr>
          <w:color w:val="000000"/>
          <w:sz w:val="23"/>
          <w:szCs w:val="23"/>
        </w:rPr>
        <w:t>” and the reference to the “</w:t>
      </w:r>
      <w:r>
        <w:rPr>
          <w:i/>
          <w:color w:val="000000"/>
          <w:sz w:val="23"/>
          <w:szCs w:val="23"/>
        </w:rPr>
        <w:t>English courts</w:t>
      </w:r>
      <w:r>
        <w:rPr>
          <w:color w:val="000000"/>
          <w:sz w:val="23"/>
          <w:szCs w:val="23"/>
        </w:rPr>
        <w:t>” shall be replaced by the “</w:t>
      </w:r>
      <w:r>
        <w:rPr>
          <w:i/>
          <w:color w:val="000000"/>
          <w:sz w:val="23"/>
          <w:szCs w:val="23"/>
        </w:rPr>
        <w:t>courts of Scotland</w:t>
      </w:r>
      <w:r>
        <w:rPr>
          <w:color w:val="000000"/>
          <w:sz w:val="23"/>
          <w:szCs w:val="23"/>
        </w:rPr>
        <w:t xml:space="preserve">”. </w:t>
      </w:r>
    </w:p>
    <w:p w14:paraId="00000017" w14:textId="62F44FBE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51" w:right="962" w:hanging="724"/>
        <w:rPr>
          <w:i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3.1.3 In the definition of “Insolvency Event” – the word </w:t>
      </w:r>
      <w:r>
        <w:rPr>
          <w:i/>
          <w:color w:val="000000"/>
          <w:sz w:val="23"/>
          <w:szCs w:val="23"/>
        </w:rPr>
        <w:t xml:space="preserve">“Assignment” </w:t>
      </w:r>
      <w:r>
        <w:rPr>
          <w:color w:val="000000"/>
          <w:sz w:val="23"/>
          <w:szCs w:val="23"/>
        </w:rPr>
        <w:t xml:space="preserve">replaced by </w:t>
      </w:r>
      <w:r>
        <w:rPr>
          <w:i/>
          <w:color w:val="000000"/>
          <w:sz w:val="23"/>
          <w:szCs w:val="23"/>
        </w:rPr>
        <w:t xml:space="preserve">“Assignation”. </w:t>
      </w:r>
    </w:p>
    <w:p w14:paraId="00000018" w14:textId="7777777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00" w:line="240" w:lineRule="auto"/>
        <w:ind w:left="1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Framework Ref: RM6299 </w:t>
      </w:r>
    </w:p>
    <w:p w14:paraId="00000019" w14:textId="7777777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Project Version: v1.0 </w:t>
      </w:r>
    </w:p>
    <w:p w14:paraId="0000001A" w14:textId="7777777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Model Version: v1.0</w:t>
      </w:r>
    </w:p>
    <w:p w14:paraId="0000001B" w14:textId="7777777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Call-Off Schedule 19 (Scottish Law) </w:t>
      </w:r>
    </w:p>
    <w:p w14:paraId="0000001C" w14:textId="7777777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Call-Off Ref: </w:t>
      </w:r>
    </w:p>
    <w:p w14:paraId="0000001D" w14:textId="7777777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2018 </w:t>
      </w:r>
    </w:p>
    <w:p w14:paraId="0000001E" w14:textId="33E9367C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29" w:lineRule="auto"/>
        <w:ind w:left="1461" w:right="749" w:hanging="734"/>
        <w:rPr>
          <w:i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 xml:space="preserve">3.1.4 In the definition of “Losses” the word </w:t>
      </w:r>
      <w:r>
        <w:rPr>
          <w:i/>
          <w:color w:val="000000"/>
          <w:sz w:val="23"/>
          <w:szCs w:val="23"/>
        </w:rPr>
        <w:t xml:space="preserve">“tort” </w:t>
      </w:r>
      <w:r>
        <w:rPr>
          <w:color w:val="000000"/>
          <w:sz w:val="23"/>
          <w:szCs w:val="23"/>
        </w:rPr>
        <w:t xml:space="preserve">shall be replaced with </w:t>
      </w:r>
      <w:r>
        <w:rPr>
          <w:i/>
          <w:color w:val="000000"/>
          <w:sz w:val="23"/>
          <w:szCs w:val="23"/>
        </w:rPr>
        <w:t xml:space="preserve">“delict”. </w:t>
      </w:r>
    </w:p>
    <w:p w14:paraId="0000001F" w14:textId="3C616B12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40" w:right="362" w:hanging="713"/>
        <w:rPr>
          <w:i/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3.1.5 In part (a) of the definition of “Intellectual Property Rights</w:t>
      </w:r>
      <w:r>
        <w:rPr>
          <w:i/>
          <w:color w:val="000000"/>
          <w:sz w:val="23"/>
          <w:szCs w:val="23"/>
        </w:rPr>
        <w:t xml:space="preserve">” </w:t>
      </w:r>
      <w:r>
        <w:rPr>
          <w:color w:val="000000"/>
          <w:sz w:val="23"/>
          <w:szCs w:val="23"/>
        </w:rPr>
        <w:t xml:space="preserve">the words </w:t>
      </w:r>
      <w:r>
        <w:rPr>
          <w:i/>
          <w:color w:val="000000"/>
          <w:sz w:val="23"/>
          <w:szCs w:val="23"/>
        </w:rPr>
        <w:t xml:space="preserve">“Know-How” </w:t>
      </w:r>
      <w:r>
        <w:rPr>
          <w:color w:val="000000"/>
          <w:sz w:val="23"/>
          <w:szCs w:val="23"/>
        </w:rPr>
        <w:t xml:space="preserve">and </w:t>
      </w:r>
      <w:r>
        <w:rPr>
          <w:i/>
          <w:color w:val="000000"/>
          <w:sz w:val="23"/>
          <w:szCs w:val="23"/>
        </w:rPr>
        <w:t xml:space="preserve">“trade secrets” </w:t>
      </w:r>
      <w:r>
        <w:rPr>
          <w:color w:val="000000"/>
          <w:sz w:val="23"/>
          <w:szCs w:val="23"/>
        </w:rPr>
        <w:t>refer to pre-existing know-how and trade secrets only</w:t>
      </w:r>
      <w:r>
        <w:rPr>
          <w:i/>
          <w:color w:val="000000"/>
          <w:sz w:val="23"/>
          <w:szCs w:val="23"/>
        </w:rPr>
        <w:t xml:space="preserve">. </w:t>
      </w:r>
    </w:p>
    <w:p w14:paraId="00000020" w14:textId="11196FE4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45" w:right="1015" w:hanging="71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3.1.6 “Working Day”: reference to “England and Wales” replaced by “Scotland” </w:t>
      </w:r>
    </w:p>
    <w:p w14:paraId="00000021" w14:textId="1EE7F4DB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729" w:right="60" w:hanging="72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3.2 Where a Guarantee is selected, the following provisions of Joint Schedule 8 – Guarantee shall be amended as follows: </w:t>
      </w:r>
    </w:p>
    <w:p w14:paraId="00000022" w14:textId="0198974E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1448" w:right="738" w:hanging="722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3.2.1 Throughout the whole Schedule delete all references to “deed of Guarantee” merely express as “Guarantee” </w:t>
      </w:r>
    </w:p>
    <w:p w14:paraId="00000023" w14:textId="2422F64E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726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3.2.2 In Annex 1 - Form of Guarantee: </w:t>
      </w:r>
    </w:p>
    <w:p w14:paraId="00000024" w14:textId="4DED162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145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(a) WHEREAS (B) “deed” replaced by “contract” </w:t>
      </w:r>
    </w:p>
    <w:p w14:paraId="00000025" w14:textId="2BA65DAB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2170" w:right="-8" w:hanging="72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(b) Clause 4.1 Delete references to “England and Wales” when referring to addresses. </w:t>
      </w:r>
    </w:p>
    <w:p w14:paraId="00000026" w14:textId="005575B9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2165" w:right="-19" w:hanging="714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(c) Clause 12 – the word “</w:t>
      </w:r>
      <w:r>
        <w:rPr>
          <w:i/>
          <w:color w:val="000000"/>
          <w:sz w:val="23"/>
          <w:szCs w:val="23"/>
        </w:rPr>
        <w:t xml:space="preserve">assignment” </w:t>
      </w:r>
      <w:r>
        <w:rPr>
          <w:color w:val="000000"/>
          <w:sz w:val="23"/>
          <w:szCs w:val="23"/>
        </w:rPr>
        <w:t xml:space="preserve">shall be amended to “assignation”. </w:t>
      </w:r>
    </w:p>
    <w:p w14:paraId="00000027" w14:textId="22441256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2162" w:right="-13" w:hanging="711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(d) Clause 14 – “Contract (Rights of Third Parties) Act 1999” shall be amended to “Contract (Third Party Rights) (Scotland) Act 2017”. </w:t>
      </w:r>
    </w:p>
    <w:p w14:paraId="00000028" w14:textId="1E138D01" w:rsidR="00B076C7" w:rsidRDefault="004D4AE9" w:rsidP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29" w:lineRule="auto"/>
        <w:ind w:left="2159" w:right="-16" w:hanging="709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(e) Clause 16 Governing Law (add “and Jurisdiction”). References to </w:t>
      </w:r>
      <w:r>
        <w:rPr>
          <w:i/>
          <w:color w:val="000000"/>
          <w:sz w:val="23"/>
          <w:szCs w:val="23"/>
        </w:rPr>
        <w:t xml:space="preserve">“Courts of England” </w:t>
      </w:r>
      <w:r>
        <w:rPr>
          <w:color w:val="000000"/>
          <w:sz w:val="23"/>
          <w:szCs w:val="23"/>
        </w:rPr>
        <w:t xml:space="preserve">to be replaced by </w:t>
      </w:r>
      <w:r>
        <w:rPr>
          <w:i/>
          <w:color w:val="000000"/>
          <w:sz w:val="23"/>
          <w:szCs w:val="23"/>
        </w:rPr>
        <w:t xml:space="preserve">“Court of Session”. </w:t>
      </w:r>
      <w:r>
        <w:rPr>
          <w:color w:val="000000"/>
          <w:sz w:val="23"/>
          <w:szCs w:val="23"/>
        </w:rPr>
        <w:t xml:space="preserve">References to </w:t>
      </w:r>
      <w:r>
        <w:rPr>
          <w:i/>
          <w:color w:val="000000"/>
          <w:sz w:val="23"/>
          <w:szCs w:val="23"/>
        </w:rPr>
        <w:t xml:space="preserve">“English” </w:t>
      </w:r>
      <w:r>
        <w:rPr>
          <w:color w:val="000000"/>
          <w:sz w:val="23"/>
          <w:szCs w:val="23"/>
        </w:rPr>
        <w:t xml:space="preserve">to be replaced by </w:t>
      </w:r>
      <w:r>
        <w:rPr>
          <w:i/>
          <w:color w:val="000000"/>
          <w:sz w:val="23"/>
          <w:szCs w:val="23"/>
        </w:rPr>
        <w:t>“Scottish”</w:t>
      </w:r>
      <w:r>
        <w:rPr>
          <w:color w:val="000000"/>
          <w:sz w:val="23"/>
          <w:szCs w:val="23"/>
        </w:rPr>
        <w:t>. References to “</w:t>
      </w:r>
      <w:r>
        <w:rPr>
          <w:i/>
          <w:color w:val="000000"/>
          <w:sz w:val="23"/>
          <w:szCs w:val="23"/>
        </w:rPr>
        <w:t>England and Wales”</w:t>
      </w:r>
      <w:r>
        <w:rPr>
          <w:color w:val="000000"/>
          <w:sz w:val="23"/>
          <w:szCs w:val="23"/>
        </w:rPr>
        <w:t xml:space="preserve"> to be replaced by “Scotland</w:t>
      </w:r>
      <w:r>
        <w:rPr>
          <w:i/>
          <w:color w:val="000000"/>
          <w:sz w:val="23"/>
          <w:szCs w:val="23"/>
        </w:rPr>
        <w:t>”</w:t>
      </w:r>
      <w:r>
        <w:rPr>
          <w:color w:val="000000"/>
          <w:sz w:val="23"/>
          <w:szCs w:val="23"/>
        </w:rPr>
        <w:t xml:space="preserve">. </w:t>
      </w:r>
    </w:p>
    <w:p w14:paraId="00000029" w14:textId="6F3836C0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45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(f) Alter execution strip to read as follows: </w:t>
      </w:r>
    </w:p>
    <w:p w14:paraId="0000002A" w14:textId="4DCE3F6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left="27" w:right="143" w:hanging="4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“IN WITNESS WHEREOF THESE PRESENTS CONSISTING OF THIS PAGE AND THE [ ] PRECEDING PAGES ARE EXECUTED IN DUPLICATE AS FOLLOWS: </w:t>
      </w:r>
    </w:p>
    <w:p w14:paraId="0000002B" w14:textId="06E46C4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" w:line="240" w:lineRule="auto"/>
        <w:ind w:left="13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SIGNATURE: </w:t>
      </w:r>
    </w:p>
    <w:p w14:paraId="0000002C" w14:textId="0A40135D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8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NAME: </w:t>
      </w:r>
    </w:p>
    <w:p w14:paraId="0000002D" w14:textId="6F463E45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7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POSITION: </w:t>
      </w:r>
    </w:p>
    <w:p w14:paraId="0000002E" w14:textId="60D3A694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7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PLACE OF SIGNING: </w:t>
      </w:r>
    </w:p>
    <w:p w14:paraId="0000002F" w14:textId="4BA2ECFB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7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DATE: </w:t>
      </w:r>
    </w:p>
    <w:p w14:paraId="00000030" w14:textId="3922FFA1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27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WITNESS: </w:t>
      </w:r>
    </w:p>
    <w:p w14:paraId="00000031" w14:textId="66450980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27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WITNESS NAME: </w:t>
      </w:r>
    </w:p>
    <w:p w14:paraId="00000032" w14:textId="32D4081F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40" w:lineRule="auto"/>
        <w:ind w:left="27"/>
        <w:rPr>
          <w:i/>
          <w:color w:val="000000"/>
          <w:sz w:val="23"/>
          <w:szCs w:val="23"/>
        </w:rPr>
      </w:pPr>
      <w:r>
        <w:rPr>
          <w:i/>
          <w:color w:val="000000"/>
          <w:sz w:val="23"/>
          <w:szCs w:val="23"/>
        </w:rPr>
        <w:t xml:space="preserve">WITNESS ADDRESS:” </w:t>
      </w:r>
    </w:p>
    <w:p w14:paraId="00000033" w14:textId="730734DC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1" w:line="240" w:lineRule="auto"/>
        <w:ind w:left="1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4. Changes to Call-Off Schedules </w:t>
      </w:r>
    </w:p>
    <w:p w14:paraId="00000034" w14:textId="7777777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 w:line="240" w:lineRule="auto"/>
        <w:ind w:left="14"/>
        <w:rPr>
          <w:rFonts w:ascii="Calibri" w:eastAsia="Calibri" w:hAnsi="Calibri" w:cs="Calibri"/>
          <w:color w:val="000000"/>
          <w:sz w:val="21"/>
          <w:szCs w:val="21"/>
        </w:rPr>
      </w:pPr>
      <w:r>
        <w:rPr>
          <w:rFonts w:ascii="Calibri" w:eastAsia="Calibri" w:hAnsi="Calibri" w:cs="Calibri"/>
          <w:b/>
          <w:color w:val="000000"/>
          <w:sz w:val="21"/>
          <w:szCs w:val="21"/>
          <w:highlight w:val="yellow"/>
        </w:rPr>
        <w:t>[Buyer Guidance</w:t>
      </w:r>
      <w:r>
        <w:rPr>
          <w:rFonts w:ascii="Calibri" w:eastAsia="Calibri" w:hAnsi="Calibri" w:cs="Calibri"/>
          <w:b/>
          <w:color w:val="000000"/>
          <w:sz w:val="21"/>
          <w:szCs w:val="21"/>
        </w:rPr>
        <w:t xml:space="preserve"> </w:t>
      </w:r>
      <w:r>
        <w:rPr>
          <w:rFonts w:ascii="Calibri" w:eastAsia="Calibri" w:hAnsi="Calibri" w:cs="Calibri"/>
          <w:color w:val="000000"/>
          <w:sz w:val="21"/>
          <w:szCs w:val="21"/>
        </w:rPr>
        <w:t xml:space="preserve">Insert any amendments to the Call-Off schedules where Scosh Law applies] </w:t>
      </w:r>
    </w:p>
    <w:p w14:paraId="00000035" w14:textId="7777777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9" w:line="240" w:lineRule="auto"/>
        <w:ind w:left="1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Framework Ref: RM6299 </w:t>
      </w:r>
    </w:p>
    <w:p w14:paraId="00000036" w14:textId="7777777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Project Version: v1.0 </w:t>
      </w:r>
    </w:p>
    <w:p w14:paraId="00000037" w14:textId="7777777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Model Version: v1.0</w:t>
      </w:r>
    </w:p>
    <w:p w14:paraId="00000038" w14:textId="7777777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b/>
          <w:color w:val="000000"/>
          <w:sz w:val="19"/>
          <w:szCs w:val="19"/>
        </w:rPr>
      </w:pPr>
      <w:r>
        <w:rPr>
          <w:b/>
          <w:color w:val="000000"/>
          <w:sz w:val="19"/>
          <w:szCs w:val="19"/>
        </w:rPr>
        <w:t xml:space="preserve">Call-Off Schedule 19 (Scottish Law) </w:t>
      </w:r>
    </w:p>
    <w:p w14:paraId="00000039" w14:textId="7777777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Call-Off Ref: </w:t>
      </w:r>
    </w:p>
    <w:p w14:paraId="0000003A" w14:textId="7777777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Crown Copyright 2018 </w:t>
      </w:r>
    </w:p>
    <w:p w14:paraId="0000003B" w14:textId="38188215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40" w:lineRule="auto"/>
        <w:ind w:left="7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5. References to Legislation </w:t>
      </w:r>
    </w:p>
    <w:p w14:paraId="0000003C" w14:textId="6C38F8BE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 w:line="229" w:lineRule="auto"/>
        <w:ind w:right="-16" w:hanging="1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Where legislation applicable to England and Wales only is expressly mentioned in this Call Off Contract it shall have the effect of substituting the equivalent legislation applicable in Scotland. </w:t>
      </w:r>
    </w:p>
    <w:p w14:paraId="0000003D" w14:textId="7777777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767" w:line="240" w:lineRule="auto"/>
        <w:ind w:left="13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lastRenderedPageBreak/>
        <w:t xml:space="preserve">Framework Ref: RM6299 </w:t>
      </w:r>
    </w:p>
    <w:p w14:paraId="0000003E" w14:textId="7777777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2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 xml:space="preserve">Project Version: v1.0 </w:t>
      </w:r>
    </w:p>
    <w:p w14:paraId="0000003F" w14:textId="77777777" w:rsidR="00B076C7" w:rsidRDefault="004D4AE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1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t>Model Version: v1.0</w:t>
      </w:r>
    </w:p>
    <w:sectPr w:rsidR="00B076C7">
      <w:pgSz w:w="11880" w:h="16840"/>
      <w:pgMar w:top="554" w:right="1354" w:bottom="635" w:left="144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6C7"/>
    <w:rsid w:val="004D4AE9"/>
    <w:rsid w:val="005D77E9"/>
    <w:rsid w:val="00B0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BD9B8"/>
  <w15:docId w15:val="{F578329B-197B-447F-B98A-9F7BA0F7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Baljinder Love</dc:creator>
  <cp:lastModifiedBy>Baljinder Love</cp:lastModifiedBy>
  <cp:revision>2</cp:revision>
  <dcterms:created xsi:type="dcterms:W3CDTF">2024-04-24T08:00:00Z</dcterms:created>
  <dcterms:modified xsi:type="dcterms:W3CDTF">2024-04-24T08:00:00Z</dcterms:modified>
</cp:coreProperties>
</file>