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64DC4" w:rsidRDefault="003234EE">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21 (Northern Ireland Law) </w:t>
      </w:r>
    </w:p>
    <w:p w14:paraId="00000002" w14:textId="77777777" w:rsidR="00364DC4" w:rsidRDefault="003234EE">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00000003" w14:textId="77777777" w:rsidR="00364DC4" w:rsidRDefault="003234EE">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76C5C2BA" w14:textId="77777777" w:rsidR="001D0DB3" w:rsidRDefault="003234EE">
      <w:pPr>
        <w:widowControl w:val="0"/>
        <w:pBdr>
          <w:top w:val="nil"/>
          <w:left w:val="nil"/>
          <w:bottom w:val="nil"/>
          <w:right w:val="nil"/>
          <w:between w:val="nil"/>
        </w:pBdr>
        <w:spacing w:before="493" w:line="300" w:lineRule="auto"/>
        <w:ind w:left="15" w:right="1967" w:hanging="2"/>
        <w:rPr>
          <w:b/>
          <w:color w:val="000000"/>
          <w:sz w:val="35"/>
          <w:szCs w:val="35"/>
        </w:rPr>
      </w:pPr>
      <w:r>
        <w:rPr>
          <w:b/>
          <w:color w:val="000000"/>
          <w:sz w:val="35"/>
          <w:szCs w:val="35"/>
        </w:rPr>
        <w:t xml:space="preserve">Call-Off Schedule 21 (Northern Ireland Law) </w:t>
      </w:r>
    </w:p>
    <w:p w14:paraId="00000004" w14:textId="1085C43B" w:rsidR="00364DC4" w:rsidRDefault="003234EE">
      <w:pPr>
        <w:widowControl w:val="0"/>
        <w:pBdr>
          <w:top w:val="nil"/>
          <w:left w:val="nil"/>
          <w:bottom w:val="nil"/>
          <w:right w:val="nil"/>
          <w:between w:val="nil"/>
        </w:pBdr>
        <w:spacing w:before="493" w:line="300" w:lineRule="auto"/>
        <w:ind w:left="15" w:right="1967" w:hanging="2"/>
        <w:rPr>
          <w:b/>
          <w:color w:val="000000"/>
          <w:sz w:val="23"/>
          <w:szCs w:val="23"/>
        </w:rPr>
      </w:pPr>
      <w:bookmarkStart w:id="0" w:name="_GoBack"/>
      <w:bookmarkEnd w:id="0"/>
      <w:r>
        <w:rPr>
          <w:b/>
          <w:color w:val="000000"/>
          <w:sz w:val="23"/>
          <w:szCs w:val="23"/>
        </w:rPr>
        <w:t xml:space="preserve">1. When you should use this Schedule </w:t>
      </w:r>
    </w:p>
    <w:p w14:paraId="00000005" w14:textId="18DABFB5" w:rsidR="00364DC4" w:rsidRDefault="003234EE">
      <w:pPr>
        <w:widowControl w:val="0"/>
        <w:pBdr>
          <w:top w:val="nil"/>
          <w:left w:val="nil"/>
          <w:bottom w:val="nil"/>
          <w:right w:val="nil"/>
          <w:between w:val="nil"/>
        </w:pBdr>
        <w:spacing w:before="4" w:line="229" w:lineRule="auto"/>
        <w:ind w:left="23" w:right="-5"/>
        <w:jc w:val="center"/>
        <w:rPr>
          <w:color w:val="000000"/>
          <w:sz w:val="23"/>
          <w:szCs w:val="23"/>
        </w:rPr>
      </w:pPr>
      <w:r>
        <w:rPr>
          <w:color w:val="000000"/>
          <w:sz w:val="23"/>
          <w:szCs w:val="23"/>
        </w:rPr>
        <w:t xml:space="preserve">1.1. This Call-Off Schedule 21 may be included to adapt the Core Terms and Schedules so that the Call-Off Contract is under Northern Ireland Law. </w:t>
      </w:r>
    </w:p>
    <w:p w14:paraId="00000006" w14:textId="6665BE4F" w:rsidR="00364DC4" w:rsidRDefault="003234EE">
      <w:pPr>
        <w:widowControl w:val="0"/>
        <w:pBdr>
          <w:top w:val="nil"/>
          <w:left w:val="nil"/>
          <w:bottom w:val="nil"/>
          <w:right w:val="nil"/>
          <w:between w:val="nil"/>
        </w:pBdr>
        <w:spacing w:before="544" w:line="240" w:lineRule="auto"/>
        <w:ind w:left="2"/>
        <w:rPr>
          <w:b/>
          <w:color w:val="000000"/>
          <w:sz w:val="23"/>
          <w:szCs w:val="23"/>
        </w:rPr>
      </w:pPr>
      <w:r>
        <w:rPr>
          <w:b/>
          <w:color w:val="000000"/>
          <w:sz w:val="23"/>
          <w:szCs w:val="23"/>
        </w:rPr>
        <w:t xml:space="preserve">2. Changes to the Core Terms </w:t>
      </w:r>
    </w:p>
    <w:p w14:paraId="00000007" w14:textId="664FB08A" w:rsidR="00364DC4" w:rsidRDefault="003234EE">
      <w:pPr>
        <w:widowControl w:val="0"/>
        <w:pBdr>
          <w:top w:val="nil"/>
          <w:left w:val="nil"/>
          <w:bottom w:val="nil"/>
          <w:right w:val="nil"/>
          <w:between w:val="nil"/>
        </w:pBdr>
        <w:spacing w:before="115" w:line="240" w:lineRule="auto"/>
        <w:ind w:left="3"/>
        <w:rPr>
          <w:color w:val="000000"/>
          <w:sz w:val="23"/>
          <w:szCs w:val="23"/>
        </w:rPr>
      </w:pPr>
      <w:r>
        <w:rPr>
          <w:color w:val="000000"/>
          <w:sz w:val="23"/>
          <w:szCs w:val="23"/>
        </w:rPr>
        <w:t xml:space="preserve">2.1. Clause 34 (Resolving Disputes): </w:t>
      </w:r>
    </w:p>
    <w:p w14:paraId="00000008" w14:textId="4BFFB7DC" w:rsidR="00364DC4" w:rsidRDefault="003234EE">
      <w:pPr>
        <w:widowControl w:val="0"/>
        <w:pBdr>
          <w:top w:val="nil"/>
          <w:left w:val="nil"/>
          <w:bottom w:val="nil"/>
          <w:right w:val="nil"/>
          <w:between w:val="nil"/>
        </w:pBdr>
        <w:spacing w:before="115" w:line="229" w:lineRule="auto"/>
        <w:ind w:left="720" w:right="-19" w:hanging="716"/>
        <w:jc w:val="both"/>
        <w:rPr>
          <w:color w:val="000000"/>
          <w:sz w:val="23"/>
          <w:szCs w:val="23"/>
        </w:rPr>
      </w:pPr>
      <w:r>
        <w:rPr>
          <w:color w:val="000000"/>
          <w:sz w:val="23"/>
          <w:szCs w:val="23"/>
        </w:rPr>
        <w:t xml:space="preserve">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 </w:t>
      </w:r>
    </w:p>
    <w:p w14:paraId="00000009" w14:textId="682F716B" w:rsidR="00364DC4" w:rsidRDefault="003234EE">
      <w:pPr>
        <w:widowControl w:val="0"/>
        <w:pBdr>
          <w:top w:val="nil"/>
          <w:left w:val="nil"/>
          <w:bottom w:val="nil"/>
          <w:right w:val="nil"/>
          <w:between w:val="nil"/>
        </w:pBdr>
        <w:spacing w:before="125" w:line="229" w:lineRule="auto"/>
        <w:ind w:left="726" w:right="-11" w:hanging="722"/>
        <w:rPr>
          <w:color w:val="000000"/>
          <w:sz w:val="23"/>
          <w:szCs w:val="23"/>
        </w:rPr>
      </w:pPr>
      <w:r>
        <w:rPr>
          <w:color w:val="000000"/>
          <w:sz w:val="23"/>
          <w:szCs w:val="23"/>
        </w:rPr>
        <w:t xml:space="preserve">2.1.2 Clause 34.3: the term “Courts of England and Wales” shall be amended to read “Courts of Northern Ireland”. </w:t>
      </w:r>
    </w:p>
    <w:p w14:paraId="0000000A" w14:textId="673D5EC3" w:rsidR="00364DC4" w:rsidRDefault="003234EE">
      <w:pPr>
        <w:widowControl w:val="0"/>
        <w:pBdr>
          <w:top w:val="nil"/>
          <w:left w:val="nil"/>
          <w:bottom w:val="nil"/>
          <w:right w:val="nil"/>
          <w:between w:val="nil"/>
        </w:pBdr>
        <w:spacing w:before="125" w:line="229" w:lineRule="auto"/>
        <w:ind w:left="720" w:right="-17" w:hanging="716"/>
        <w:rPr>
          <w:color w:val="000000"/>
          <w:sz w:val="23"/>
          <w:szCs w:val="23"/>
        </w:rPr>
      </w:pPr>
      <w:r>
        <w:rPr>
          <w:color w:val="000000"/>
          <w:sz w:val="23"/>
          <w:szCs w:val="23"/>
        </w:rPr>
        <w:t xml:space="preserve">2.1.3 Clause 34.4: the seat or legal place of the arbitration shall be amended, so that it takes place in Belfast as opposed to London. </w:t>
      </w:r>
    </w:p>
    <w:p w14:paraId="0000000B" w14:textId="6EB7BD4D" w:rsidR="00364DC4" w:rsidRDefault="003234EE">
      <w:pPr>
        <w:widowControl w:val="0"/>
        <w:pBdr>
          <w:top w:val="nil"/>
          <w:left w:val="nil"/>
          <w:bottom w:val="nil"/>
          <w:right w:val="nil"/>
          <w:between w:val="nil"/>
        </w:pBdr>
        <w:spacing w:before="125" w:line="229" w:lineRule="auto"/>
        <w:ind w:left="726" w:right="-7" w:hanging="722"/>
        <w:rPr>
          <w:color w:val="000000"/>
          <w:sz w:val="23"/>
          <w:szCs w:val="23"/>
        </w:rPr>
      </w:pPr>
      <w:r>
        <w:rPr>
          <w:color w:val="000000"/>
          <w:sz w:val="23"/>
          <w:szCs w:val="23"/>
        </w:rPr>
        <w:t xml:space="preserve">2.2. 2.2 Clause 35 (Which Laws apply): the term “English Law” shall be replaced with “the Law of Northern Ireland”. </w:t>
      </w:r>
    </w:p>
    <w:p w14:paraId="0000000C" w14:textId="2C99F5E0" w:rsidR="00364DC4" w:rsidRDefault="003234EE">
      <w:pPr>
        <w:widowControl w:val="0"/>
        <w:pBdr>
          <w:top w:val="nil"/>
          <w:left w:val="nil"/>
          <w:bottom w:val="nil"/>
          <w:right w:val="nil"/>
          <w:between w:val="nil"/>
        </w:pBdr>
        <w:spacing w:before="521" w:line="240" w:lineRule="auto"/>
        <w:ind w:left="5"/>
        <w:rPr>
          <w:b/>
          <w:color w:val="000000"/>
          <w:sz w:val="23"/>
          <w:szCs w:val="23"/>
        </w:rPr>
      </w:pPr>
      <w:r>
        <w:rPr>
          <w:b/>
          <w:color w:val="000000"/>
          <w:sz w:val="23"/>
          <w:szCs w:val="23"/>
        </w:rPr>
        <w:t xml:space="preserve">3. Changes to the Joint Schedules </w:t>
      </w:r>
    </w:p>
    <w:p w14:paraId="0000000D" w14:textId="57123D1C" w:rsidR="00364DC4" w:rsidRDefault="003234EE">
      <w:pPr>
        <w:widowControl w:val="0"/>
        <w:pBdr>
          <w:top w:val="nil"/>
          <w:left w:val="nil"/>
          <w:bottom w:val="nil"/>
          <w:right w:val="nil"/>
          <w:between w:val="nil"/>
        </w:pBdr>
        <w:spacing w:before="115" w:line="240" w:lineRule="auto"/>
        <w:ind w:left="6"/>
        <w:rPr>
          <w:color w:val="000000"/>
          <w:sz w:val="23"/>
          <w:szCs w:val="23"/>
        </w:rPr>
      </w:pPr>
      <w:r>
        <w:rPr>
          <w:color w:val="000000"/>
          <w:sz w:val="23"/>
          <w:szCs w:val="23"/>
        </w:rPr>
        <w:t xml:space="preserve">3.1. Joint Schedule 1 - Definitions </w:t>
      </w:r>
    </w:p>
    <w:p w14:paraId="0000000E" w14:textId="60E82680" w:rsidR="00364DC4" w:rsidRDefault="003234EE">
      <w:pPr>
        <w:widowControl w:val="0"/>
        <w:pBdr>
          <w:top w:val="nil"/>
          <w:left w:val="nil"/>
          <w:bottom w:val="nil"/>
          <w:right w:val="nil"/>
          <w:between w:val="nil"/>
        </w:pBdr>
        <w:spacing w:before="115" w:line="229" w:lineRule="auto"/>
        <w:ind w:left="723" w:right="-11" w:hanging="716"/>
        <w:jc w:val="both"/>
        <w:rPr>
          <w:color w:val="000000"/>
          <w:sz w:val="23"/>
          <w:szCs w:val="23"/>
        </w:rPr>
      </w:pPr>
      <w:r>
        <w:rPr>
          <w:color w:val="000000"/>
          <w:sz w:val="23"/>
          <w:szCs w:val="23"/>
        </w:rPr>
        <w:t xml:space="preserve">3.1.1. “Insolvency Event”: any reference to a Part or section of the Insolvency Act 1986 shall be deemed to include an alternative reference, if applicable, to the equivalent Part or section of the Insolvency (Northern Ireland) Order 1989. </w:t>
      </w:r>
    </w:p>
    <w:p w14:paraId="0000000F" w14:textId="6083166A" w:rsidR="00364DC4" w:rsidRDefault="003234EE">
      <w:pPr>
        <w:widowControl w:val="0"/>
        <w:pBdr>
          <w:top w:val="nil"/>
          <w:left w:val="nil"/>
          <w:bottom w:val="nil"/>
          <w:right w:val="nil"/>
          <w:between w:val="nil"/>
        </w:pBdr>
        <w:spacing w:before="125" w:line="329" w:lineRule="auto"/>
        <w:ind w:left="6" w:right="218"/>
        <w:rPr>
          <w:color w:val="000000"/>
          <w:sz w:val="23"/>
          <w:szCs w:val="23"/>
        </w:rPr>
      </w:pPr>
      <w:r>
        <w:rPr>
          <w:color w:val="000000"/>
          <w:sz w:val="23"/>
          <w:szCs w:val="23"/>
        </w:rPr>
        <w:t xml:space="preserve">3.1.2 “Working Day”: reference to “England and Wales” replaced by “Northern Ireland” 3.2. Joint Schedule 5 - Corporate Social Responsibility </w:t>
      </w:r>
    </w:p>
    <w:p w14:paraId="00000010" w14:textId="3209C995" w:rsidR="00364DC4" w:rsidRDefault="003234EE">
      <w:pPr>
        <w:widowControl w:val="0"/>
        <w:pBdr>
          <w:top w:val="nil"/>
          <w:left w:val="nil"/>
          <w:bottom w:val="nil"/>
          <w:right w:val="nil"/>
          <w:between w:val="nil"/>
        </w:pBdr>
        <w:spacing w:before="26" w:line="240" w:lineRule="auto"/>
        <w:ind w:left="6"/>
        <w:rPr>
          <w:color w:val="000000"/>
          <w:sz w:val="23"/>
          <w:szCs w:val="23"/>
        </w:rPr>
      </w:pPr>
      <w:r>
        <w:rPr>
          <w:color w:val="000000"/>
          <w:sz w:val="23"/>
          <w:szCs w:val="23"/>
        </w:rPr>
        <w:t xml:space="preserve">3.2.1 Clause 1.1: substitute the following wording: “NOT USED”. </w:t>
      </w:r>
    </w:p>
    <w:p w14:paraId="00000011" w14:textId="25F83117" w:rsidR="00364DC4" w:rsidRDefault="003234EE">
      <w:pPr>
        <w:widowControl w:val="0"/>
        <w:pBdr>
          <w:top w:val="nil"/>
          <w:left w:val="nil"/>
          <w:bottom w:val="nil"/>
          <w:right w:val="nil"/>
          <w:between w:val="nil"/>
        </w:pBdr>
        <w:spacing w:before="115" w:line="240" w:lineRule="auto"/>
        <w:ind w:left="6"/>
        <w:rPr>
          <w:color w:val="000000"/>
          <w:sz w:val="23"/>
          <w:szCs w:val="23"/>
        </w:rPr>
      </w:pPr>
      <w:r>
        <w:rPr>
          <w:color w:val="000000"/>
          <w:sz w:val="23"/>
          <w:szCs w:val="23"/>
        </w:rPr>
        <w:t xml:space="preserve">3.2.2 Clause 1.2: substitute the following wording: “NOT USED”. </w:t>
      </w:r>
    </w:p>
    <w:p w14:paraId="00000012" w14:textId="386FC461" w:rsidR="00364DC4" w:rsidRDefault="003234EE">
      <w:pPr>
        <w:widowControl w:val="0"/>
        <w:pBdr>
          <w:top w:val="nil"/>
          <w:left w:val="nil"/>
          <w:bottom w:val="nil"/>
          <w:right w:val="nil"/>
          <w:between w:val="nil"/>
        </w:pBdr>
        <w:spacing w:before="115" w:line="229" w:lineRule="auto"/>
        <w:ind w:left="724" w:right="-14" w:hanging="717"/>
        <w:jc w:val="both"/>
        <w:rPr>
          <w:color w:val="000000"/>
          <w:sz w:val="23"/>
          <w:szCs w:val="23"/>
        </w:rPr>
      </w:pPr>
      <w:r>
        <w:rPr>
          <w:color w:val="000000"/>
          <w:sz w:val="23"/>
          <w:szCs w:val="23"/>
        </w:rPr>
        <w:t xml:space="preserve">3.2.3 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 </w:t>
      </w:r>
    </w:p>
    <w:p w14:paraId="00000013" w14:textId="1269401E" w:rsidR="00364DC4" w:rsidRDefault="003234EE">
      <w:pPr>
        <w:widowControl w:val="0"/>
        <w:pBdr>
          <w:top w:val="nil"/>
          <w:left w:val="nil"/>
          <w:bottom w:val="nil"/>
          <w:right w:val="nil"/>
          <w:between w:val="nil"/>
        </w:pBdr>
        <w:spacing w:before="125" w:line="240" w:lineRule="auto"/>
        <w:ind w:left="6"/>
        <w:rPr>
          <w:color w:val="000000"/>
          <w:sz w:val="23"/>
          <w:szCs w:val="23"/>
        </w:rPr>
      </w:pPr>
      <w:r>
        <w:rPr>
          <w:color w:val="000000"/>
          <w:sz w:val="23"/>
          <w:szCs w:val="23"/>
        </w:rPr>
        <w:t xml:space="preserve">3.3. In Annex 1 to Joint Schedule 8 - Guarantee </w:t>
      </w:r>
    </w:p>
    <w:p w14:paraId="00000014" w14:textId="05EABD1F" w:rsidR="00364DC4" w:rsidRDefault="003234EE">
      <w:pPr>
        <w:widowControl w:val="0"/>
        <w:pBdr>
          <w:top w:val="nil"/>
          <w:left w:val="nil"/>
          <w:bottom w:val="nil"/>
          <w:right w:val="nil"/>
          <w:between w:val="nil"/>
        </w:pBdr>
        <w:spacing w:before="115" w:line="229" w:lineRule="auto"/>
        <w:ind w:left="724" w:right="-5" w:hanging="717"/>
        <w:rPr>
          <w:color w:val="000000"/>
          <w:sz w:val="23"/>
          <w:szCs w:val="23"/>
        </w:rPr>
      </w:pPr>
      <w:r>
        <w:rPr>
          <w:color w:val="000000"/>
          <w:sz w:val="23"/>
          <w:szCs w:val="23"/>
        </w:rPr>
        <w:t xml:space="preserve">3.3.1 Clause 4.1: Delete references to “England and Wales” when referring to addresses. </w:t>
      </w:r>
    </w:p>
    <w:p w14:paraId="00000015" w14:textId="77777777" w:rsidR="00364DC4" w:rsidRDefault="003234EE">
      <w:pPr>
        <w:widowControl w:val="0"/>
        <w:pBdr>
          <w:top w:val="nil"/>
          <w:left w:val="nil"/>
          <w:bottom w:val="nil"/>
          <w:right w:val="nil"/>
          <w:between w:val="nil"/>
        </w:pBdr>
        <w:spacing w:before="1059" w:line="240" w:lineRule="auto"/>
        <w:ind w:left="13"/>
        <w:rPr>
          <w:color w:val="000000"/>
          <w:sz w:val="19"/>
          <w:szCs w:val="19"/>
        </w:rPr>
      </w:pPr>
      <w:r>
        <w:rPr>
          <w:color w:val="000000"/>
          <w:sz w:val="19"/>
          <w:szCs w:val="19"/>
        </w:rPr>
        <w:t xml:space="preserve">Framework Ref: RM6299 </w:t>
      </w:r>
    </w:p>
    <w:p w14:paraId="00000016" w14:textId="77777777" w:rsidR="00364DC4" w:rsidRDefault="003234EE">
      <w:pPr>
        <w:widowControl w:val="0"/>
        <w:pBdr>
          <w:top w:val="nil"/>
          <w:left w:val="nil"/>
          <w:bottom w:val="nil"/>
          <w:right w:val="nil"/>
          <w:between w:val="nil"/>
        </w:pBdr>
        <w:spacing w:line="240" w:lineRule="auto"/>
        <w:ind w:left="12"/>
        <w:rPr>
          <w:color w:val="000000"/>
          <w:sz w:val="19"/>
          <w:szCs w:val="19"/>
        </w:rPr>
      </w:pPr>
      <w:r>
        <w:rPr>
          <w:color w:val="000000"/>
          <w:sz w:val="19"/>
          <w:szCs w:val="19"/>
        </w:rPr>
        <w:t xml:space="preserve">Project Version: v1.0 </w:t>
      </w:r>
    </w:p>
    <w:p w14:paraId="00000017" w14:textId="77777777" w:rsidR="00364DC4" w:rsidRDefault="003234EE">
      <w:pPr>
        <w:widowControl w:val="0"/>
        <w:pBdr>
          <w:top w:val="nil"/>
          <w:left w:val="nil"/>
          <w:bottom w:val="nil"/>
          <w:right w:val="nil"/>
          <w:between w:val="nil"/>
        </w:pBdr>
        <w:spacing w:line="240" w:lineRule="auto"/>
        <w:ind w:left="11"/>
        <w:rPr>
          <w:color w:val="000000"/>
          <w:sz w:val="19"/>
          <w:szCs w:val="19"/>
        </w:rPr>
      </w:pPr>
      <w:r>
        <w:rPr>
          <w:color w:val="000000"/>
          <w:sz w:val="19"/>
          <w:szCs w:val="19"/>
        </w:rPr>
        <w:t>Model Version: v1.0</w:t>
      </w:r>
    </w:p>
    <w:p w14:paraId="00000018" w14:textId="77777777" w:rsidR="00364DC4" w:rsidRDefault="003234EE">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21 (Northern Ireland Law) </w:t>
      </w:r>
    </w:p>
    <w:p w14:paraId="00000019" w14:textId="77777777" w:rsidR="00364DC4" w:rsidRDefault="003234EE">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14:paraId="0000001A" w14:textId="77777777" w:rsidR="00364DC4" w:rsidRDefault="003234EE">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14:paraId="0000001B" w14:textId="1B23A196" w:rsidR="00364DC4" w:rsidRDefault="003234EE">
      <w:pPr>
        <w:widowControl w:val="0"/>
        <w:pBdr>
          <w:top w:val="nil"/>
          <w:left w:val="nil"/>
          <w:bottom w:val="nil"/>
          <w:right w:val="nil"/>
          <w:between w:val="nil"/>
        </w:pBdr>
        <w:spacing w:before="380" w:line="229" w:lineRule="auto"/>
        <w:ind w:left="724" w:right="-13" w:hanging="717"/>
        <w:jc w:val="both"/>
        <w:rPr>
          <w:color w:val="000000"/>
          <w:sz w:val="23"/>
          <w:szCs w:val="23"/>
        </w:rPr>
      </w:pPr>
      <w:r>
        <w:rPr>
          <w:color w:val="000000"/>
          <w:sz w:val="23"/>
          <w:szCs w:val="23"/>
        </w:rPr>
        <w:lastRenderedPageBreak/>
        <w:t xml:space="preserve">3.3.2 Clause 16: change title to Governing Law and Jurisdiction”; references to “Courts of England” to be replaced by “Courts of Northern Ireland”, references to “English law” to be replaced by the “the laws of Northern Ireland”. </w:t>
      </w:r>
    </w:p>
    <w:p w14:paraId="0000001C" w14:textId="6DF62150" w:rsidR="00364DC4" w:rsidRDefault="003234EE">
      <w:pPr>
        <w:widowControl w:val="0"/>
        <w:pBdr>
          <w:top w:val="nil"/>
          <w:left w:val="nil"/>
          <w:bottom w:val="nil"/>
          <w:right w:val="nil"/>
          <w:between w:val="nil"/>
        </w:pBdr>
        <w:spacing w:before="521" w:line="240" w:lineRule="auto"/>
        <w:ind w:left="1"/>
        <w:rPr>
          <w:b/>
          <w:color w:val="000000"/>
          <w:sz w:val="23"/>
          <w:szCs w:val="23"/>
        </w:rPr>
      </w:pPr>
      <w:r>
        <w:rPr>
          <w:b/>
          <w:color w:val="000000"/>
          <w:sz w:val="23"/>
          <w:szCs w:val="23"/>
        </w:rPr>
        <w:t xml:space="preserve">4. Changes to the Call-Off Schedules </w:t>
      </w:r>
    </w:p>
    <w:p w14:paraId="0000001D" w14:textId="50A13F20" w:rsidR="00364DC4" w:rsidRDefault="003234EE">
      <w:pPr>
        <w:widowControl w:val="0"/>
        <w:pBdr>
          <w:top w:val="nil"/>
          <w:left w:val="nil"/>
          <w:bottom w:val="nil"/>
          <w:right w:val="nil"/>
          <w:between w:val="nil"/>
        </w:pBdr>
        <w:spacing w:before="115" w:line="240" w:lineRule="auto"/>
        <w:rPr>
          <w:color w:val="000000"/>
          <w:sz w:val="23"/>
          <w:szCs w:val="23"/>
        </w:rPr>
      </w:pPr>
      <w:r>
        <w:rPr>
          <w:color w:val="000000"/>
          <w:sz w:val="23"/>
          <w:szCs w:val="23"/>
        </w:rPr>
        <w:t xml:space="preserve">4.1. Call-Off Schedule 1 (Transparency Reports) </w:t>
      </w:r>
    </w:p>
    <w:p w14:paraId="0000001E" w14:textId="31373C2B" w:rsidR="00364DC4" w:rsidRDefault="003234EE">
      <w:pPr>
        <w:widowControl w:val="0"/>
        <w:pBdr>
          <w:top w:val="nil"/>
          <w:left w:val="nil"/>
          <w:bottom w:val="nil"/>
          <w:right w:val="nil"/>
          <w:between w:val="nil"/>
        </w:pBdr>
        <w:spacing w:before="115" w:line="229" w:lineRule="auto"/>
        <w:ind w:left="728" w:right="-19" w:hanging="728"/>
        <w:jc w:val="both"/>
        <w:rPr>
          <w:color w:val="000000"/>
          <w:sz w:val="23"/>
          <w:szCs w:val="23"/>
        </w:rPr>
      </w:pPr>
      <w:r>
        <w:rPr>
          <w:color w:val="000000"/>
          <w:sz w:val="23"/>
          <w:szCs w:val="23"/>
        </w:rPr>
        <w:t xml:space="preserve">4.1.1 If this Call-Off Schedule 21 (Northern Ireland Law) is included in any Call-Off Contract then Call-Off Schedule 1 (Transparency Reports) is excluded from that Call-Off Contract and does not apply to that Call-Off Contract. </w:t>
      </w:r>
    </w:p>
    <w:p w14:paraId="0000001F" w14:textId="7B7FF778" w:rsidR="00364DC4" w:rsidRDefault="003234EE">
      <w:pPr>
        <w:widowControl w:val="0"/>
        <w:pBdr>
          <w:top w:val="nil"/>
          <w:left w:val="nil"/>
          <w:bottom w:val="nil"/>
          <w:right w:val="nil"/>
          <w:between w:val="nil"/>
        </w:pBdr>
        <w:spacing w:before="125" w:line="240" w:lineRule="auto"/>
        <w:rPr>
          <w:color w:val="000000"/>
          <w:sz w:val="23"/>
          <w:szCs w:val="23"/>
        </w:rPr>
      </w:pPr>
      <w:r>
        <w:rPr>
          <w:color w:val="000000"/>
          <w:sz w:val="23"/>
          <w:szCs w:val="23"/>
        </w:rPr>
        <w:t xml:space="preserve">4.2. Call-Off Schedule 18 (Background Checks) </w:t>
      </w:r>
    </w:p>
    <w:p w14:paraId="00000020" w14:textId="5322E40D" w:rsidR="00364DC4" w:rsidRDefault="003234EE">
      <w:pPr>
        <w:widowControl w:val="0"/>
        <w:pBdr>
          <w:top w:val="nil"/>
          <w:left w:val="nil"/>
          <w:bottom w:val="nil"/>
          <w:right w:val="nil"/>
          <w:between w:val="nil"/>
        </w:pBdr>
        <w:spacing w:before="115" w:line="229" w:lineRule="auto"/>
        <w:ind w:left="716" w:right="-16" w:hanging="716"/>
        <w:jc w:val="both"/>
        <w:rPr>
          <w:color w:val="000000"/>
          <w:sz w:val="23"/>
          <w:szCs w:val="23"/>
        </w:rPr>
      </w:pPr>
      <w:r>
        <w:rPr>
          <w:color w:val="000000"/>
          <w:sz w:val="23"/>
          <w:szCs w:val="23"/>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00000021" w14:textId="77777777" w:rsidR="00364DC4" w:rsidRDefault="003234EE">
      <w:pPr>
        <w:widowControl w:val="0"/>
        <w:pBdr>
          <w:top w:val="nil"/>
          <w:left w:val="nil"/>
          <w:bottom w:val="nil"/>
          <w:right w:val="nil"/>
          <w:between w:val="nil"/>
        </w:pBdr>
        <w:spacing w:before="7982" w:line="240" w:lineRule="auto"/>
        <w:ind w:left="13"/>
        <w:rPr>
          <w:color w:val="000000"/>
          <w:sz w:val="19"/>
          <w:szCs w:val="19"/>
        </w:rPr>
      </w:pPr>
      <w:r>
        <w:rPr>
          <w:color w:val="000000"/>
          <w:sz w:val="19"/>
          <w:szCs w:val="19"/>
        </w:rPr>
        <w:t xml:space="preserve">Framework Ref: RM6299 </w:t>
      </w:r>
    </w:p>
    <w:p w14:paraId="00000022" w14:textId="77777777" w:rsidR="00364DC4" w:rsidRDefault="003234EE">
      <w:pPr>
        <w:widowControl w:val="0"/>
        <w:pBdr>
          <w:top w:val="nil"/>
          <w:left w:val="nil"/>
          <w:bottom w:val="nil"/>
          <w:right w:val="nil"/>
          <w:between w:val="nil"/>
        </w:pBdr>
        <w:spacing w:line="240" w:lineRule="auto"/>
        <w:ind w:left="12"/>
        <w:rPr>
          <w:color w:val="000000"/>
          <w:sz w:val="19"/>
          <w:szCs w:val="19"/>
        </w:rPr>
      </w:pPr>
      <w:r>
        <w:rPr>
          <w:color w:val="000000"/>
          <w:sz w:val="19"/>
          <w:szCs w:val="19"/>
        </w:rPr>
        <w:t xml:space="preserve">Project Version: v1.0 </w:t>
      </w:r>
    </w:p>
    <w:p w14:paraId="00000023" w14:textId="77777777" w:rsidR="00364DC4" w:rsidRDefault="003234EE">
      <w:pPr>
        <w:widowControl w:val="0"/>
        <w:pBdr>
          <w:top w:val="nil"/>
          <w:left w:val="nil"/>
          <w:bottom w:val="nil"/>
          <w:right w:val="nil"/>
          <w:between w:val="nil"/>
        </w:pBdr>
        <w:spacing w:line="240" w:lineRule="auto"/>
        <w:ind w:left="11"/>
        <w:rPr>
          <w:color w:val="000000"/>
          <w:sz w:val="19"/>
          <w:szCs w:val="19"/>
        </w:rPr>
      </w:pPr>
      <w:r>
        <w:rPr>
          <w:color w:val="000000"/>
          <w:sz w:val="19"/>
          <w:szCs w:val="19"/>
        </w:rPr>
        <w:t>Model Version: v1.0</w:t>
      </w:r>
    </w:p>
    <w:sectPr w:rsidR="00364DC4">
      <w:pgSz w:w="11880" w:h="16840"/>
      <w:pgMar w:top="554" w:right="822" w:bottom="635" w:left="153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C4"/>
    <w:rsid w:val="001D0DB3"/>
    <w:rsid w:val="003234EE"/>
    <w:rsid w:val="00364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9B7E"/>
  <w15:docId w15:val="{5D91A08A-9DCC-45B1-B284-AF095B7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2024-04-24T08:01:00Z</dcterms:created>
  <dcterms:modified xsi:type="dcterms:W3CDTF">2024-04-24T08:01:00Z</dcterms:modified>
</cp:coreProperties>
</file>