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082" w:rsidRDefault="006D36F3">
      <w:pPr>
        <w:pStyle w:val="Standard"/>
      </w:pPr>
      <w:bookmarkStart w:id="0" w:name="_GoBack"/>
      <w:bookmarkEnd w:id="0"/>
      <w:r>
        <w:rPr>
          <w:rFonts w:ascii="Arial" w:eastAsia="Arial" w:hAnsi="Arial" w:cs="Arial"/>
          <w:b/>
          <w:sz w:val="36"/>
          <w:szCs w:val="36"/>
        </w:rPr>
        <w:t>Framework Schedule 3 (Framework Prices)</w:t>
      </w:r>
    </w:p>
    <w:p w:rsidR="00DE7082" w:rsidRDefault="006D36F3">
      <w:pPr>
        <w:pStyle w:val="Standard"/>
        <w:numPr>
          <w:ilvl w:val="0"/>
          <w:numId w:val="3"/>
        </w:numPr>
        <w:tabs>
          <w:tab w:val="left" w:pos="502"/>
        </w:tabs>
        <w:spacing w:before="120" w:after="240" w:line="240" w:lineRule="auto"/>
        <w:jc w:val="both"/>
      </w:pPr>
      <w:bookmarkStart w:id="1" w:name="_heading=h.gjdgxs"/>
      <w:bookmarkEnd w:id="1"/>
      <w:r>
        <w:rPr>
          <w:rFonts w:ascii="Arial" w:eastAsia="Arial" w:hAnsi="Arial" w:cs="Arial"/>
          <w:b/>
          <w:sz w:val="24"/>
          <w:szCs w:val="24"/>
        </w:rPr>
        <w:t>Definitions</w:t>
      </w:r>
    </w:p>
    <w:p w:rsidR="00DE7082" w:rsidRDefault="006D36F3">
      <w:pPr>
        <w:pStyle w:val="Standard"/>
        <w:numPr>
          <w:ilvl w:val="1"/>
          <w:numId w:val="2"/>
        </w:numPr>
        <w:tabs>
          <w:tab w:val="left" w:pos="1854"/>
        </w:tabs>
        <w:spacing w:before="120" w:after="120" w:line="240" w:lineRule="auto"/>
        <w:jc w:val="both"/>
      </w:pPr>
      <w:r>
        <w:rPr>
          <w:rFonts w:ascii="Arial" w:eastAsia="Arial" w:hAnsi="Arial" w:cs="Arial"/>
          <w:color w:val="000000"/>
          <w:sz w:val="24"/>
          <w:szCs w:val="24"/>
        </w:rPr>
        <w:t>In this Schedule, the following words shall have the following meanings and they shall supplement Joint Schedule 1 (Definitions):</w:t>
      </w:r>
    </w:p>
    <w:tbl>
      <w:tblPr>
        <w:tblW w:w="8234" w:type="dxa"/>
        <w:tblInd w:w="900" w:type="dxa"/>
        <w:tblLayout w:type="fixed"/>
        <w:tblCellMar>
          <w:left w:w="10" w:type="dxa"/>
          <w:right w:w="10" w:type="dxa"/>
        </w:tblCellMar>
        <w:tblLook w:val="0000" w:firstRow="0" w:lastRow="0" w:firstColumn="0" w:lastColumn="0" w:noHBand="0" w:noVBand="0"/>
      </w:tblPr>
      <w:tblGrid>
        <w:gridCol w:w="3149"/>
        <w:gridCol w:w="5085"/>
      </w:tblGrid>
      <w:tr w:rsidR="00DE7082">
        <w:tc>
          <w:tcPr>
            <w:tcW w:w="3149" w:type="dxa"/>
            <w:tcMar>
              <w:top w:w="0" w:type="dxa"/>
              <w:left w:w="108" w:type="dxa"/>
              <w:bottom w:w="0" w:type="dxa"/>
              <w:right w:w="108" w:type="dxa"/>
            </w:tcMar>
          </w:tcPr>
          <w:p w:rsidR="00DE7082" w:rsidRDefault="006D36F3">
            <w:pPr>
              <w:pStyle w:val="Standard"/>
              <w:tabs>
                <w:tab w:val="left" w:pos="144"/>
              </w:tabs>
              <w:spacing w:after="120" w:line="240" w:lineRule="auto"/>
              <w:ind w:left="720" w:hanging="720"/>
            </w:pPr>
            <w:r>
              <w:rPr>
                <w:rFonts w:ascii="Arial" w:eastAsia="Arial" w:hAnsi="Arial" w:cs="Arial"/>
                <w:b/>
                <w:color w:val="000000"/>
                <w:sz w:val="24"/>
                <w:szCs w:val="24"/>
              </w:rPr>
              <w:t>"EOS Products"</w:t>
            </w:r>
          </w:p>
        </w:tc>
        <w:tc>
          <w:tcPr>
            <w:tcW w:w="5084" w:type="dxa"/>
            <w:tcMar>
              <w:top w:w="0" w:type="dxa"/>
              <w:left w:w="108" w:type="dxa"/>
              <w:bottom w:w="0" w:type="dxa"/>
              <w:right w:w="108" w:type="dxa"/>
            </w:tcMar>
          </w:tcPr>
          <w:p w:rsidR="00DE7082" w:rsidRDefault="006D36F3">
            <w:pPr>
              <w:pStyle w:val="Standard"/>
              <w:tabs>
                <w:tab w:val="left" w:pos="-576"/>
              </w:tabs>
              <w:spacing w:after="120" w:line="240" w:lineRule="auto"/>
            </w:pPr>
            <w:r>
              <w:rPr>
                <w:rFonts w:ascii="Arial" w:eastAsia="Arial" w:hAnsi="Arial" w:cs="Arial"/>
                <w:color w:val="000000"/>
                <w:sz w:val="24"/>
                <w:szCs w:val="24"/>
              </w:rPr>
              <w:t>means printer consumable products that are used in a printer to include but not limited to ink, ink cartridges, ink toners, waste collection units and cleaning heads.</w:t>
            </w:r>
          </w:p>
        </w:tc>
      </w:tr>
      <w:tr w:rsidR="00DE7082">
        <w:tc>
          <w:tcPr>
            <w:tcW w:w="3149" w:type="dxa"/>
            <w:tcMar>
              <w:top w:w="0" w:type="dxa"/>
              <w:left w:w="108" w:type="dxa"/>
              <w:bottom w:w="0" w:type="dxa"/>
              <w:right w:w="108" w:type="dxa"/>
            </w:tcMar>
          </w:tcPr>
          <w:p w:rsidR="00DE7082" w:rsidRDefault="006D36F3">
            <w:pPr>
              <w:pStyle w:val="Standard"/>
              <w:tabs>
                <w:tab w:val="left" w:pos="-1290"/>
              </w:tabs>
              <w:spacing w:after="120" w:line="240" w:lineRule="auto"/>
            </w:pPr>
            <w:r>
              <w:rPr>
                <w:rFonts w:ascii="Arial" w:eastAsia="Arial" w:hAnsi="Arial" w:cs="Arial"/>
                <w:b/>
                <w:color w:val="000000"/>
                <w:sz w:val="24"/>
                <w:szCs w:val="24"/>
              </w:rPr>
              <w:t>"General Office Products"</w:t>
            </w:r>
          </w:p>
        </w:tc>
        <w:tc>
          <w:tcPr>
            <w:tcW w:w="5084" w:type="dxa"/>
            <w:tcMar>
              <w:top w:w="0" w:type="dxa"/>
              <w:left w:w="108" w:type="dxa"/>
              <w:bottom w:w="0" w:type="dxa"/>
              <w:right w:w="108" w:type="dxa"/>
            </w:tcMar>
          </w:tcPr>
          <w:p w:rsidR="00DE7082" w:rsidRDefault="006D36F3">
            <w:pPr>
              <w:pStyle w:val="Standard"/>
              <w:tabs>
                <w:tab w:val="left" w:pos="-1425"/>
              </w:tabs>
              <w:spacing w:after="120" w:line="240" w:lineRule="auto"/>
            </w:pPr>
            <w:r>
              <w:rPr>
                <w:rFonts w:ascii="Arial" w:eastAsia="Arial" w:hAnsi="Arial" w:cs="Arial"/>
                <w:color w:val="000000"/>
                <w:sz w:val="24"/>
                <w:szCs w:val="24"/>
              </w:rPr>
              <w:t>means products that are generally used in an office environment to include but not limited to, pens, pencils, filing accessories, staplers, scissors, batteries, erasers, sponges and dampers, whiteboards, office furniture, janitorial supplies.</w:t>
            </w:r>
          </w:p>
        </w:tc>
      </w:tr>
      <w:tr w:rsidR="00DE7082">
        <w:tc>
          <w:tcPr>
            <w:tcW w:w="3149" w:type="dxa"/>
            <w:tcMar>
              <w:top w:w="0" w:type="dxa"/>
              <w:left w:w="108" w:type="dxa"/>
              <w:bottom w:w="0" w:type="dxa"/>
              <w:right w:w="108" w:type="dxa"/>
            </w:tcMar>
          </w:tcPr>
          <w:p w:rsidR="00DE7082" w:rsidRDefault="006D36F3">
            <w:pPr>
              <w:pStyle w:val="Standard"/>
              <w:tabs>
                <w:tab w:val="left" w:pos="-576"/>
              </w:tabs>
              <w:spacing w:after="120" w:line="240" w:lineRule="auto"/>
            </w:pPr>
            <w:r>
              <w:rPr>
                <w:rFonts w:ascii="Arial" w:eastAsia="Arial" w:hAnsi="Arial" w:cs="Arial"/>
                <w:b/>
                <w:color w:val="000000"/>
                <w:sz w:val="24"/>
                <w:szCs w:val="24"/>
              </w:rPr>
              <w:t>"Paper Products"</w:t>
            </w:r>
          </w:p>
        </w:tc>
        <w:tc>
          <w:tcPr>
            <w:tcW w:w="5084" w:type="dxa"/>
            <w:tcMar>
              <w:top w:w="0" w:type="dxa"/>
              <w:left w:w="108" w:type="dxa"/>
              <w:bottom w:w="0" w:type="dxa"/>
              <w:right w:w="108" w:type="dxa"/>
            </w:tcMar>
          </w:tcPr>
          <w:p w:rsidR="00DE7082" w:rsidRDefault="006D36F3">
            <w:pPr>
              <w:pStyle w:val="Standard"/>
              <w:tabs>
                <w:tab w:val="left" w:pos="-576"/>
              </w:tabs>
              <w:spacing w:after="120" w:line="240" w:lineRule="auto"/>
            </w:pPr>
            <w:bookmarkStart w:id="2" w:name="_heading=h.3znysh7"/>
            <w:bookmarkEnd w:id="2"/>
            <w:r>
              <w:rPr>
                <w:rFonts w:ascii="Arial" w:eastAsia="Arial" w:hAnsi="Arial" w:cs="Arial"/>
                <w:color w:val="000000"/>
                <w:sz w:val="24"/>
                <w:szCs w:val="24"/>
              </w:rPr>
              <w:t>means any paper article or commodity including but not limited to, paper, paper cups, notebooks, pads, diaries, napkins, towels, cardboard, thermal rolls, blue roll, toilet roll and tissues.</w:t>
            </w:r>
          </w:p>
        </w:tc>
      </w:tr>
      <w:tr w:rsidR="00DE7082">
        <w:tc>
          <w:tcPr>
            <w:tcW w:w="3149" w:type="dxa"/>
            <w:tcMar>
              <w:top w:w="0" w:type="dxa"/>
              <w:left w:w="108" w:type="dxa"/>
              <w:bottom w:w="0" w:type="dxa"/>
              <w:right w:w="108" w:type="dxa"/>
            </w:tcMar>
          </w:tcPr>
          <w:p w:rsidR="00DE7082" w:rsidRDefault="006D36F3">
            <w:pPr>
              <w:pStyle w:val="Standard"/>
              <w:tabs>
                <w:tab w:val="left" w:pos="-576"/>
              </w:tabs>
              <w:spacing w:after="120" w:line="240" w:lineRule="auto"/>
            </w:pPr>
            <w:r>
              <w:rPr>
                <w:rFonts w:ascii="Arial" w:eastAsia="Arial" w:hAnsi="Arial" w:cs="Arial"/>
                <w:b/>
                <w:color w:val="000000"/>
                <w:sz w:val="24"/>
                <w:szCs w:val="24"/>
              </w:rPr>
              <w:t>"Price Review Template"</w:t>
            </w:r>
          </w:p>
        </w:tc>
        <w:tc>
          <w:tcPr>
            <w:tcW w:w="5084" w:type="dxa"/>
            <w:tcMar>
              <w:top w:w="0" w:type="dxa"/>
              <w:left w:w="108" w:type="dxa"/>
              <w:bottom w:w="0" w:type="dxa"/>
              <w:right w:w="108" w:type="dxa"/>
            </w:tcMar>
          </w:tcPr>
          <w:p w:rsidR="00DE7082" w:rsidRDefault="006D36F3">
            <w:pPr>
              <w:pStyle w:val="Standard"/>
              <w:tabs>
                <w:tab w:val="left" w:pos="-576"/>
              </w:tabs>
              <w:spacing w:after="120" w:line="240" w:lineRule="auto"/>
            </w:pPr>
            <w:r>
              <w:rPr>
                <w:rFonts w:ascii="Arial" w:eastAsia="Arial" w:hAnsi="Arial" w:cs="Arial"/>
                <w:color w:val="000000"/>
                <w:sz w:val="24"/>
                <w:szCs w:val="24"/>
              </w:rPr>
              <w:t>means the agreed form of price review template as attached at Annex 2.</w:t>
            </w:r>
          </w:p>
        </w:tc>
      </w:tr>
    </w:tbl>
    <w:p w:rsidR="00DE7082" w:rsidRDefault="00DE7082">
      <w:pPr>
        <w:pStyle w:val="Standard"/>
        <w:tabs>
          <w:tab w:val="left" w:pos="502"/>
        </w:tabs>
        <w:spacing w:before="120" w:after="240" w:line="240" w:lineRule="auto"/>
        <w:ind w:left="360"/>
        <w:jc w:val="both"/>
        <w:rPr>
          <w:rFonts w:ascii="Arial" w:eastAsia="Arial" w:hAnsi="Arial" w:cs="Arial"/>
          <w:b/>
          <w:sz w:val="24"/>
          <w:szCs w:val="24"/>
        </w:rPr>
      </w:pPr>
    </w:p>
    <w:p w:rsidR="00DE7082" w:rsidRDefault="006D36F3">
      <w:pPr>
        <w:pStyle w:val="Standard"/>
        <w:numPr>
          <w:ilvl w:val="0"/>
          <w:numId w:val="2"/>
        </w:numPr>
        <w:tabs>
          <w:tab w:val="left" w:pos="502"/>
        </w:tabs>
        <w:spacing w:before="120" w:after="240" w:line="240" w:lineRule="auto"/>
        <w:jc w:val="both"/>
      </w:pPr>
      <w:r>
        <w:rPr>
          <w:rFonts w:ascii="Arial" w:eastAsia="Arial" w:hAnsi="Arial" w:cs="Arial"/>
          <w:b/>
          <w:color w:val="000000"/>
          <w:sz w:val="24"/>
          <w:szCs w:val="24"/>
        </w:rPr>
        <w:t>How Framework Prices are used to calculate Call-Off Charges</w:t>
      </w:r>
    </w:p>
    <w:p w:rsidR="00DE7082" w:rsidRDefault="006D36F3">
      <w:pPr>
        <w:pStyle w:val="Standard"/>
        <w:numPr>
          <w:ilvl w:val="1"/>
          <w:numId w:val="2"/>
        </w:numPr>
        <w:tabs>
          <w:tab w:val="left" w:pos="1429"/>
        </w:tabs>
        <w:spacing w:before="120" w:after="120" w:line="240" w:lineRule="auto"/>
      </w:pPr>
      <w:r>
        <w:rPr>
          <w:rFonts w:ascii="Arial" w:eastAsia="Arial" w:hAnsi="Arial" w:cs="Arial"/>
          <w:color w:val="000000"/>
          <w:sz w:val="24"/>
          <w:szCs w:val="24"/>
        </w:rPr>
        <w:t>The Framework Prices:</w:t>
      </w:r>
    </w:p>
    <w:p w:rsidR="00DE7082" w:rsidRDefault="006D36F3">
      <w:pPr>
        <w:pStyle w:val="Standard"/>
        <w:numPr>
          <w:ilvl w:val="2"/>
          <w:numId w:val="2"/>
        </w:numPr>
        <w:tabs>
          <w:tab w:val="left" w:pos="2880"/>
          <w:tab w:val="left" w:pos="3425"/>
          <w:tab w:val="left" w:pos="3567"/>
        </w:tabs>
        <w:spacing w:before="120" w:after="120" w:line="240" w:lineRule="auto"/>
      </w:pPr>
      <w:r>
        <w:rPr>
          <w:rFonts w:ascii="Arial" w:eastAsia="Arial" w:hAnsi="Arial" w:cs="Arial"/>
          <w:color w:val="000000"/>
          <w:sz w:val="24"/>
          <w:szCs w:val="24"/>
        </w:rPr>
        <w:t>will be used as the basis for the Charges (and are maximums that the Supplier may charge) under each Call Off Contract;</w:t>
      </w:r>
    </w:p>
    <w:p w:rsidR="00DE7082" w:rsidRDefault="006D36F3">
      <w:pPr>
        <w:pStyle w:val="Standard"/>
        <w:numPr>
          <w:ilvl w:val="2"/>
          <w:numId w:val="2"/>
        </w:numPr>
        <w:tabs>
          <w:tab w:val="left" w:pos="3425"/>
          <w:tab w:val="left" w:pos="3567"/>
        </w:tabs>
        <w:spacing w:before="120" w:after="120" w:line="240" w:lineRule="auto"/>
      </w:pPr>
      <w:r>
        <w:rPr>
          <w:rFonts w:ascii="Arial" w:eastAsia="Arial" w:hAnsi="Arial" w:cs="Arial"/>
          <w:color w:val="000000"/>
          <w:sz w:val="24"/>
          <w:szCs w:val="24"/>
        </w:rPr>
        <w:t>cannot be increased except as in accordance with this Schedule; and</w:t>
      </w:r>
    </w:p>
    <w:p w:rsidR="00DE7082" w:rsidRDefault="006D36F3">
      <w:pPr>
        <w:pStyle w:val="Standard"/>
        <w:numPr>
          <w:ilvl w:val="2"/>
          <w:numId w:val="2"/>
        </w:numPr>
        <w:tabs>
          <w:tab w:val="left" w:pos="3425"/>
          <w:tab w:val="left" w:pos="3567"/>
        </w:tabs>
        <w:spacing w:before="120" w:after="120" w:line="240" w:lineRule="auto"/>
      </w:pPr>
      <w:r>
        <w:rPr>
          <w:rFonts w:ascii="Arial" w:eastAsia="Arial" w:hAnsi="Arial" w:cs="Arial"/>
          <w:sz w:val="24"/>
          <w:szCs w:val="24"/>
        </w:rPr>
        <w:t>the Supplier acknowledges and agrees that any prices submitted in relation to a further competition in Lot 1 and/or Lot 2 held in accordance with Framework Schedule 7 (Call-Off Award Procedure) shall be equal to or lower than the Framework Prices referenced in this Framework Schedule 3</w:t>
      </w:r>
    </w:p>
    <w:p w:rsidR="00DE7082" w:rsidRDefault="006D36F3">
      <w:pPr>
        <w:pStyle w:val="Standard"/>
        <w:numPr>
          <w:ilvl w:val="1"/>
          <w:numId w:val="2"/>
        </w:numPr>
        <w:tabs>
          <w:tab w:val="left" w:pos="1429"/>
        </w:tabs>
        <w:spacing w:before="120" w:after="120" w:line="240" w:lineRule="auto"/>
      </w:pPr>
      <w:r>
        <w:rPr>
          <w:rFonts w:ascii="Arial" w:eastAsia="Arial" w:hAnsi="Arial" w:cs="Arial"/>
          <w:color w:val="000000"/>
          <w:sz w:val="24"/>
          <w:szCs w:val="24"/>
        </w:rPr>
        <w:t>The Charges:</w:t>
      </w:r>
    </w:p>
    <w:p w:rsidR="00DE7082" w:rsidRDefault="006D36F3">
      <w:pPr>
        <w:pStyle w:val="Standard"/>
        <w:numPr>
          <w:ilvl w:val="2"/>
          <w:numId w:val="2"/>
        </w:numPr>
        <w:tabs>
          <w:tab w:val="left" w:pos="3425"/>
          <w:tab w:val="left" w:pos="3567"/>
        </w:tabs>
        <w:spacing w:before="120" w:after="120" w:line="240" w:lineRule="auto"/>
      </w:pPr>
      <w:r>
        <w:rPr>
          <w:rFonts w:ascii="Arial" w:eastAsia="Arial" w:hAnsi="Arial" w:cs="Arial"/>
          <w:color w:val="000000"/>
          <w:sz w:val="24"/>
          <w:szCs w:val="24"/>
        </w:rPr>
        <w:t>shall be calculated in accordance with the terms of the Call Off Contract and in particular in accordance with the terms of the Order Form;</w:t>
      </w:r>
    </w:p>
    <w:p w:rsidR="00DE7082" w:rsidRDefault="006D36F3">
      <w:pPr>
        <w:pStyle w:val="Standard"/>
        <w:numPr>
          <w:ilvl w:val="2"/>
          <w:numId w:val="2"/>
        </w:numPr>
        <w:tabs>
          <w:tab w:val="left" w:pos="3425"/>
          <w:tab w:val="left" w:pos="3567"/>
        </w:tabs>
        <w:spacing w:before="120" w:after="120" w:line="240" w:lineRule="auto"/>
      </w:pPr>
      <w:r>
        <w:rPr>
          <w:rFonts w:ascii="Arial" w:eastAsia="Arial" w:hAnsi="Arial" w:cs="Arial"/>
          <w:color w:val="000000"/>
          <w:sz w:val="24"/>
          <w:szCs w:val="24"/>
        </w:rPr>
        <w:t>cannot be increased except as specifically permitted by the Call Off Contract and in particular shall only be subject to Indexation where specifically stated in the Order Form;</w:t>
      </w:r>
    </w:p>
    <w:p w:rsidR="00DE7082" w:rsidRDefault="006D36F3">
      <w:pPr>
        <w:pStyle w:val="Standard"/>
        <w:numPr>
          <w:ilvl w:val="2"/>
          <w:numId w:val="2"/>
        </w:numPr>
        <w:tabs>
          <w:tab w:val="left" w:pos="3425"/>
          <w:tab w:val="left" w:pos="3567"/>
        </w:tabs>
        <w:spacing w:before="120" w:after="120" w:line="240" w:lineRule="auto"/>
      </w:pPr>
      <w:r>
        <w:rPr>
          <w:rFonts w:ascii="Arial" w:eastAsia="Arial" w:hAnsi="Arial" w:cs="Arial"/>
          <w:sz w:val="24"/>
          <w:szCs w:val="24"/>
        </w:rPr>
        <w:lastRenderedPageBreak/>
        <w:t>at no time will exceed the Framework Price; and</w:t>
      </w:r>
    </w:p>
    <w:p w:rsidR="00DE7082" w:rsidRDefault="006D36F3">
      <w:pPr>
        <w:pStyle w:val="Standard"/>
        <w:numPr>
          <w:ilvl w:val="2"/>
          <w:numId w:val="2"/>
        </w:numPr>
        <w:tabs>
          <w:tab w:val="left" w:pos="3425"/>
          <w:tab w:val="left" w:pos="3567"/>
        </w:tabs>
        <w:spacing w:before="120" w:after="120" w:line="240" w:lineRule="auto"/>
      </w:pPr>
      <w:r>
        <w:rPr>
          <w:rFonts w:ascii="Arial" w:eastAsia="Arial" w:hAnsi="Arial" w:cs="Arial"/>
          <w:sz w:val="24"/>
          <w:szCs w:val="24"/>
        </w:rPr>
        <w:t>shall not be impacted by any change to the Framework Prices.</w:t>
      </w:r>
    </w:p>
    <w:p w:rsidR="00DE7082" w:rsidRDefault="006D36F3">
      <w:pPr>
        <w:pStyle w:val="Standard"/>
        <w:numPr>
          <w:ilvl w:val="1"/>
          <w:numId w:val="2"/>
        </w:numPr>
        <w:tabs>
          <w:tab w:val="left" w:pos="1429"/>
        </w:tabs>
        <w:spacing w:before="120" w:after="120" w:line="240" w:lineRule="auto"/>
      </w:pPr>
      <w:bookmarkStart w:id="3" w:name="_heading=h.30j0zll"/>
      <w:bookmarkEnd w:id="3"/>
      <w:r>
        <w:rPr>
          <w:rFonts w:ascii="Arial" w:eastAsia="Arial" w:hAnsi="Arial" w:cs="Arial"/>
          <w:color w:val="000000"/>
          <w:sz w:val="24"/>
          <w:szCs w:val="24"/>
        </w:rPr>
        <w:t>Any variation to the Charges payable under a Call Off Contract must be agreed between the Supplier and the Buyer and implemented using the same procedure for altering Framework Prices in accordance with the provisions of this Framework Schedule 3</w:t>
      </w:r>
    </w:p>
    <w:p w:rsidR="00DE7082" w:rsidRDefault="00DE7082">
      <w:pPr>
        <w:pStyle w:val="Standard"/>
        <w:tabs>
          <w:tab w:val="left" w:pos="1353"/>
        </w:tabs>
        <w:spacing w:before="120" w:after="120" w:line="240" w:lineRule="auto"/>
        <w:ind w:left="644"/>
        <w:rPr>
          <w:rFonts w:ascii="Arial" w:eastAsia="Arial" w:hAnsi="Arial" w:cs="Arial"/>
          <w:sz w:val="24"/>
          <w:szCs w:val="24"/>
        </w:rPr>
      </w:pPr>
      <w:bookmarkStart w:id="4" w:name="_heading=h.7ffm36950ezo"/>
      <w:bookmarkEnd w:id="4"/>
    </w:p>
    <w:p w:rsidR="00DE7082" w:rsidRDefault="006D36F3">
      <w:pPr>
        <w:pStyle w:val="Standard"/>
        <w:numPr>
          <w:ilvl w:val="0"/>
          <w:numId w:val="2"/>
        </w:numPr>
        <w:tabs>
          <w:tab w:val="left" w:pos="502"/>
        </w:tabs>
        <w:spacing w:before="120" w:after="240" w:line="240" w:lineRule="auto"/>
        <w:jc w:val="both"/>
      </w:pPr>
      <w:r>
        <w:rPr>
          <w:rFonts w:ascii="Arial" w:eastAsia="Arial" w:hAnsi="Arial" w:cs="Arial"/>
          <w:b/>
          <w:color w:val="000000"/>
          <w:sz w:val="24"/>
          <w:szCs w:val="24"/>
        </w:rPr>
        <w:t>How Framework Prices are calculated</w:t>
      </w:r>
    </w:p>
    <w:p w:rsidR="00DE7082" w:rsidRDefault="006D36F3">
      <w:pPr>
        <w:pStyle w:val="Standard"/>
        <w:numPr>
          <w:ilvl w:val="1"/>
          <w:numId w:val="2"/>
        </w:numPr>
        <w:tabs>
          <w:tab w:val="left" w:pos="1429"/>
        </w:tabs>
        <w:spacing w:before="120" w:after="120" w:line="240" w:lineRule="auto"/>
      </w:pPr>
      <w:r>
        <w:rPr>
          <w:rFonts w:ascii="Arial" w:eastAsia="Arial" w:hAnsi="Arial" w:cs="Arial"/>
          <w:color w:val="000000"/>
          <w:sz w:val="24"/>
          <w:szCs w:val="24"/>
        </w:rPr>
        <w:t>The pricing mechanisms and prices set out in Annex 1 shall be available for use in calculation of Framework Prices in Call Off Contracts.</w:t>
      </w:r>
    </w:p>
    <w:p w:rsidR="00DE7082" w:rsidRDefault="00DE7082">
      <w:pPr>
        <w:pStyle w:val="Standard"/>
        <w:tabs>
          <w:tab w:val="left" w:pos="1353"/>
        </w:tabs>
        <w:spacing w:before="120" w:after="120" w:line="240" w:lineRule="auto"/>
        <w:ind w:left="644"/>
        <w:rPr>
          <w:rFonts w:ascii="Arial" w:eastAsia="Arial" w:hAnsi="Arial" w:cs="Arial"/>
          <w:sz w:val="24"/>
          <w:szCs w:val="24"/>
        </w:rPr>
      </w:pPr>
    </w:p>
    <w:p w:rsidR="00DE7082" w:rsidRDefault="006D36F3">
      <w:pPr>
        <w:pStyle w:val="Standard"/>
        <w:numPr>
          <w:ilvl w:val="0"/>
          <w:numId w:val="2"/>
        </w:numPr>
        <w:tabs>
          <w:tab w:val="left" w:pos="502"/>
        </w:tabs>
        <w:spacing w:before="120" w:after="240" w:line="240" w:lineRule="auto"/>
        <w:jc w:val="both"/>
      </w:pPr>
      <w:bookmarkStart w:id="5" w:name="_heading=h.1fob9te"/>
      <w:bookmarkEnd w:id="5"/>
      <w:r>
        <w:rPr>
          <w:rFonts w:ascii="Arial" w:eastAsia="Arial" w:hAnsi="Arial" w:cs="Arial"/>
          <w:b/>
          <w:color w:val="000000"/>
          <w:sz w:val="24"/>
          <w:szCs w:val="24"/>
        </w:rPr>
        <w:t>Are costs and expenses are included in the Framework Prices</w:t>
      </w:r>
    </w:p>
    <w:p w:rsidR="00DE7082" w:rsidRDefault="006D36F3">
      <w:pPr>
        <w:pStyle w:val="Standard"/>
        <w:numPr>
          <w:ilvl w:val="1"/>
          <w:numId w:val="2"/>
        </w:numPr>
        <w:tabs>
          <w:tab w:val="left" w:pos="1429"/>
        </w:tabs>
        <w:spacing w:before="120" w:after="120" w:line="240" w:lineRule="auto"/>
      </w:pPr>
      <w:r>
        <w:rPr>
          <w:rFonts w:ascii="Arial" w:eastAsia="Arial" w:hAnsi="Arial" w:cs="Arial"/>
          <w:color w:val="000000"/>
          <w:sz w:val="24"/>
          <w:szCs w:val="24"/>
        </w:rPr>
        <w:t>Except as expressly set out in Paragraph 4 below, or otherwise stated in a Call Off Order Form, the Framework Prices shall include all costs and expenses relating to the provision of Deliverables.</w:t>
      </w:r>
    </w:p>
    <w:p w:rsidR="00DE7082" w:rsidRDefault="006D36F3">
      <w:pPr>
        <w:pStyle w:val="Standard"/>
        <w:tabs>
          <w:tab w:val="left" w:pos="1429"/>
        </w:tabs>
        <w:spacing w:before="120" w:after="120" w:line="240" w:lineRule="auto"/>
        <w:ind w:left="720"/>
      </w:pPr>
      <w:r>
        <w:rPr>
          <w:rFonts w:ascii="Arial" w:eastAsia="Arial" w:hAnsi="Arial" w:cs="Arial"/>
          <w:color w:val="000000"/>
          <w:sz w:val="24"/>
          <w:szCs w:val="24"/>
        </w:rPr>
        <w:t>No further amounts shall be payable in respect of matters such as:</w:t>
      </w:r>
    </w:p>
    <w:p w:rsidR="00DE7082" w:rsidRDefault="006D36F3">
      <w:pPr>
        <w:pStyle w:val="Standard"/>
        <w:numPr>
          <w:ilvl w:val="2"/>
          <w:numId w:val="2"/>
        </w:numPr>
        <w:tabs>
          <w:tab w:val="left" w:pos="3420"/>
          <w:tab w:val="left" w:pos="3425"/>
          <w:tab w:val="left" w:pos="3567"/>
        </w:tabs>
        <w:spacing w:before="120" w:after="120" w:line="240" w:lineRule="auto"/>
      </w:pPr>
      <w:r>
        <w:rPr>
          <w:rFonts w:ascii="Arial" w:eastAsia="Arial" w:hAnsi="Arial" w:cs="Arial"/>
          <w:color w:val="000000"/>
          <w:sz w:val="24"/>
          <w:szCs w:val="24"/>
        </w:rPr>
        <w:t>incidental expenses such as travel, subsistence and lodging, document or report reproduction, shipping, desktop or office equipment costs, network or data interchange costs or other telecommunications charges; or</w:t>
      </w:r>
    </w:p>
    <w:p w:rsidR="00DE7082" w:rsidRDefault="006D36F3">
      <w:pPr>
        <w:pStyle w:val="Standard"/>
        <w:numPr>
          <w:ilvl w:val="2"/>
          <w:numId w:val="2"/>
        </w:numPr>
        <w:tabs>
          <w:tab w:val="left" w:pos="3420"/>
          <w:tab w:val="left" w:pos="3425"/>
          <w:tab w:val="left" w:pos="3567"/>
        </w:tabs>
        <w:spacing w:before="120" w:after="120" w:line="240" w:lineRule="auto"/>
      </w:pPr>
      <w:r>
        <w:rPr>
          <w:rFonts w:ascii="Arial" w:eastAsia="Arial" w:hAnsi="Arial" w:cs="Arial"/>
          <w:color w:val="000000"/>
          <w:sz w:val="24"/>
          <w:szCs w:val="24"/>
        </w:rPr>
        <w:t>costs incurred prior to the commencement of any Call Off Contract.</w:t>
      </w:r>
    </w:p>
    <w:p w:rsidR="00DE7082" w:rsidRDefault="00DE7082">
      <w:pPr>
        <w:pStyle w:val="Standard"/>
        <w:tabs>
          <w:tab w:val="left" w:pos="2970"/>
          <w:tab w:val="left" w:pos="2975"/>
          <w:tab w:val="left" w:pos="3117"/>
        </w:tabs>
        <w:spacing w:before="120" w:after="120" w:line="240" w:lineRule="auto"/>
        <w:ind w:left="990"/>
        <w:rPr>
          <w:rFonts w:ascii="Arial" w:eastAsia="Arial" w:hAnsi="Arial" w:cs="Arial"/>
          <w:sz w:val="24"/>
          <w:szCs w:val="24"/>
        </w:rPr>
      </w:pPr>
    </w:p>
    <w:p w:rsidR="00DE7082" w:rsidRDefault="006D36F3">
      <w:pPr>
        <w:pStyle w:val="Standard"/>
        <w:numPr>
          <w:ilvl w:val="0"/>
          <w:numId w:val="2"/>
        </w:numPr>
        <w:tabs>
          <w:tab w:val="left" w:pos="502"/>
        </w:tabs>
        <w:spacing w:before="120" w:after="240" w:line="240" w:lineRule="auto"/>
        <w:jc w:val="both"/>
      </w:pPr>
      <w:r>
        <w:rPr>
          <w:rFonts w:ascii="Arial" w:eastAsia="Arial" w:hAnsi="Arial" w:cs="Arial"/>
          <w:b/>
          <w:color w:val="000000"/>
          <w:sz w:val="24"/>
          <w:szCs w:val="24"/>
        </w:rPr>
        <w:t>When the Supplier can ask to change the Framework Prices</w:t>
      </w:r>
    </w:p>
    <w:p w:rsidR="00DE7082" w:rsidRDefault="006D36F3">
      <w:pPr>
        <w:pStyle w:val="Standard"/>
        <w:numPr>
          <w:ilvl w:val="1"/>
          <w:numId w:val="2"/>
        </w:numPr>
        <w:tabs>
          <w:tab w:val="left" w:pos="1429"/>
        </w:tabs>
        <w:spacing w:before="120" w:after="120" w:line="240" w:lineRule="auto"/>
      </w:pPr>
      <w:r>
        <w:rPr>
          <w:rFonts w:ascii="Arial" w:eastAsia="Arial" w:hAnsi="Arial" w:cs="Arial"/>
          <w:color w:val="000000"/>
          <w:sz w:val="24"/>
          <w:szCs w:val="24"/>
        </w:rPr>
        <w:t>The Framework Prices will be fixed as follows:</w:t>
      </w:r>
    </w:p>
    <w:p w:rsidR="00DE7082" w:rsidRDefault="006D36F3">
      <w:pPr>
        <w:pStyle w:val="Standard"/>
        <w:numPr>
          <w:ilvl w:val="2"/>
          <w:numId w:val="2"/>
        </w:numPr>
        <w:tabs>
          <w:tab w:val="left" w:pos="3420"/>
          <w:tab w:val="left" w:pos="3425"/>
          <w:tab w:val="left" w:pos="3567"/>
        </w:tabs>
        <w:spacing w:before="120" w:after="120" w:line="240" w:lineRule="auto"/>
      </w:pPr>
      <w:r>
        <w:rPr>
          <w:rFonts w:ascii="Arial" w:eastAsia="Arial" w:hAnsi="Arial" w:cs="Arial"/>
          <w:sz w:val="24"/>
          <w:szCs w:val="24"/>
        </w:rPr>
        <w:t>Paper Products will be fixed for an initial twelve (12)  months following the Framework Contract Commencement Date;</w:t>
      </w:r>
    </w:p>
    <w:p w:rsidR="00DE7082" w:rsidRDefault="006D36F3">
      <w:pPr>
        <w:pStyle w:val="Standard"/>
        <w:numPr>
          <w:ilvl w:val="2"/>
          <w:numId w:val="2"/>
        </w:numPr>
        <w:tabs>
          <w:tab w:val="left" w:pos="3420"/>
          <w:tab w:val="left" w:pos="3425"/>
          <w:tab w:val="left" w:pos="3567"/>
        </w:tabs>
        <w:spacing w:before="120" w:after="120" w:line="240" w:lineRule="auto"/>
      </w:pPr>
      <w:r>
        <w:rPr>
          <w:rFonts w:ascii="Arial" w:eastAsia="Arial" w:hAnsi="Arial" w:cs="Arial"/>
          <w:sz w:val="24"/>
          <w:szCs w:val="24"/>
        </w:rPr>
        <w:t>EOS Products will be fixed for an initial twelve (12) months following the Framework Contract Commencement Date; and</w:t>
      </w:r>
    </w:p>
    <w:p w:rsidR="00DE7082" w:rsidRDefault="006D36F3">
      <w:pPr>
        <w:pStyle w:val="Standard"/>
        <w:numPr>
          <w:ilvl w:val="2"/>
          <w:numId w:val="2"/>
        </w:numPr>
        <w:tabs>
          <w:tab w:val="left" w:pos="3420"/>
          <w:tab w:val="left" w:pos="3425"/>
          <w:tab w:val="left" w:pos="3567"/>
        </w:tabs>
        <w:spacing w:before="120" w:after="120" w:line="240" w:lineRule="auto"/>
      </w:pPr>
      <w:r>
        <w:rPr>
          <w:rFonts w:ascii="Arial" w:eastAsia="Arial" w:hAnsi="Arial" w:cs="Arial"/>
          <w:sz w:val="24"/>
          <w:szCs w:val="24"/>
        </w:rPr>
        <w:t>General Office Products will be fixed for an initial eighteen (18) months following the Framework Contract Commencement Date</w:t>
      </w:r>
    </w:p>
    <w:p w:rsidR="00DE7082" w:rsidRDefault="006D36F3">
      <w:pPr>
        <w:pStyle w:val="Standard"/>
        <w:numPr>
          <w:ilvl w:val="1"/>
          <w:numId w:val="2"/>
        </w:numPr>
        <w:tabs>
          <w:tab w:val="left" w:pos="1429"/>
        </w:tabs>
        <w:spacing w:before="120" w:after="120" w:line="240" w:lineRule="auto"/>
      </w:pPr>
      <w:r>
        <w:rPr>
          <w:rFonts w:ascii="Arial" w:eastAsia="Arial" w:hAnsi="Arial" w:cs="Arial"/>
          <w:sz w:val="24"/>
          <w:szCs w:val="24"/>
        </w:rPr>
        <w:t>Framework Prices will only be adjusted in line with specific dates (the “Review Dates”), such dates being dependant on the type of product being supplied as follows:</w:t>
      </w:r>
    </w:p>
    <w:p w:rsidR="00DE7082" w:rsidRDefault="006D36F3">
      <w:pPr>
        <w:pStyle w:val="Standard"/>
        <w:numPr>
          <w:ilvl w:val="2"/>
          <w:numId w:val="2"/>
        </w:numPr>
        <w:tabs>
          <w:tab w:val="left" w:pos="3420"/>
          <w:tab w:val="left" w:pos="3425"/>
          <w:tab w:val="left" w:pos="3567"/>
        </w:tabs>
        <w:spacing w:before="120" w:after="120" w:line="240" w:lineRule="auto"/>
      </w:pPr>
      <w:r>
        <w:rPr>
          <w:rFonts w:ascii="Arial" w:eastAsia="Arial" w:hAnsi="Arial" w:cs="Arial"/>
          <w:sz w:val="24"/>
          <w:szCs w:val="24"/>
        </w:rPr>
        <w:t>Paper</w:t>
      </w:r>
      <w:r>
        <w:rPr>
          <w:rFonts w:ascii="Arial" w:eastAsia="Arial" w:hAnsi="Arial" w:cs="Arial"/>
          <w:color w:val="000000"/>
          <w:sz w:val="24"/>
          <w:szCs w:val="24"/>
        </w:rPr>
        <w:t xml:space="preserve"> Products will have Review Dates at the expiry of the initial fixed period and every following twelve (12)  months;</w:t>
      </w:r>
    </w:p>
    <w:p w:rsidR="00DE7082" w:rsidRDefault="006D36F3">
      <w:pPr>
        <w:pStyle w:val="Standard"/>
        <w:numPr>
          <w:ilvl w:val="2"/>
          <w:numId w:val="2"/>
        </w:numPr>
        <w:tabs>
          <w:tab w:val="left" w:pos="3420"/>
          <w:tab w:val="left" w:pos="3425"/>
          <w:tab w:val="left" w:pos="3567"/>
        </w:tabs>
        <w:spacing w:before="120" w:after="120" w:line="240" w:lineRule="auto"/>
      </w:pPr>
      <w:r>
        <w:rPr>
          <w:rFonts w:ascii="Arial" w:eastAsia="Arial" w:hAnsi="Arial" w:cs="Arial"/>
          <w:sz w:val="24"/>
          <w:szCs w:val="24"/>
        </w:rPr>
        <w:t>EOS Products will have Review Dates at the expiry of the initial fixed period and every following twelve (12) months; and</w:t>
      </w:r>
    </w:p>
    <w:p w:rsidR="00DE7082" w:rsidRDefault="006D36F3">
      <w:pPr>
        <w:pStyle w:val="Standard"/>
        <w:numPr>
          <w:ilvl w:val="2"/>
          <w:numId w:val="2"/>
        </w:numPr>
        <w:tabs>
          <w:tab w:val="left" w:pos="3420"/>
          <w:tab w:val="left" w:pos="3425"/>
          <w:tab w:val="left" w:pos="3567"/>
        </w:tabs>
        <w:spacing w:before="120" w:after="120" w:line="240" w:lineRule="auto"/>
      </w:pPr>
      <w:r>
        <w:rPr>
          <w:rFonts w:ascii="Arial" w:eastAsia="Arial" w:hAnsi="Arial" w:cs="Arial"/>
          <w:sz w:val="24"/>
          <w:szCs w:val="24"/>
        </w:rPr>
        <w:lastRenderedPageBreak/>
        <w:t>General Office Products will have Review Dates at the expiry of the initial fixed period and every following twelve (12) months.</w:t>
      </w:r>
    </w:p>
    <w:p w:rsidR="00DE7082" w:rsidRDefault="006D36F3">
      <w:pPr>
        <w:pStyle w:val="Standard"/>
        <w:numPr>
          <w:ilvl w:val="1"/>
          <w:numId w:val="2"/>
        </w:numPr>
        <w:tabs>
          <w:tab w:val="left" w:pos="1429"/>
        </w:tabs>
        <w:spacing w:before="120" w:after="120" w:line="240" w:lineRule="auto"/>
      </w:pPr>
      <w:r>
        <w:rPr>
          <w:rFonts w:ascii="Arial" w:eastAsia="Arial" w:hAnsi="Arial" w:cs="Arial"/>
          <w:color w:val="000000"/>
          <w:sz w:val="24"/>
          <w:szCs w:val="24"/>
        </w:rPr>
        <w:t>The Supplier shall give CCS at least three (3) Months' notice in writing prior to a Review Date where it wants to request an increase.</w:t>
      </w:r>
    </w:p>
    <w:p w:rsidR="00DE7082" w:rsidRDefault="006D36F3">
      <w:pPr>
        <w:pStyle w:val="Standard"/>
        <w:tabs>
          <w:tab w:val="left" w:pos="1429"/>
        </w:tabs>
        <w:spacing w:before="120" w:after="120" w:line="240" w:lineRule="auto"/>
        <w:ind w:left="720"/>
      </w:pPr>
      <w:r>
        <w:rPr>
          <w:rFonts w:ascii="Arial" w:eastAsia="Arial" w:hAnsi="Arial" w:cs="Arial"/>
          <w:color w:val="000000"/>
          <w:sz w:val="24"/>
          <w:szCs w:val="24"/>
        </w:rPr>
        <w:t>If the Supplier does not give notice in time then it will only be able to request an increase prior to the next Review Date.</w:t>
      </w:r>
    </w:p>
    <w:p w:rsidR="00DE7082" w:rsidRDefault="006D36F3">
      <w:pPr>
        <w:pStyle w:val="Standard"/>
        <w:numPr>
          <w:ilvl w:val="1"/>
          <w:numId w:val="2"/>
        </w:numPr>
        <w:tabs>
          <w:tab w:val="left" w:pos="1429"/>
        </w:tabs>
        <w:spacing w:before="120" w:after="120" w:line="240" w:lineRule="auto"/>
      </w:pPr>
      <w:r>
        <w:rPr>
          <w:rFonts w:ascii="Arial" w:eastAsia="Arial" w:hAnsi="Arial" w:cs="Arial"/>
          <w:color w:val="000000"/>
          <w:sz w:val="24"/>
          <w:szCs w:val="24"/>
        </w:rPr>
        <w:t xml:space="preserve">Any </w:t>
      </w:r>
      <w:r>
        <w:rPr>
          <w:rFonts w:ascii="Arial" w:eastAsia="Arial" w:hAnsi="Arial" w:cs="Arial"/>
          <w:sz w:val="24"/>
          <w:szCs w:val="24"/>
        </w:rPr>
        <w:t>notice requesting an increase shall include:</w:t>
      </w:r>
    </w:p>
    <w:p w:rsidR="00DE7082" w:rsidRDefault="006D36F3">
      <w:pPr>
        <w:pStyle w:val="Standard"/>
        <w:numPr>
          <w:ilvl w:val="2"/>
          <w:numId w:val="2"/>
        </w:numPr>
        <w:tabs>
          <w:tab w:val="left" w:pos="3425"/>
          <w:tab w:val="left" w:pos="3567"/>
        </w:tabs>
        <w:spacing w:before="120" w:after="120" w:line="240" w:lineRule="auto"/>
      </w:pPr>
      <w:r>
        <w:rPr>
          <w:rFonts w:ascii="Arial" w:eastAsia="Arial" w:hAnsi="Arial" w:cs="Arial"/>
          <w:sz w:val="24"/>
          <w:szCs w:val="24"/>
        </w:rPr>
        <w:t xml:space="preserve"> a Price Review Template completed by the Supplier;</w:t>
      </w:r>
    </w:p>
    <w:p w:rsidR="00DE7082" w:rsidRDefault="006D36F3">
      <w:pPr>
        <w:pStyle w:val="Standard"/>
        <w:numPr>
          <w:ilvl w:val="2"/>
          <w:numId w:val="2"/>
        </w:numPr>
        <w:tabs>
          <w:tab w:val="left" w:pos="3425"/>
          <w:tab w:val="left" w:pos="3567"/>
        </w:tabs>
        <w:spacing w:before="120" w:after="120" w:line="240" w:lineRule="auto"/>
      </w:pPr>
      <w:r>
        <w:rPr>
          <w:rFonts w:ascii="Arial" w:eastAsia="Arial" w:hAnsi="Arial" w:cs="Arial"/>
          <w:color w:val="000000"/>
          <w:sz w:val="24"/>
          <w:szCs w:val="24"/>
        </w:rPr>
        <w:t>for each Framework Price under review, written evidence of the justification for the requested increase including:</w:t>
      </w:r>
    </w:p>
    <w:p w:rsidR="00DE7082" w:rsidRDefault="006D36F3">
      <w:pPr>
        <w:pStyle w:val="Standard"/>
        <w:numPr>
          <w:ilvl w:val="3"/>
          <w:numId w:val="2"/>
        </w:numPr>
        <w:tabs>
          <w:tab w:val="left" w:pos="4145"/>
          <w:tab w:val="left" w:pos="4287"/>
          <w:tab w:val="left" w:pos="4712"/>
        </w:tabs>
        <w:spacing w:before="120" w:after="120" w:line="240" w:lineRule="auto"/>
      </w:pPr>
      <w:r>
        <w:rPr>
          <w:rFonts w:ascii="Arial" w:eastAsia="Arial" w:hAnsi="Arial" w:cs="Arial"/>
          <w:color w:val="000000"/>
          <w:sz w:val="24"/>
          <w:szCs w:val="24"/>
        </w:rPr>
        <w:t>a breakdown of the profit and cost components that comprise the relevant Framework Price;</w:t>
      </w:r>
    </w:p>
    <w:p w:rsidR="00DE7082" w:rsidRDefault="006D36F3">
      <w:pPr>
        <w:pStyle w:val="Standard"/>
        <w:numPr>
          <w:ilvl w:val="3"/>
          <w:numId w:val="2"/>
        </w:numPr>
        <w:tabs>
          <w:tab w:val="left" w:pos="4145"/>
          <w:tab w:val="left" w:pos="4287"/>
          <w:tab w:val="left" w:pos="4712"/>
        </w:tabs>
        <w:spacing w:before="120" w:after="120" w:line="240" w:lineRule="auto"/>
      </w:pPr>
      <w:r>
        <w:rPr>
          <w:rFonts w:ascii="Arial" w:eastAsia="Arial" w:hAnsi="Arial" w:cs="Arial"/>
          <w:color w:val="000000"/>
          <w:sz w:val="24"/>
          <w:szCs w:val="24"/>
        </w:rPr>
        <w:t>details of the movement in the different identified cost components of the relevant Framework Price;</w:t>
      </w:r>
    </w:p>
    <w:p w:rsidR="00DE7082" w:rsidRDefault="006D36F3">
      <w:pPr>
        <w:pStyle w:val="Standard"/>
        <w:numPr>
          <w:ilvl w:val="3"/>
          <w:numId w:val="2"/>
        </w:numPr>
        <w:tabs>
          <w:tab w:val="left" w:pos="4145"/>
          <w:tab w:val="left" w:pos="4287"/>
          <w:tab w:val="left" w:pos="4712"/>
        </w:tabs>
        <w:spacing w:before="120" w:after="120" w:line="240" w:lineRule="auto"/>
      </w:pPr>
      <w:r>
        <w:rPr>
          <w:rFonts w:ascii="Arial" w:eastAsia="Arial" w:hAnsi="Arial" w:cs="Arial"/>
          <w:color w:val="000000"/>
          <w:sz w:val="24"/>
          <w:szCs w:val="24"/>
        </w:rPr>
        <w:t>reasons for the movement in the different identified cost components of the relevant Framework Price;</w:t>
      </w:r>
    </w:p>
    <w:p w:rsidR="00DE7082" w:rsidRDefault="006D36F3">
      <w:pPr>
        <w:pStyle w:val="Standard"/>
        <w:numPr>
          <w:ilvl w:val="3"/>
          <w:numId w:val="2"/>
        </w:numPr>
        <w:tabs>
          <w:tab w:val="left" w:pos="4145"/>
          <w:tab w:val="left" w:pos="4287"/>
          <w:tab w:val="left" w:pos="4712"/>
        </w:tabs>
        <w:spacing w:before="120" w:after="120" w:line="240" w:lineRule="auto"/>
      </w:pPr>
      <w:r>
        <w:rPr>
          <w:rFonts w:ascii="Arial" w:eastAsia="Arial" w:hAnsi="Arial" w:cs="Arial"/>
          <w:color w:val="000000"/>
          <w:sz w:val="24"/>
          <w:szCs w:val="24"/>
        </w:rPr>
        <w:t>evidence that the Supplier has attempted to mitigate against the increase in the relevant cost components; and</w:t>
      </w:r>
    </w:p>
    <w:p w:rsidR="00DE7082" w:rsidRDefault="006D36F3">
      <w:pPr>
        <w:pStyle w:val="Standard"/>
        <w:numPr>
          <w:ilvl w:val="3"/>
          <w:numId w:val="2"/>
        </w:numPr>
        <w:tabs>
          <w:tab w:val="left" w:pos="4145"/>
          <w:tab w:val="left" w:pos="4287"/>
          <w:tab w:val="left" w:pos="4712"/>
        </w:tabs>
        <w:spacing w:before="120" w:after="120" w:line="240" w:lineRule="auto"/>
      </w:pPr>
      <w:r>
        <w:rPr>
          <w:rFonts w:ascii="Arial" w:eastAsia="Arial" w:hAnsi="Arial" w:cs="Arial"/>
          <w:color w:val="000000"/>
          <w:sz w:val="24"/>
          <w:szCs w:val="24"/>
        </w:rPr>
        <w:t>evidence that the Supplier’s profit component of the relevant Framework Price is no greater than that applying to Framework Prices using the same pricing mechanism as at the Contract Commencement Date.</w:t>
      </w:r>
    </w:p>
    <w:p w:rsidR="00DE7082" w:rsidRDefault="006D36F3">
      <w:pPr>
        <w:pStyle w:val="Standard"/>
        <w:numPr>
          <w:ilvl w:val="1"/>
          <w:numId w:val="2"/>
        </w:numPr>
        <w:tabs>
          <w:tab w:val="left" w:pos="1429"/>
        </w:tabs>
        <w:spacing w:before="120" w:after="120" w:line="240" w:lineRule="auto"/>
      </w:pPr>
      <w:r>
        <w:rPr>
          <w:rFonts w:ascii="Arial" w:eastAsia="Arial" w:hAnsi="Arial" w:cs="Arial"/>
          <w:color w:val="000000"/>
          <w:sz w:val="24"/>
          <w:szCs w:val="24"/>
        </w:rPr>
        <w:t>CCS shall consider each request for a price increase.</w:t>
      </w:r>
    </w:p>
    <w:p w:rsidR="00DE7082" w:rsidRDefault="006D36F3">
      <w:pPr>
        <w:pStyle w:val="Standard"/>
        <w:tabs>
          <w:tab w:val="left" w:pos="1429"/>
        </w:tabs>
        <w:spacing w:before="120" w:after="120" w:line="240" w:lineRule="auto"/>
        <w:ind w:left="720"/>
      </w:pPr>
      <w:r>
        <w:rPr>
          <w:rFonts w:ascii="Arial" w:eastAsia="Arial" w:hAnsi="Arial" w:cs="Arial"/>
          <w:color w:val="000000"/>
          <w:sz w:val="24"/>
          <w:szCs w:val="24"/>
        </w:rPr>
        <w:t>CCS may grant Approval to an increase at its sole discretion.</w:t>
      </w:r>
    </w:p>
    <w:p w:rsidR="00DE7082" w:rsidRDefault="006D36F3">
      <w:pPr>
        <w:pStyle w:val="Standard"/>
        <w:numPr>
          <w:ilvl w:val="1"/>
          <w:numId w:val="2"/>
        </w:numPr>
        <w:tabs>
          <w:tab w:val="left" w:pos="1429"/>
        </w:tabs>
        <w:spacing w:before="120" w:after="120" w:line="240" w:lineRule="auto"/>
      </w:pPr>
      <w:r>
        <w:rPr>
          <w:rFonts w:ascii="Arial" w:eastAsia="Arial" w:hAnsi="Arial" w:cs="Arial"/>
          <w:color w:val="000000"/>
          <w:sz w:val="24"/>
          <w:szCs w:val="24"/>
        </w:rPr>
        <w:t>Where CCS approves an increase then it will be implemented from the first (1st) Working Day following the relevant Review Date or such later date as CCS may determine at its sole discretion and Annex 1 shall be updated accordingly.</w:t>
      </w:r>
    </w:p>
    <w:p w:rsidR="00DE7082" w:rsidRDefault="00DE7082">
      <w:pPr>
        <w:pStyle w:val="Standard"/>
        <w:tabs>
          <w:tab w:val="left" w:pos="1353"/>
        </w:tabs>
        <w:spacing w:before="120" w:after="120" w:line="240" w:lineRule="auto"/>
        <w:ind w:left="644"/>
        <w:rPr>
          <w:rFonts w:ascii="Arial" w:eastAsia="Arial" w:hAnsi="Arial" w:cs="Arial"/>
          <w:sz w:val="24"/>
          <w:szCs w:val="24"/>
        </w:rPr>
      </w:pPr>
    </w:p>
    <w:p w:rsidR="00DE7082" w:rsidRDefault="006D36F3">
      <w:pPr>
        <w:pStyle w:val="Standard"/>
        <w:numPr>
          <w:ilvl w:val="0"/>
          <w:numId w:val="2"/>
        </w:numPr>
        <w:tabs>
          <w:tab w:val="left" w:pos="502"/>
        </w:tabs>
        <w:spacing w:before="120" w:after="240" w:line="240" w:lineRule="auto"/>
        <w:jc w:val="both"/>
      </w:pPr>
      <w:r>
        <w:rPr>
          <w:rFonts w:ascii="Arial" w:eastAsia="Arial" w:hAnsi="Arial" w:cs="Arial"/>
          <w:b/>
          <w:color w:val="000000"/>
          <w:sz w:val="24"/>
          <w:szCs w:val="24"/>
        </w:rPr>
        <w:t>Other events that allow the Supplier to change the Framework Prices</w:t>
      </w:r>
    </w:p>
    <w:p w:rsidR="00DE7082" w:rsidRDefault="006D36F3">
      <w:pPr>
        <w:pStyle w:val="Standard"/>
        <w:numPr>
          <w:ilvl w:val="1"/>
          <w:numId w:val="2"/>
        </w:numPr>
        <w:tabs>
          <w:tab w:val="left" w:pos="1429"/>
        </w:tabs>
        <w:spacing w:before="120" w:after="120" w:line="240" w:lineRule="auto"/>
      </w:pPr>
      <w:r>
        <w:rPr>
          <w:rFonts w:ascii="Arial" w:eastAsia="Arial" w:hAnsi="Arial" w:cs="Arial"/>
          <w:color w:val="000000"/>
          <w:sz w:val="24"/>
          <w:szCs w:val="24"/>
        </w:rPr>
        <w:t>The Framework Prices can also be varied (and Annex 1 will be updated accordingly) due to:</w:t>
      </w:r>
    </w:p>
    <w:p w:rsidR="00DE7082" w:rsidRDefault="006D36F3">
      <w:pPr>
        <w:pStyle w:val="Standard"/>
        <w:numPr>
          <w:ilvl w:val="2"/>
          <w:numId w:val="2"/>
        </w:numPr>
        <w:tabs>
          <w:tab w:val="left" w:pos="3425"/>
          <w:tab w:val="left" w:pos="3567"/>
        </w:tabs>
        <w:spacing w:before="120" w:after="120" w:line="240" w:lineRule="auto"/>
      </w:pPr>
      <w:r>
        <w:rPr>
          <w:rFonts w:ascii="Arial" w:eastAsia="Arial" w:hAnsi="Arial" w:cs="Arial"/>
          <w:color w:val="000000"/>
          <w:sz w:val="24"/>
          <w:szCs w:val="24"/>
        </w:rPr>
        <w:t>a Specific Change in Law in accordance with Clause 24;</w:t>
      </w:r>
    </w:p>
    <w:p w:rsidR="00DE7082" w:rsidRDefault="006D36F3">
      <w:pPr>
        <w:pStyle w:val="Standard"/>
        <w:numPr>
          <w:ilvl w:val="2"/>
          <w:numId w:val="2"/>
        </w:numPr>
        <w:tabs>
          <w:tab w:val="left" w:pos="3425"/>
          <w:tab w:val="left" w:pos="3567"/>
        </w:tabs>
        <w:spacing w:before="120" w:after="120" w:line="240" w:lineRule="auto"/>
      </w:pPr>
      <w:r>
        <w:rPr>
          <w:rFonts w:ascii="Arial" w:eastAsia="Arial" w:hAnsi="Arial" w:cs="Arial"/>
          <w:color w:val="000000"/>
          <w:sz w:val="24"/>
          <w:szCs w:val="24"/>
        </w:rPr>
        <w:t>a review in accordance with insurance requirements in Clause 13;</w:t>
      </w:r>
    </w:p>
    <w:p w:rsidR="00DE7082" w:rsidRDefault="006D36F3">
      <w:pPr>
        <w:pStyle w:val="Standard"/>
        <w:numPr>
          <w:ilvl w:val="2"/>
          <w:numId w:val="2"/>
        </w:numPr>
        <w:tabs>
          <w:tab w:val="left" w:pos="3425"/>
          <w:tab w:val="left" w:pos="3567"/>
        </w:tabs>
        <w:spacing w:before="120" w:after="120" w:line="240" w:lineRule="auto"/>
      </w:pPr>
      <w:r>
        <w:rPr>
          <w:rFonts w:ascii="Arial" w:eastAsia="Arial" w:hAnsi="Arial" w:cs="Arial"/>
          <w:color w:val="000000"/>
          <w:sz w:val="24"/>
          <w:szCs w:val="24"/>
        </w:rPr>
        <w:t>a benchmarking review in accordance with Call Off Schedule 16 (Benchmarking); and</w:t>
      </w:r>
    </w:p>
    <w:p w:rsidR="00DE7082" w:rsidRDefault="006D36F3">
      <w:pPr>
        <w:pStyle w:val="Standard"/>
        <w:numPr>
          <w:ilvl w:val="2"/>
          <w:numId w:val="2"/>
        </w:numPr>
        <w:tabs>
          <w:tab w:val="left" w:pos="3425"/>
          <w:tab w:val="left" w:pos="3567"/>
        </w:tabs>
        <w:spacing w:before="120" w:after="120" w:line="240" w:lineRule="auto"/>
      </w:pPr>
      <w:r>
        <w:rPr>
          <w:rFonts w:ascii="Arial" w:eastAsia="Arial" w:hAnsi="Arial" w:cs="Arial"/>
          <w:color w:val="000000"/>
          <w:sz w:val="24"/>
          <w:szCs w:val="24"/>
        </w:rPr>
        <w:t>a request from the Supplier, which it can make at any time, to decrease the Framework Prices;</w:t>
      </w:r>
    </w:p>
    <w:p w:rsidR="00DE7082" w:rsidRDefault="00DE7082">
      <w:pPr>
        <w:pStyle w:val="Standard"/>
        <w:tabs>
          <w:tab w:val="left" w:pos="3641"/>
          <w:tab w:val="left" w:pos="3783"/>
        </w:tabs>
        <w:spacing w:before="120" w:after="120" w:line="240" w:lineRule="auto"/>
        <w:ind w:left="1656" w:hanging="1372"/>
        <w:jc w:val="center"/>
        <w:rPr>
          <w:rFonts w:ascii="Arial" w:eastAsia="Arial" w:hAnsi="Arial" w:cs="Arial"/>
          <w:b/>
          <w:sz w:val="24"/>
          <w:szCs w:val="24"/>
        </w:rPr>
      </w:pPr>
    </w:p>
    <w:p w:rsidR="00DE7082" w:rsidRDefault="006D36F3">
      <w:pPr>
        <w:pStyle w:val="Standard"/>
        <w:tabs>
          <w:tab w:val="left" w:pos="3641"/>
          <w:tab w:val="left" w:pos="3783"/>
        </w:tabs>
        <w:spacing w:before="120" w:after="120" w:line="240" w:lineRule="auto"/>
        <w:ind w:left="1656" w:hanging="1372"/>
        <w:jc w:val="center"/>
      </w:pPr>
      <w:r>
        <w:rPr>
          <w:rFonts w:ascii="Arial" w:eastAsia="Arial" w:hAnsi="Arial" w:cs="Arial"/>
          <w:b/>
          <w:color w:val="000000"/>
          <w:sz w:val="24"/>
          <w:szCs w:val="24"/>
        </w:rPr>
        <w:lastRenderedPageBreak/>
        <w:t>Annex 1 - Framework Pricing Mechanism</w:t>
      </w:r>
    </w:p>
    <w:p w:rsidR="00DE7082" w:rsidRDefault="00DE7082">
      <w:pPr>
        <w:pStyle w:val="Standard"/>
        <w:tabs>
          <w:tab w:val="left" w:pos="3641"/>
          <w:tab w:val="left" w:pos="3783"/>
        </w:tabs>
        <w:spacing w:before="120" w:after="120" w:line="240" w:lineRule="auto"/>
        <w:ind w:left="1656" w:hanging="1372"/>
        <w:rPr>
          <w:rFonts w:ascii="Arial" w:eastAsia="Arial" w:hAnsi="Arial" w:cs="Arial"/>
          <w:color w:val="000000"/>
          <w:sz w:val="24"/>
          <w:szCs w:val="24"/>
        </w:rPr>
      </w:pPr>
    </w:p>
    <w:p w:rsidR="00DE7082" w:rsidRDefault="00DE7082">
      <w:pPr>
        <w:pStyle w:val="Standard"/>
        <w:tabs>
          <w:tab w:val="left" w:pos="1985"/>
          <w:tab w:val="left" w:pos="2127"/>
        </w:tabs>
        <w:spacing w:before="120" w:after="120" w:line="240" w:lineRule="auto"/>
        <w:rPr>
          <w:rFonts w:ascii="Arial" w:eastAsia="Arial" w:hAnsi="Arial" w:cs="Arial"/>
          <w:color w:val="000000"/>
          <w:sz w:val="24"/>
          <w:szCs w:val="24"/>
        </w:rPr>
      </w:pPr>
    </w:p>
    <w:p w:rsidR="00DE7082" w:rsidRDefault="006D36F3">
      <w:pPr>
        <w:pStyle w:val="Standard"/>
      </w:pPr>
      <w:bookmarkStart w:id="6" w:name="_heading=h.1t3h5sf"/>
      <w:bookmarkEnd w:id="6"/>
      <w:r>
        <w:rPr>
          <w:rFonts w:ascii="Arial" w:eastAsia="Arial" w:hAnsi="Arial" w:cs="Arial"/>
          <w:b/>
          <w:sz w:val="24"/>
          <w:szCs w:val="24"/>
        </w:rPr>
        <w:t xml:space="preserve">                                    Will be added after award</w:t>
      </w:r>
      <w:r w:rsidR="0054350B">
        <w:rPr>
          <w:rFonts w:ascii="Arial" w:eastAsia="Arial" w:hAnsi="Arial" w:cs="Arial"/>
          <w:b/>
          <w:sz w:val="24"/>
          <w:szCs w:val="24"/>
        </w:rPr>
        <w:t xml:space="preserve"> for Suppliers only</w:t>
      </w: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DE7082">
      <w:pPr>
        <w:pStyle w:val="Standard"/>
        <w:rPr>
          <w:rFonts w:ascii="Arial" w:eastAsia="Arial" w:hAnsi="Arial" w:cs="Arial"/>
          <w:b/>
          <w:sz w:val="24"/>
          <w:szCs w:val="24"/>
        </w:rPr>
      </w:pPr>
    </w:p>
    <w:p w:rsidR="00DE7082" w:rsidRDefault="006D36F3">
      <w:pPr>
        <w:pStyle w:val="Standard"/>
        <w:jc w:val="center"/>
      </w:pPr>
      <w:r>
        <w:rPr>
          <w:rFonts w:ascii="Arial" w:eastAsia="Arial" w:hAnsi="Arial" w:cs="Arial"/>
          <w:b/>
          <w:sz w:val="24"/>
          <w:szCs w:val="24"/>
        </w:rPr>
        <w:lastRenderedPageBreak/>
        <w:t>Annex 2 - Price Review Template</w:t>
      </w:r>
    </w:p>
    <w:p w:rsidR="00DE7082" w:rsidRDefault="006D36F3">
      <w:pPr>
        <w:pStyle w:val="Standard"/>
        <w:jc w:val="center"/>
      </w:pPr>
      <w:r>
        <w:rPr>
          <w:rFonts w:ascii="Arial" w:eastAsia="Arial" w:hAnsi="Arial" w:cs="Arial"/>
          <w:b/>
          <w:sz w:val="24"/>
          <w:szCs w:val="24"/>
        </w:rPr>
        <w:t>once the framework is awarded a bespoke template will be created for each lot.</w:t>
      </w:r>
    </w:p>
    <w:p w:rsidR="00DE7082" w:rsidRDefault="00DE7082">
      <w:pPr>
        <w:pStyle w:val="Standard"/>
        <w:jc w:val="center"/>
        <w:rPr>
          <w:rFonts w:ascii="Arial" w:eastAsia="Arial" w:hAnsi="Arial" w:cs="Arial"/>
          <w:b/>
          <w:sz w:val="24"/>
          <w:szCs w:val="24"/>
        </w:rPr>
      </w:pPr>
      <w:bookmarkStart w:id="7" w:name="_heading=h.tyjcwt"/>
      <w:bookmarkEnd w:id="7"/>
    </w:p>
    <w:p w:rsidR="00DE7082" w:rsidRDefault="00DE7082">
      <w:pPr>
        <w:pStyle w:val="Standard"/>
        <w:jc w:val="center"/>
      </w:pPr>
      <w:bookmarkStart w:id="8" w:name="_heading=h.2et92p0"/>
      <w:bookmarkEnd w:id="8"/>
    </w:p>
    <w:sectPr w:rsidR="00DE7082">
      <w:headerReference w:type="default" r:id="rId7"/>
      <w:footerReference w:type="default" r:id="rId8"/>
      <w:pgSz w:w="11906" w:h="16838"/>
      <w:pgMar w:top="1888" w:right="1440" w:bottom="1440" w:left="1440"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49E" w:rsidRDefault="000A249E">
      <w:r>
        <w:separator/>
      </w:r>
    </w:p>
  </w:endnote>
  <w:endnote w:type="continuationSeparator" w:id="0">
    <w:p w:rsidR="000A249E" w:rsidRDefault="000A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BE3" w:rsidRDefault="006D36F3">
    <w:pPr>
      <w:pStyle w:val="Standard"/>
      <w:tabs>
        <w:tab w:val="center" w:pos="4513"/>
        <w:tab w:val="right" w:pos="9026"/>
      </w:tabs>
      <w:spacing w:after="0" w:line="240" w:lineRule="auto"/>
    </w:pPr>
    <w:r>
      <w:rPr>
        <w:rFonts w:ascii="Arial" w:eastAsia="Arial" w:hAnsi="Arial" w:cs="Arial"/>
        <w:sz w:val="20"/>
        <w:szCs w:val="20"/>
      </w:rPr>
      <w:t>Framework Ref: RM6299</w:t>
    </w:r>
    <w:r>
      <w:rPr>
        <w:rFonts w:ascii="Arial" w:eastAsia="Arial" w:hAnsi="Arial" w:cs="Arial"/>
        <w:sz w:val="20"/>
        <w:szCs w:val="20"/>
      </w:rPr>
      <w:tab/>
      <w:t xml:space="preserve">                                           </w:t>
    </w:r>
  </w:p>
  <w:p w:rsidR="00B61BE3" w:rsidRDefault="006D36F3">
    <w:pPr>
      <w:pStyle w:val="Standard"/>
      <w:tabs>
        <w:tab w:val="center" w:pos="4513"/>
        <w:tab w:val="right" w:pos="9026"/>
      </w:tabs>
      <w:spacing w:after="0" w:line="240" w:lineRule="auto"/>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rsidR="005E1EA1">
      <w:rPr>
        <w:noProof/>
      </w:rPr>
      <w:t>4</w:t>
    </w:r>
    <w:r>
      <w:fldChar w:fldCharType="end"/>
    </w:r>
  </w:p>
  <w:p w:rsidR="00B61BE3" w:rsidRDefault="006D36F3">
    <w:pPr>
      <w:pStyle w:val="Standard"/>
      <w:tabs>
        <w:tab w:val="left" w:pos="720"/>
        <w:tab w:val="left" w:pos="1440"/>
        <w:tab w:val="left" w:pos="2160"/>
        <w:tab w:val="left" w:pos="2880"/>
        <w:tab w:val="left" w:pos="3600"/>
        <w:tab w:val="left" w:pos="4320"/>
        <w:tab w:val="left" w:pos="4905"/>
      </w:tabs>
      <w:spacing w:after="0" w:line="240" w:lineRule="auto"/>
      <w:jc w:val="both"/>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color w:val="BFBFBF"/>
        <w:sz w:val="20"/>
        <w:szCs w:val="20"/>
      </w:rPr>
      <w:tab/>
    </w:r>
    <w:r>
      <w:rPr>
        <w:color w:val="BFBFBF"/>
      </w:rPr>
      <w:tab/>
    </w: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49E" w:rsidRDefault="000A249E">
      <w:r>
        <w:rPr>
          <w:color w:val="000000"/>
        </w:rPr>
        <w:separator/>
      </w:r>
    </w:p>
  </w:footnote>
  <w:footnote w:type="continuationSeparator" w:id="0">
    <w:p w:rsidR="000A249E" w:rsidRDefault="000A2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BE3" w:rsidRDefault="006D36F3">
    <w:pPr>
      <w:pStyle w:val="Standard"/>
      <w:tabs>
        <w:tab w:val="center" w:pos="4513"/>
        <w:tab w:val="right" w:pos="9026"/>
      </w:tabs>
      <w:spacing w:after="0" w:line="240" w:lineRule="auto"/>
    </w:pPr>
    <w:r>
      <w:rPr>
        <w:rFonts w:ascii="Arial" w:eastAsia="Arial" w:hAnsi="Arial" w:cs="Arial"/>
        <w:b/>
        <w:color w:val="000000"/>
        <w:sz w:val="20"/>
        <w:szCs w:val="20"/>
      </w:rPr>
      <w:t>Framework Schedule 3 (Framework Prices)</w:t>
    </w:r>
  </w:p>
  <w:p w:rsidR="00B61BE3" w:rsidRDefault="006D36F3">
    <w:pPr>
      <w:pStyle w:val="Standard"/>
      <w:tabs>
        <w:tab w:val="center" w:pos="4513"/>
        <w:tab w:val="right" w:pos="9026"/>
      </w:tabs>
      <w:spacing w:after="0" w:line="240" w:lineRule="auto"/>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C117B2"/>
    <w:multiLevelType w:val="multilevel"/>
    <w:tmpl w:val="6C3E1058"/>
    <w:styleLink w:val="WWNum1"/>
    <w:lvl w:ilvl="0">
      <w:start w:val="1"/>
      <w:numFmt w:val="decimal"/>
      <w:lvlText w:val="%1."/>
      <w:lvlJc w:val="left"/>
      <w:pPr>
        <w:ind w:left="360" w:hanging="360"/>
      </w:pPr>
      <w:rPr>
        <w:rFonts w:ascii="Arial" w:eastAsia="Arial" w:hAnsi="Arial" w:cs="Arial"/>
        <w:b/>
        <w:caps w:val="0"/>
        <w:smallCaps w:val="0"/>
        <w:strike w:val="0"/>
        <w:dstrike w:val="0"/>
        <w:color w:val="000000"/>
        <w:position w:val="0"/>
        <w:sz w:val="24"/>
        <w:szCs w:val="24"/>
        <w:u w:val="none"/>
        <w:vertAlign w:val="baseline"/>
      </w:rPr>
    </w:lvl>
    <w:lvl w:ilvl="1">
      <w:start w:val="1"/>
      <w:numFmt w:val="decimal"/>
      <w:lvlText w:val="%1.%2"/>
      <w:lvlJc w:val="left"/>
      <w:pPr>
        <w:ind w:left="720" w:hanging="720"/>
      </w:pPr>
      <w:rPr>
        <w:rFonts w:ascii="Arial" w:eastAsia="Arial" w:hAnsi="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1440" w:hanging="720"/>
      </w:pPr>
      <w:rPr>
        <w:rFonts w:ascii="Arial" w:hAnsi="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160" w:hanging="720"/>
      </w:pPr>
      <w:rPr>
        <w:rFonts w:ascii="Arial" w:eastAsia="Calibri" w:hAnsi="Arial" w:cs="Calibri"/>
        <w:b w:val="0"/>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4B46772"/>
    <w:multiLevelType w:val="multilevel"/>
    <w:tmpl w:val="BCCEA03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082"/>
    <w:rsid w:val="000A249E"/>
    <w:rsid w:val="0054350B"/>
    <w:rsid w:val="005E1EA1"/>
    <w:rsid w:val="006D36F3"/>
    <w:rsid w:val="00DE7082"/>
    <w:rsid w:val="00FA6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FD7EC-448B-4A5A-9EC4-E6DA1585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pPr>
  </w:style>
  <w:style w:type="paragraph" w:styleId="Heading1">
    <w:name w:val="heading 1"/>
    <w:basedOn w:val="Normal"/>
    <w:next w:val="Standard"/>
    <w:pPr>
      <w:keepNext/>
      <w:keepLines/>
      <w:spacing w:before="480" w:after="120"/>
      <w:outlineLvl w:val="0"/>
    </w:pPr>
    <w:rPr>
      <w:b/>
      <w:sz w:val="48"/>
      <w:szCs w:val="48"/>
    </w:rPr>
  </w:style>
  <w:style w:type="paragraph" w:styleId="Heading2">
    <w:name w:val="heading 2"/>
    <w:basedOn w:val="Normal"/>
    <w:next w:val="Standard"/>
    <w:pPr>
      <w:keepNext/>
      <w:keepLines/>
      <w:spacing w:before="360" w:after="80"/>
      <w:outlineLvl w:val="1"/>
    </w:pPr>
    <w:rPr>
      <w:b/>
      <w:sz w:val="36"/>
      <w:szCs w:val="36"/>
    </w:rPr>
  </w:style>
  <w:style w:type="paragraph" w:styleId="Heading3">
    <w:name w:val="heading 3"/>
    <w:basedOn w:val="Normal"/>
    <w:next w:val="Standard"/>
    <w:pPr>
      <w:keepNext/>
      <w:keepLines/>
      <w:spacing w:before="280" w:after="80"/>
      <w:outlineLvl w:val="2"/>
    </w:pPr>
    <w:rPr>
      <w:b/>
      <w:sz w:val="28"/>
      <w:szCs w:val="28"/>
    </w:rPr>
  </w:style>
  <w:style w:type="paragraph" w:styleId="Heading4">
    <w:name w:val="heading 4"/>
    <w:basedOn w:val="Normal"/>
    <w:next w:val="Standard"/>
    <w:pPr>
      <w:keepNext/>
      <w:keepLines/>
      <w:spacing w:before="240" w:after="40"/>
      <w:outlineLvl w:val="3"/>
    </w:pPr>
    <w:rPr>
      <w:b/>
      <w:sz w:val="24"/>
      <w:szCs w:val="24"/>
    </w:rPr>
  </w:style>
  <w:style w:type="paragraph" w:styleId="Heading5">
    <w:name w:val="heading 5"/>
    <w:basedOn w:val="Normal"/>
    <w:next w:val="Standard"/>
    <w:pPr>
      <w:keepNext/>
      <w:keepLines/>
      <w:spacing w:before="220" w:after="40"/>
      <w:outlineLvl w:val="4"/>
    </w:pPr>
    <w:rPr>
      <w:b/>
    </w:rPr>
  </w:style>
  <w:style w:type="paragraph" w:styleId="Heading6">
    <w:name w:val="heading 6"/>
    <w:basedOn w:val="Normal"/>
    <w:next w:val="Standar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sz w:val="72"/>
      <w:szCs w:val="72"/>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ascii="Arial" w:eastAsia="Arial" w:hAnsi="Arial" w:cs="Arial"/>
      <w:b/>
      <w:caps w:val="0"/>
      <w:smallCaps w:val="0"/>
      <w:strike w:val="0"/>
      <w:dstrike w:val="0"/>
      <w:color w:val="000000"/>
      <w:position w:val="0"/>
      <w:sz w:val="24"/>
      <w:szCs w:val="24"/>
      <w:u w:val="none"/>
      <w:vertAlign w:val="baseline"/>
    </w:rPr>
  </w:style>
  <w:style w:type="character" w:customStyle="1" w:styleId="ListLabel2">
    <w:name w:val="ListLabel 2"/>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ascii="Arial" w:eastAsia="Calibri" w:hAnsi="Arial" w:cs="Calibri"/>
      <w:b w:val="0"/>
      <w:i w:val="0"/>
      <w:caps w:val="0"/>
      <w:smallCaps w:val="0"/>
      <w:strike w:val="0"/>
      <w:dstrike w:val="0"/>
      <w:color w:val="000000"/>
      <w:position w:val="0"/>
      <w:sz w:val="24"/>
      <w:u w:val="none"/>
      <w:vertAlign w:val="baseline"/>
    </w:rPr>
  </w:style>
  <w:style w:type="character" w:customStyle="1" w:styleId="ListLabel5">
    <w:name w:val="ListLabel 5"/>
    <w:rPr>
      <w:b w:val="0"/>
      <w:i w:val="0"/>
      <w:caps w:val="0"/>
      <w:smallCaps w:val="0"/>
      <w:strike w:val="0"/>
      <w:dstrike w:val="0"/>
      <w:color w:val="000000"/>
      <w:position w:val="0"/>
      <w:u w:val="none"/>
      <w:vertAlign w:val="baseline"/>
    </w:rPr>
  </w:style>
  <w:style w:type="character" w:customStyle="1" w:styleId="ListLabel6">
    <w:name w:val="ListLabel 6"/>
    <w:rPr>
      <w:b w:val="0"/>
      <w:i w:val="0"/>
      <w:caps w:val="0"/>
      <w:smallCaps w:val="0"/>
      <w:strike w:val="0"/>
      <w:dstrike w:val="0"/>
      <w:color w:val="000000"/>
      <w:position w:val="0"/>
      <w:u w:val="none"/>
      <w:vertAlign w:val="baselin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Critchley</dc:creator>
  <cp:lastModifiedBy>Baljinder Love</cp:lastModifiedBy>
  <cp:revision>2</cp:revision>
  <dcterms:created xsi:type="dcterms:W3CDTF">2024-04-24T08:09:00Z</dcterms:created>
  <dcterms:modified xsi:type="dcterms:W3CDTF">2024-04-24T08:09:00Z</dcterms:modified>
</cp:coreProperties>
</file>