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2D1" w:rsidRDefault="00A752D1">
      <w:pPr>
        <w:pBdr>
          <w:top w:val="nil"/>
          <w:left w:val="nil"/>
          <w:bottom w:val="nil"/>
          <w:right w:val="nil"/>
          <w:between w:val="nil"/>
        </w:pBdr>
        <w:tabs>
          <w:tab w:val="left" w:pos="329"/>
        </w:tabs>
        <w:spacing w:before="120" w:after="120"/>
        <w:ind w:left="1656" w:hanging="720"/>
        <w:rPr>
          <w:rFonts w:ascii="Arial" w:eastAsia="Arial" w:hAnsi="Arial" w:cs="Arial"/>
          <w:b/>
          <w:color w:val="000000"/>
          <w:sz w:val="36"/>
          <w:szCs w:val="36"/>
        </w:rPr>
      </w:pPr>
      <w:bookmarkStart w:id="0" w:name="_GoBack"/>
      <w:bookmarkEnd w:id="0"/>
    </w:p>
    <w:p w:rsidR="00A752D1" w:rsidRDefault="000835B6">
      <w:pPr>
        <w:keepNext/>
        <w:pBdr>
          <w:top w:val="nil"/>
          <w:left w:val="nil"/>
          <w:bottom w:val="nil"/>
          <w:right w:val="nil"/>
          <w:between w:val="nil"/>
        </w:pBdr>
        <w:jc w:val="left"/>
        <w:rPr>
          <w:rFonts w:ascii="Arial" w:eastAsia="Arial" w:hAnsi="Arial" w:cs="Arial"/>
          <w:b/>
          <w:color w:val="000000"/>
          <w:sz w:val="36"/>
          <w:szCs w:val="36"/>
        </w:rPr>
      </w:pPr>
      <w:r>
        <w:rPr>
          <w:rFonts w:ascii="Arial" w:eastAsia="Arial" w:hAnsi="Arial" w:cs="Arial"/>
          <w:b/>
          <w:color w:val="000000"/>
          <w:sz w:val="36"/>
          <w:szCs w:val="36"/>
        </w:rPr>
        <w:t>Joint Schedule 14 (Benchmarking)</w:t>
      </w:r>
    </w:p>
    <w:p w:rsidR="00A752D1" w:rsidRDefault="000835B6">
      <w:pPr>
        <w:keepNext/>
        <w:numPr>
          <w:ilvl w:val="0"/>
          <w:numId w:val="1"/>
        </w:numPr>
        <w:pBdr>
          <w:top w:val="nil"/>
          <w:left w:val="nil"/>
          <w:bottom w:val="nil"/>
          <w:right w:val="nil"/>
          <w:between w:val="nil"/>
        </w:pBdr>
        <w:tabs>
          <w:tab w:val="left" w:pos="-938"/>
        </w:tabs>
        <w:spacing w:before="120"/>
        <w:jc w:val="left"/>
        <w:rPr>
          <w:smallCaps/>
        </w:rPr>
      </w:pPr>
      <w:r>
        <w:rPr>
          <w:rFonts w:ascii="Arial" w:eastAsia="Arial" w:hAnsi="Arial" w:cs="Arial"/>
          <w:b/>
          <w:smallCaps/>
          <w:color w:val="000000"/>
          <w:sz w:val="24"/>
          <w:szCs w:val="24"/>
        </w:rPr>
        <w:t>DEFINITIONS</w:t>
      </w:r>
    </w:p>
    <w:p w:rsidR="00A752D1" w:rsidRDefault="000835B6">
      <w:pPr>
        <w:keepNext/>
        <w:numPr>
          <w:ilvl w:val="1"/>
          <w:numId w:val="1"/>
        </w:numPr>
        <w:pBdr>
          <w:top w:val="nil"/>
          <w:left w:val="nil"/>
          <w:bottom w:val="nil"/>
          <w:right w:val="nil"/>
          <w:between w:val="nil"/>
        </w:pBdr>
        <w:tabs>
          <w:tab w:val="left" w:pos="-1650"/>
        </w:tabs>
        <w:spacing w:before="120" w:after="120"/>
        <w:jc w:val="left"/>
      </w:pPr>
      <w:r>
        <w:rPr>
          <w:rFonts w:ascii="Arial" w:eastAsia="Arial" w:hAnsi="Arial" w:cs="Arial"/>
          <w:color w:val="000000"/>
          <w:sz w:val="24"/>
          <w:szCs w:val="24"/>
        </w:rPr>
        <w:t>In this Schedule, the following expressions shall have the following meanings:</w:t>
      </w:r>
    </w:p>
    <w:tbl>
      <w:tblPr>
        <w:tblStyle w:val="a"/>
        <w:tblW w:w="8042" w:type="dxa"/>
        <w:tblInd w:w="893" w:type="dxa"/>
        <w:tblLayout w:type="fixed"/>
        <w:tblLook w:val="0000" w:firstRow="0" w:lastRow="0" w:firstColumn="0" w:lastColumn="0" w:noHBand="0" w:noVBand="0"/>
      </w:tblPr>
      <w:tblGrid>
        <w:gridCol w:w="2900"/>
        <w:gridCol w:w="5142"/>
      </w:tblGrid>
      <w:tr w:rsidR="00A752D1">
        <w:tc>
          <w:tcPr>
            <w:tcW w:w="2900" w:type="dxa"/>
            <w:shd w:val="clear" w:color="auto" w:fill="auto"/>
          </w:tcPr>
          <w:p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"Benchmark Review"</w:t>
            </w:r>
          </w:p>
        </w:tc>
        <w:tc>
          <w:tcPr>
            <w:tcW w:w="5142" w:type="dxa"/>
            <w:shd w:val="clear" w:color="auto" w:fill="auto"/>
          </w:tcPr>
          <w:p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A752D1">
        <w:tc>
          <w:tcPr>
            <w:tcW w:w="2900" w:type="dxa"/>
            <w:shd w:val="clear" w:color="auto" w:fill="auto"/>
          </w:tcPr>
          <w:p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"Benchmarked Deliverables"</w:t>
            </w:r>
          </w:p>
        </w:tc>
        <w:tc>
          <w:tcPr>
            <w:tcW w:w="5142" w:type="dxa"/>
            <w:shd w:val="clear" w:color="auto" w:fill="auto"/>
          </w:tcPr>
          <w:p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any Deliverables included within the scope of a Benchmark Review pursuant to this Schedule;</w:t>
            </w:r>
          </w:p>
        </w:tc>
      </w:tr>
      <w:tr w:rsidR="00A752D1">
        <w:tc>
          <w:tcPr>
            <w:tcW w:w="2900" w:type="dxa"/>
            <w:shd w:val="clear" w:color="auto" w:fill="auto"/>
          </w:tcPr>
          <w:p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"Comparable Rates"</w:t>
            </w:r>
          </w:p>
        </w:tc>
        <w:tc>
          <w:tcPr>
            <w:tcW w:w="5142" w:type="dxa"/>
            <w:shd w:val="clear" w:color="auto" w:fill="auto"/>
          </w:tcPr>
          <w:p w:rsidR="00A752D1" w:rsidRDefault="000835B6">
            <w:pPr>
              <w:pBdr>
                <w:top w:val="nil"/>
                <w:left w:val="nil"/>
                <w:bottom w:val="nil"/>
                <w:right w:val="nil"/>
                <w:between w:val="nil"/>
              </w:pBdr>
              <w:tabs>
                <w:tab w:val="left" w:pos="175"/>
              </w:tabs>
              <w:spacing w:after="120"/>
              <w:jc w:val="left"/>
              <w:rPr>
                <w:rFonts w:ascii="Arial" w:eastAsia="Arial" w:hAnsi="Arial" w:cs="Arial"/>
                <w:color w:val="000000"/>
                <w:sz w:val="24"/>
                <w:szCs w:val="24"/>
              </w:rPr>
            </w:pPr>
            <w:r>
              <w:rPr>
                <w:rFonts w:ascii="Arial" w:eastAsia="Arial" w:hAnsi="Arial" w:cs="Arial"/>
                <w:color w:val="000000"/>
                <w:sz w:val="24"/>
                <w:szCs w:val="24"/>
              </w:rPr>
              <w:t>the Charges for Comparable Deliverables;</w:t>
            </w:r>
          </w:p>
        </w:tc>
      </w:tr>
      <w:tr w:rsidR="00A752D1">
        <w:tc>
          <w:tcPr>
            <w:tcW w:w="2900" w:type="dxa"/>
            <w:shd w:val="clear" w:color="auto" w:fill="auto"/>
          </w:tcPr>
          <w:p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5142" w:type="dxa"/>
            <w:shd w:val="clear" w:color="auto" w:fill="auto"/>
          </w:tcPr>
          <w:p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A752D1">
        <w:tc>
          <w:tcPr>
            <w:tcW w:w="2900" w:type="dxa"/>
            <w:shd w:val="clear" w:color="auto" w:fill="auto"/>
          </w:tcPr>
          <w:p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"Comparison Group"</w:t>
            </w:r>
          </w:p>
        </w:tc>
        <w:tc>
          <w:tcPr>
            <w:tcW w:w="5142" w:type="dxa"/>
            <w:shd w:val="clear" w:color="auto" w:fill="auto"/>
          </w:tcPr>
          <w:p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A752D1">
        <w:tc>
          <w:tcPr>
            <w:tcW w:w="2900" w:type="dxa"/>
            <w:shd w:val="clear" w:color="auto" w:fill="auto"/>
          </w:tcPr>
          <w:p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"Equivalent Data"</w:t>
            </w:r>
          </w:p>
        </w:tc>
        <w:tc>
          <w:tcPr>
            <w:tcW w:w="5142" w:type="dxa"/>
            <w:shd w:val="clear" w:color="auto" w:fill="auto"/>
          </w:tcPr>
          <w:p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A752D1">
        <w:tc>
          <w:tcPr>
            <w:tcW w:w="2900" w:type="dxa"/>
            <w:shd w:val="clear" w:color="auto" w:fill="auto"/>
          </w:tcPr>
          <w:p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"Good Value"</w:t>
            </w:r>
          </w:p>
        </w:tc>
        <w:tc>
          <w:tcPr>
            <w:tcW w:w="5142" w:type="dxa"/>
            <w:shd w:val="clear" w:color="auto" w:fill="auto"/>
          </w:tcPr>
          <w:p w:rsidR="00A752D1" w:rsidRDefault="000835B6">
            <w:pPr>
              <w:pBdr>
                <w:top w:val="nil"/>
                <w:left w:val="nil"/>
                <w:bottom w:val="nil"/>
                <w:right w:val="nil"/>
                <w:between w:val="nil"/>
              </w:pBdr>
              <w:tabs>
                <w:tab w:val="left" w:pos="175"/>
              </w:tabs>
              <w:spacing w:after="120"/>
              <w:jc w:val="left"/>
              <w:rPr>
                <w:rFonts w:ascii="Arial" w:eastAsia="Arial" w:hAnsi="Arial" w:cs="Arial"/>
                <w:color w:val="000000"/>
                <w:sz w:val="24"/>
                <w:szCs w:val="24"/>
              </w:rPr>
            </w:pPr>
            <w:r>
              <w:rPr>
                <w:rFonts w:ascii="Arial" w:eastAsia="Arial" w:hAnsi="Arial" w:cs="Arial"/>
                <w:color w:val="000000"/>
                <w:sz w:val="24"/>
                <w:szCs w:val="24"/>
              </w:rPr>
              <w:t>that the Benchmarked Rates are within the Upper Quartile; and</w:t>
            </w:r>
          </w:p>
        </w:tc>
      </w:tr>
      <w:tr w:rsidR="00A752D1">
        <w:tc>
          <w:tcPr>
            <w:tcW w:w="2900" w:type="dxa"/>
            <w:shd w:val="clear" w:color="auto" w:fill="auto"/>
          </w:tcPr>
          <w:p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"Upper Quartile"</w:t>
            </w:r>
          </w:p>
        </w:tc>
        <w:tc>
          <w:tcPr>
            <w:tcW w:w="5142" w:type="dxa"/>
            <w:shd w:val="clear" w:color="auto" w:fill="auto"/>
          </w:tcPr>
          <w:p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A752D1" w:rsidRDefault="000835B6">
      <w:pPr>
        <w:keepNext/>
        <w:numPr>
          <w:ilvl w:val="0"/>
          <w:numId w:val="1"/>
        </w:numPr>
        <w:pBdr>
          <w:top w:val="nil"/>
          <w:left w:val="nil"/>
          <w:bottom w:val="nil"/>
          <w:right w:val="nil"/>
          <w:between w:val="nil"/>
        </w:pBdr>
        <w:tabs>
          <w:tab w:val="left" w:pos="-938"/>
        </w:tabs>
        <w:spacing w:before="120"/>
        <w:jc w:val="left"/>
      </w:pPr>
      <w:r>
        <w:rPr>
          <w:rFonts w:ascii="Arial Bold" w:eastAsia="Arial Bold" w:hAnsi="Arial Bold" w:cs="Arial Bold"/>
          <w:b/>
          <w:color w:val="000000"/>
          <w:sz w:val="24"/>
          <w:szCs w:val="24"/>
        </w:rPr>
        <w:lastRenderedPageBreak/>
        <w:t>When you should use this Schedule</w:t>
      </w:r>
    </w:p>
    <w:p w:rsidR="00A752D1" w:rsidRDefault="000835B6">
      <w:pPr>
        <w:numPr>
          <w:ilvl w:val="1"/>
          <w:numId w:val="1"/>
        </w:numPr>
        <w:pBdr>
          <w:top w:val="nil"/>
          <w:left w:val="nil"/>
          <w:bottom w:val="nil"/>
          <w:right w:val="nil"/>
          <w:between w:val="nil"/>
        </w:pBdr>
        <w:tabs>
          <w:tab w:val="left" w:pos="141"/>
        </w:tabs>
        <w:spacing w:before="120" w:after="120"/>
        <w:ind w:left="993" w:hanging="567"/>
      </w:pPr>
      <w:r>
        <w:rPr>
          <w:rFonts w:ascii="Arial" w:eastAsia="Arial" w:hAnsi="Arial" w:cs="Arial"/>
          <w:color w:val="000000"/>
          <w:sz w:val="24"/>
          <w:szCs w:val="24"/>
        </w:rPr>
        <w:t xml:space="preserve">The Supplier acknowledges that the Relevant Authority wishes to ensure that the Deliverables, represent value for money to the taxpayer throughout the Contract Period.  </w:t>
      </w:r>
    </w:p>
    <w:p w:rsidR="00A752D1" w:rsidRDefault="000835B6">
      <w:pPr>
        <w:numPr>
          <w:ilvl w:val="1"/>
          <w:numId w:val="1"/>
        </w:numPr>
        <w:pBdr>
          <w:top w:val="nil"/>
          <w:left w:val="nil"/>
          <w:bottom w:val="nil"/>
          <w:right w:val="nil"/>
          <w:between w:val="nil"/>
        </w:pBdr>
        <w:tabs>
          <w:tab w:val="left" w:pos="141"/>
        </w:tabs>
        <w:spacing w:before="120" w:after="120"/>
        <w:ind w:left="993" w:hanging="567"/>
      </w:pPr>
      <w:r>
        <w:rPr>
          <w:rFonts w:ascii="Arial" w:eastAsia="Arial" w:hAnsi="Arial" w:cs="Arial"/>
          <w:color w:val="000000"/>
          <w:sz w:val="24"/>
          <w:szCs w:val="24"/>
        </w:rPr>
        <w:t xml:space="preserve">This Schedule sets to ensure the Contracts represent value for money throughout and that the Relevant Authority may terminate the Contract by issuing a Termination Notice to the Supplier if the Supplier refuses or fails to comply with its obligations as set out in Paragraphs 3 of this Schedule. </w:t>
      </w:r>
    </w:p>
    <w:p w:rsidR="00A752D1" w:rsidRDefault="000835B6">
      <w:pPr>
        <w:numPr>
          <w:ilvl w:val="1"/>
          <w:numId w:val="1"/>
        </w:numPr>
        <w:pBdr>
          <w:top w:val="nil"/>
          <w:left w:val="nil"/>
          <w:bottom w:val="nil"/>
          <w:right w:val="nil"/>
          <w:between w:val="nil"/>
        </w:pBdr>
        <w:tabs>
          <w:tab w:val="left" w:pos="141"/>
        </w:tabs>
        <w:spacing w:before="120" w:after="120"/>
        <w:ind w:left="993" w:hanging="567"/>
      </w:pPr>
      <w:r>
        <w:rPr>
          <w:rFonts w:ascii="Arial" w:eastAsia="Arial" w:hAnsi="Arial" w:cs="Arial"/>
          <w:color w:val="000000"/>
          <w:sz w:val="24"/>
          <w:szCs w:val="24"/>
        </w:rPr>
        <w:t>The Relevant Authority and the Supplier recognise that, where specified in Framework Schedule 4 (Framework Management), the Buyer may give CCS the right to enforce the Buyer's rights under this Schedule.</w:t>
      </w:r>
    </w:p>
    <w:p w:rsidR="00A752D1" w:rsidRDefault="000835B6">
      <w:pPr>
        <w:numPr>
          <w:ilvl w:val="1"/>
          <w:numId w:val="1"/>
        </w:numPr>
        <w:pBdr>
          <w:top w:val="nil"/>
          <w:left w:val="nil"/>
          <w:bottom w:val="nil"/>
          <w:right w:val="nil"/>
          <w:between w:val="nil"/>
        </w:pBdr>
        <w:tabs>
          <w:tab w:val="left" w:pos="141"/>
        </w:tabs>
        <w:spacing w:before="120" w:after="120"/>
        <w:ind w:left="993" w:hanging="567"/>
      </w:pPr>
      <w:r>
        <w:rPr>
          <w:rFonts w:ascii="Arial" w:eastAsia="Arial" w:hAnsi="Arial" w:cs="Arial"/>
          <w:color w:val="000000"/>
          <w:sz w:val="24"/>
          <w:szCs w:val="24"/>
        </w:rPr>
        <w:t>Amounts payable under this Schedule shall not fall with the definition of a Cost.</w:t>
      </w:r>
    </w:p>
    <w:p w:rsidR="00A752D1" w:rsidRDefault="00A752D1">
      <w:pPr>
        <w:pBdr>
          <w:top w:val="nil"/>
          <w:left w:val="nil"/>
          <w:bottom w:val="nil"/>
          <w:right w:val="nil"/>
          <w:between w:val="nil"/>
        </w:pBdr>
        <w:tabs>
          <w:tab w:val="left" w:pos="198"/>
        </w:tabs>
        <w:spacing w:before="120" w:after="120"/>
        <w:ind w:left="936" w:hanging="576"/>
        <w:rPr>
          <w:rFonts w:ascii="Arial" w:eastAsia="Arial" w:hAnsi="Arial" w:cs="Arial"/>
          <w:color w:val="000000"/>
          <w:sz w:val="24"/>
          <w:szCs w:val="24"/>
        </w:rPr>
      </w:pPr>
    </w:p>
    <w:p w:rsidR="00A752D1" w:rsidRDefault="000835B6">
      <w:pPr>
        <w:keepNext/>
        <w:numPr>
          <w:ilvl w:val="0"/>
          <w:numId w:val="1"/>
        </w:numPr>
        <w:pBdr>
          <w:top w:val="nil"/>
          <w:left w:val="nil"/>
          <w:bottom w:val="nil"/>
          <w:right w:val="nil"/>
          <w:between w:val="nil"/>
        </w:pBdr>
        <w:tabs>
          <w:tab w:val="left" w:pos="-938"/>
        </w:tabs>
        <w:spacing w:before="120"/>
      </w:pPr>
      <w:r>
        <w:rPr>
          <w:rFonts w:ascii="Arial Bold" w:eastAsia="Arial Bold" w:hAnsi="Arial Bold" w:cs="Arial Bold"/>
          <w:b/>
          <w:color w:val="000000"/>
          <w:sz w:val="24"/>
          <w:szCs w:val="24"/>
        </w:rPr>
        <w:t>Benchmarking</w:t>
      </w:r>
    </w:p>
    <w:p w:rsidR="00A752D1" w:rsidRDefault="000835B6">
      <w:pPr>
        <w:keepNext/>
        <w:numPr>
          <w:ilvl w:val="1"/>
          <w:numId w:val="1"/>
        </w:numPr>
        <w:pBdr>
          <w:top w:val="nil"/>
          <w:left w:val="nil"/>
          <w:bottom w:val="nil"/>
          <w:right w:val="nil"/>
          <w:between w:val="nil"/>
        </w:pBdr>
        <w:tabs>
          <w:tab w:val="left" w:pos="-1650"/>
        </w:tabs>
        <w:spacing w:before="120" w:after="120"/>
      </w:pPr>
      <w:r>
        <w:rPr>
          <w:rFonts w:ascii="Arial" w:eastAsia="Arial" w:hAnsi="Arial" w:cs="Arial"/>
          <w:b/>
          <w:color w:val="000000"/>
          <w:sz w:val="24"/>
          <w:szCs w:val="24"/>
        </w:rPr>
        <w:t>How benchmarking works</w:t>
      </w:r>
    </w:p>
    <w:p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The Relevant Authority may, by written notice to the Supplier, require a Benchmark Review of any or all of the Deliverables.</w:t>
      </w:r>
    </w:p>
    <w:p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The Relevant Authority shall not be entitled to request a Benchmark Review during the first six (6) Month period from the Contract Commencement Date or at intervals of less than twelve (12) Months after any previous Benchmark Review. </w:t>
      </w:r>
    </w:p>
    <w:p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The purpose of a Benchmark Review will be to establish whether the Benchmarked Deliverables are, individually and/or as a whole, Good Value.</w:t>
      </w:r>
    </w:p>
    <w:p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The Deliverables that are to be the Benchmarked Deliverables will be identified by the Relevant Authority in writing.</w:t>
      </w:r>
    </w:p>
    <w:p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Upon its request for a Benchmark Review the Relevant Authority shall nominate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The Supplier must approve the nomination within ten (10) Working</w:t>
      </w:r>
      <w:r w:rsidR="0088409C">
        <w:rPr>
          <w:rFonts w:ascii="Arial" w:eastAsia="Arial" w:hAnsi="Arial" w:cs="Arial"/>
          <w:color w:val="000000"/>
          <w:sz w:val="24"/>
          <w:szCs w:val="24"/>
        </w:rPr>
        <w:t xml:space="preserve"> </w:t>
      </w:r>
      <w:r>
        <w:rPr>
          <w:rFonts w:ascii="Arial" w:eastAsia="Arial" w:hAnsi="Arial" w:cs="Arial"/>
          <w:color w:val="000000"/>
          <w:sz w:val="24"/>
          <w:szCs w:val="24"/>
        </w:rPr>
        <w:t xml:space="preserve">Days unless the Supplier provides a reasonable explanation for rejecting the appointment.   If the appointment is rejected then the Relevant Authority may propose an alternative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If the Parties cannot agree the appointment within twenty (20) days of the initial request for Benchmark review then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selected by the Chartered Institute of Financial Accountants. </w:t>
      </w:r>
    </w:p>
    <w:p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The cost of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borne by the Relevant Authority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such proportions as the Parties agree (acting reasonably). Invoices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raised </w:t>
      </w:r>
      <w:r>
        <w:rPr>
          <w:rFonts w:ascii="Arial" w:eastAsia="Arial" w:hAnsi="Arial" w:cs="Arial"/>
          <w:color w:val="000000"/>
          <w:sz w:val="24"/>
          <w:szCs w:val="24"/>
        </w:rPr>
        <w:lastRenderedPageBreak/>
        <w:t>against the Supplier and the relevant portion shall be reimbursed by the Relevant Authority.</w:t>
      </w:r>
    </w:p>
    <w:p w:rsidR="00A752D1" w:rsidRDefault="000835B6">
      <w:pPr>
        <w:keepNext/>
        <w:numPr>
          <w:ilvl w:val="1"/>
          <w:numId w:val="1"/>
        </w:numPr>
        <w:pBdr>
          <w:top w:val="nil"/>
          <w:left w:val="nil"/>
          <w:bottom w:val="nil"/>
          <w:right w:val="nil"/>
          <w:between w:val="nil"/>
        </w:pBdr>
        <w:tabs>
          <w:tab w:val="left" w:pos="-1650"/>
        </w:tabs>
        <w:spacing w:before="120" w:after="120"/>
      </w:pPr>
      <w:r>
        <w:rPr>
          <w:rFonts w:ascii="Arial" w:eastAsia="Arial" w:hAnsi="Arial" w:cs="Arial"/>
          <w:b/>
          <w:color w:val="000000"/>
          <w:sz w:val="24"/>
          <w:szCs w:val="24"/>
        </w:rPr>
        <w:t>Benchmarking Process</w:t>
      </w:r>
    </w:p>
    <w:p w:rsidR="00A752D1" w:rsidRDefault="000835B6">
      <w:pPr>
        <w:keepNext/>
        <w:numPr>
          <w:ilvl w:val="2"/>
          <w:numId w:val="1"/>
        </w:numPr>
        <w:pBdr>
          <w:top w:val="nil"/>
          <w:left w:val="nil"/>
          <w:bottom w:val="nil"/>
          <w:right w:val="nil"/>
          <w:between w:val="nil"/>
        </w:pBdr>
        <w:tabs>
          <w:tab w:val="left" w:pos="-3115"/>
        </w:tabs>
        <w:spacing w:before="120" w:after="120"/>
      </w:pPr>
      <w:bookmarkStart w:id="1" w:name="_gjdgxs" w:colFirst="0" w:colLast="0"/>
      <w:bookmarkEnd w:id="1"/>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produce and send to the Relevant Authority, for Approval, a draft plan for the Benchmark Review which must include:</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a proposed cost and timetable for the Benchmark Review;</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 xml:space="preserve">a description of how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will scope and identify the Comparison Group. </w:t>
      </w:r>
    </w:p>
    <w:p w:rsidR="00A752D1" w:rsidRDefault="000835B6">
      <w:pPr>
        <w:numPr>
          <w:ilvl w:val="2"/>
          <w:numId w:val="1"/>
        </w:numPr>
        <w:pBdr>
          <w:top w:val="nil"/>
          <w:left w:val="nil"/>
          <w:bottom w:val="nil"/>
          <w:right w:val="nil"/>
          <w:between w:val="nil"/>
        </w:pBdr>
        <w:tabs>
          <w:tab w:val="left" w:pos="-3115"/>
        </w:tabs>
        <w:spacing w:before="120" w:after="120"/>
      </w:pPr>
      <w:bookmarkStart w:id="2" w:name="_30j0zll" w:colFirst="0" w:colLast="0"/>
      <w:bookmarkEnd w:id="2"/>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acting reasonably, shall be entitled to use any model to determine the achievement of value for money and to carry out the benchmarking. </w:t>
      </w:r>
    </w:p>
    <w:p w:rsidR="00A752D1" w:rsidRDefault="000835B6">
      <w:pPr>
        <w:numPr>
          <w:ilvl w:val="2"/>
          <w:numId w:val="1"/>
        </w:numPr>
        <w:pBdr>
          <w:top w:val="nil"/>
          <w:left w:val="nil"/>
          <w:bottom w:val="nil"/>
          <w:right w:val="nil"/>
          <w:between w:val="nil"/>
        </w:pBdr>
        <w:tabs>
          <w:tab w:val="left" w:pos="-3115"/>
        </w:tabs>
        <w:spacing w:before="120" w:after="120"/>
      </w:pPr>
      <w:bookmarkStart w:id="3" w:name="_1fob9te" w:colFirst="0" w:colLast="0"/>
      <w:bookmarkEnd w:id="3"/>
      <w:r>
        <w:rPr>
          <w:rFonts w:ascii="Arial" w:eastAsia="Arial" w:hAnsi="Arial" w:cs="Arial"/>
          <w:color w:val="000000"/>
          <w:sz w:val="24"/>
          <w:szCs w:val="24"/>
        </w:rPr>
        <w:t xml:space="preserve">The Relevant Authority must give notice in writing to the Supplier within ten (10) Working Days after receiving the draft plan, advising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must produce an amended draft plan and this Paragraph 3.2.3 shall apply to any amended draft plan.</w:t>
      </w:r>
    </w:p>
    <w:p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Once both Parties have approved the draft plan then they will notify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No Party may unreasonably withhold or delay its Approval of the draft plan.</w:t>
      </w:r>
    </w:p>
    <w:p w:rsidR="00A752D1" w:rsidRDefault="000835B6">
      <w:pPr>
        <w:keepNext/>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Once it has received the Approval of the draft plan,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A752D1" w:rsidRDefault="000835B6">
      <w:pPr>
        <w:numPr>
          <w:ilvl w:val="4"/>
          <w:numId w:val="1"/>
        </w:numPr>
        <w:pBdr>
          <w:top w:val="nil"/>
          <w:left w:val="nil"/>
          <w:bottom w:val="nil"/>
          <w:right w:val="nil"/>
          <w:between w:val="nil"/>
        </w:pBdr>
        <w:tabs>
          <w:tab w:val="left" w:pos="567"/>
        </w:tabs>
        <w:spacing w:before="120" w:after="120"/>
        <w:ind w:left="2552" w:hanging="425"/>
        <w:rPr>
          <w:rFonts w:ascii="Arial" w:eastAsia="Arial" w:hAnsi="Arial" w:cs="Arial"/>
        </w:rPr>
      </w:pPr>
      <w:r>
        <w:rPr>
          <w:rFonts w:ascii="Arial" w:eastAsia="Arial" w:hAnsi="Arial" w:cs="Arial"/>
          <w:color w:val="000000"/>
          <w:sz w:val="24"/>
          <w:szCs w:val="24"/>
        </w:rPr>
        <w:t>market intelligence;</w:t>
      </w:r>
    </w:p>
    <w:p w:rsidR="00A752D1" w:rsidRDefault="000835B6">
      <w:pPr>
        <w:numPr>
          <w:ilvl w:val="4"/>
          <w:numId w:val="1"/>
        </w:numPr>
        <w:pBdr>
          <w:top w:val="nil"/>
          <w:left w:val="nil"/>
          <w:bottom w:val="nil"/>
          <w:right w:val="nil"/>
          <w:between w:val="nil"/>
        </w:pBdr>
        <w:tabs>
          <w:tab w:val="left" w:pos="567"/>
        </w:tabs>
        <w:spacing w:before="120" w:after="120"/>
        <w:ind w:left="2552" w:hanging="470"/>
        <w:rPr>
          <w:rFonts w:ascii="Arial" w:eastAsia="Arial" w:hAnsi="Arial" w:cs="Arial"/>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benchmarker’s</w:t>
      </w:r>
      <w:proofErr w:type="spellEnd"/>
      <w:r>
        <w:rPr>
          <w:rFonts w:ascii="Arial" w:eastAsia="Arial" w:hAnsi="Arial" w:cs="Arial"/>
          <w:color w:val="000000"/>
          <w:sz w:val="24"/>
          <w:szCs w:val="24"/>
        </w:rPr>
        <w:t xml:space="preserve"> own data and experience;</w:t>
      </w:r>
    </w:p>
    <w:p w:rsidR="00A752D1" w:rsidRDefault="000835B6">
      <w:pPr>
        <w:numPr>
          <w:ilvl w:val="4"/>
          <w:numId w:val="1"/>
        </w:numPr>
        <w:pBdr>
          <w:top w:val="nil"/>
          <w:left w:val="nil"/>
          <w:bottom w:val="nil"/>
          <w:right w:val="nil"/>
          <w:between w:val="nil"/>
        </w:pBdr>
        <w:tabs>
          <w:tab w:val="left" w:pos="567"/>
        </w:tabs>
        <w:spacing w:before="120" w:after="120"/>
        <w:ind w:left="2552" w:hanging="470"/>
        <w:rPr>
          <w:rFonts w:ascii="Arial" w:eastAsia="Arial" w:hAnsi="Arial" w:cs="Arial"/>
        </w:rPr>
      </w:pPr>
      <w:r>
        <w:rPr>
          <w:rFonts w:ascii="Arial" w:eastAsia="Arial" w:hAnsi="Arial" w:cs="Arial"/>
          <w:color w:val="000000"/>
          <w:sz w:val="24"/>
          <w:szCs w:val="24"/>
        </w:rPr>
        <w:t>relevant published information; and</w:t>
      </w:r>
    </w:p>
    <w:p w:rsidR="00A752D1" w:rsidRDefault="000835B6">
      <w:pPr>
        <w:numPr>
          <w:ilvl w:val="4"/>
          <w:numId w:val="1"/>
        </w:numPr>
        <w:pBdr>
          <w:top w:val="nil"/>
          <w:left w:val="nil"/>
          <w:bottom w:val="nil"/>
          <w:right w:val="nil"/>
          <w:between w:val="nil"/>
        </w:pBdr>
        <w:tabs>
          <w:tab w:val="left" w:pos="567"/>
        </w:tabs>
        <w:spacing w:before="120" w:after="120"/>
        <w:ind w:left="2552" w:hanging="470"/>
        <w:rPr>
          <w:rFonts w:ascii="Arial" w:eastAsia="Arial" w:hAnsi="Arial" w:cs="Arial"/>
        </w:rPr>
      </w:pPr>
      <w:r>
        <w:rPr>
          <w:rFonts w:ascii="Arial" w:eastAsia="Arial" w:hAnsi="Arial" w:cs="Arial"/>
          <w:color w:val="000000"/>
          <w:sz w:val="24"/>
          <w:szCs w:val="24"/>
        </w:rPr>
        <w:t>pursuant to Paragraph 3.2.6 below, information from other suppliers or purchasers on Comparable Rates;</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by applying the adjustment factors listed in Paragraph 3.2.7 and from an analysis of the Comparable Rates, derive the Equivalent Data;</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using the Equivalent Data, calculate the Upper Quartile;</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determine whether or not each Benchmarked Rate is, and/or the Benchmarked Rates as a whole are, Good Value.</w:t>
      </w:r>
    </w:p>
    <w:p w:rsidR="00A752D1" w:rsidRDefault="000835B6">
      <w:pPr>
        <w:numPr>
          <w:ilvl w:val="2"/>
          <w:numId w:val="1"/>
        </w:numPr>
        <w:pBdr>
          <w:top w:val="nil"/>
          <w:left w:val="nil"/>
          <w:bottom w:val="nil"/>
          <w:right w:val="nil"/>
          <w:between w:val="nil"/>
        </w:pBdr>
        <w:tabs>
          <w:tab w:val="left" w:pos="-3115"/>
        </w:tabs>
        <w:spacing w:before="120" w:after="120"/>
      </w:pPr>
      <w:bookmarkStart w:id="4" w:name="_3znysh7" w:colFirst="0" w:colLast="0"/>
      <w:bookmarkEnd w:id="4"/>
      <w:r>
        <w:rPr>
          <w:rFonts w:ascii="Arial" w:eastAsia="Arial" w:hAnsi="Arial" w:cs="Arial"/>
          <w:color w:val="000000"/>
          <w:sz w:val="24"/>
          <w:szCs w:val="24"/>
        </w:rPr>
        <w:lastRenderedPageBreak/>
        <w:t xml:space="preserve">The Supplier shall use all reasonable endeavours and act in good faith to supply information required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rsidR="00A752D1" w:rsidRDefault="000835B6">
      <w:pPr>
        <w:keepNext/>
        <w:numPr>
          <w:ilvl w:val="2"/>
          <w:numId w:val="1"/>
        </w:numPr>
        <w:pBdr>
          <w:top w:val="nil"/>
          <w:left w:val="nil"/>
          <w:bottom w:val="nil"/>
          <w:right w:val="nil"/>
          <w:between w:val="nil"/>
        </w:pBdr>
        <w:tabs>
          <w:tab w:val="left" w:pos="-3115"/>
        </w:tabs>
        <w:spacing w:before="120" w:after="120"/>
      </w:pPr>
      <w:bookmarkStart w:id="5" w:name="_2et92p0" w:colFirst="0" w:colLast="0"/>
      <w:bookmarkEnd w:id="5"/>
      <w:r>
        <w:rPr>
          <w:rFonts w:ascii="Arial" w:eastAsia="Arial" w:hAnsi="Arial" w:cs="Arial"/>
          <w:color w:val="000000"/>
          <w:sz w:val="24"/>
          <w:szCs w:val="24"/>
        </w:rPr>
        <w:t xml:space="preserve">In carrying out the benchmarking analysis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exchange rates;</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rsidR="00A752D1" w:rsidRDefault="000835B6">
      <w:pPr>
        <w:keepNext/>
        <w:numPr>
          <w:ilvl w:val="1"/>
          <w:numId w:val="1"/>
        </w:numPr>
        <w:pBdr>
          <w:top w:val="nil"/>
          <w:left w:val="nil"/>
          <w:bottom w:val="nil"/>
          <w:right w:val="nil"/>
          <w:between w:val="nil"/>
        </w:pBdr>
        <w:tabs>
          <w:tab w:val="left" w:pos="486"/>
        </w:tabs>
        <w:spacing w:before="120" w:after="120"/>
        <w:ind w:left="648" w:hanging="222"/>
      </w:pPr>
      <w:r>
        <w:rPr>
          <w:rFonts w:ascii="Arial" w:eastAsia="Arial" w:hAnsi="Arial" w:cs="Arial"/>
          <w:b/>
          <w:color w:val="000000"/>
          <w:sz w:val="24"/>
          <w:szCs w:val="24"/>
        </w:rPr>
        <w:t>Benchmarking Report</w:t>
      </w:r>
    </w:p>
    <w:p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following the Benchmark Review and as further described in this Schedule;</w:t>
      </w:r>
    </w:p>
    <w:p w:rsidR="00A752D1" w:rsidRDefault="000835B6">
      <w:pPr>
        <w:keepNext/>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prepare a Benchmarking Report and deliver it to the Relevant Authority, at the time specified in the plan Approved pursuant to Paragraph 3.2.3, setting out its findings.  Those findings shall be required to:</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include a finding as to whether or not a Benchmarked Service and/or whether the Benchmarked Deliverables as a whole are, Good Value;</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rsidR="00A752D1" w:rsidRDefault="000835B6">
      <w:pPr>
        <w:numPr>
          <w:ilvl w:val="2"/>
          <w:numId w:val="1"/>
        </w:numPr>
        <w:pBdr>
          <w:top w:val="nil"/>
          <w:left w:val="nil"/>
          <w:bottom w:val="nil"/>
          <w:right w:val="nil"/>
          <w:between w:val="nil"/>
        </w:pBdr>
        <w:tabs>
          <w:tab w:val="left" w:pos="-3115"/>
        </w:tabs>
        <w:spacing w:before="120" w:after="120"/>
      </w:pPr>
      <w:bookmarkStart w:id="6" w:name="_tyjcwt" w:colFirst="0" w:colLast="0"/>
      <w:bookmarkEnd w:id="6"/>
      <w:r>
        <w:rPr>
          <w:rFonts w:ascii="Arial" w:eastAsia="Arial" w:hAnsi="Arial" w:cs="Arial"/>
          <w:color w:val="000000"/>
          <w:sz w:val="24"/>
          <w:szCs w:val="24"/>
        </w:rPr>
        <w:t>The Parties agree that any changes required to this Contract identified in the Benchmarking Report shall be implemented at the direction of the Relevant Authority in accordance with Clause 24 of the Core Terms (Changing the contract).</w:t>
      </w:r>
    </w:p>
    <w:sectPr w:rsidR="00A752D1">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DD5" w:rsidRDefault="00F17DD5">
      <w:pPr>
        <w:spacing w:after="0"/>
      </w:pPr>
      <w:r>
        <w:separator/>
      </w:r>
    </w:p>
  </w:endnote>
  <w:endnote w:type="continuationSeparator" w:id="0">
    <w:p w:rsidR="00F17DD5" w:rsidRDefault="00F17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2D1" w:rsidRDefault="00A752D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p>
  <w:p w:rsidR="00A752D1" w:rsidRDefault="000835B6">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RM6299</w:t>
    </w:r>
  </w:p>
  <w:p w:rsidR="00A752D1" w:rsidRDefault="000835B6">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8409C">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A752D1" w:rsidRDefault="000835B6">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DD5" w:rsidRDefault="00F17DD5">
      <w:pPr>
        <w:spacing w:after="0"/>
      </w:pPr>
      <w:r>
        <w:separator/>
      </w:r>
    </w:p>
  </w:footnote>
  <w:footnote w:type="continuationSeparator" w:id="0">
    <w:p w:rsidR="00F17DD5" w:rsidRDefault="00F17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2D1" w:rsidRDefault="000835B6">
    <w:pPr>
      <w:pBdr>
        <w:top w:val="nil"/>
        <w:left w:val="nil"/>
        <w:bottom w:val="nil"/>
        <w:right w:val="nil"/>
        <w:between w:val="nil"/>
      </w:pBdr>
      <w:tabs>
        <w:tab w:val="center" w:pos="4513"/>
        <w:tab w:val="right" w:pos="9026"/>
      </w:tabs>
      <w:spacing w:after="0"/>
      <w:rPr>
        <w:color w:val="000000"/>
      </w:rPr>
    </w:pPr>
    <w:r>
      <w:rPr>
        <w:rFonts w:ascii="Arial" w:eastAsia="Arial" w:hAnsi="Arial" w:cs="Arial"/>
        <w:b/>
        <w:color w:val="000000"/>
        <w:sz w:val="20"/>
        <w:szCs w:val="20"/>
      </w:rPr>
      <w:t>Joint Schedule 14 (Benchmarking)</w:t>
    </w:r>
  </w:p>
  <w:p w:rsidR="00A752D1" w:rsidRDefault="000835B6">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 2021</w:t>
    </w:r>
  </w:p>
  <w:p w:rsidR="00A752D1" w:rsidRDefault="00A752D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87ACA"/>
    <w:multiLevelType w:val="multilevel"/>
    <w:tmpl w:val="CBB80E1A"/>
    <w:lvl w:ilvl="0">
      <w:start w:val="1"/>
      <w:numFmt w:val="decimal"/>
      <w:lvlText w:val="%1."/>
      <w:lvlJc w:val="left"/>
      <w:pPr>
        <w:ind w:left="360" w:hanging="360"/>
      </w:pPr>
      <w:rPr>
        <w:rFonts w:ascii="Arial" w:eastAsia="Arial" w:hAnsi="Arial" w:cs="Arial"/>
        <w:b/>
        <w:i w:val="0"/>
        <w:strike w:val="0"/>
        <w:color w:val="000000"/>
        <w:sz w:val="24"/>
        <w:szCs w:val="24"/>
        <w:u w:val="none"/>
        <w:vertAlign w:val="baseline"/>
      </w:rPr>
    </w:lvl>
    <w:lvl w:ilvl="1">
      <w:start w:val="1"/>
      <w:numFmt w:val="decimal"/>
      <w:lvlText w:val="%1.%2"/>
      <w:lvlJc w:val="left"/>
      <w:pPr>
        <w:ind w:left="928" w:hanging="502"/>
      </w:pPr>
      <w:rPr>
        <w:rFonts w:ascii="Arial" w:eastAsia="Arial" w:hAnsi="Arial" w:cs="Arial"/>
        <w:b w:val="0"/>
        <w:i w:val="0"/>
        <w:strike w:val="0"/>
        <w:color w:val="000000"/>
        <w:sz w:val="24"/>
        <w:szCs w:val="24"/>
        <w:u w:val="none"/>
        <w:vertAlign w:val="baseline"/>
      </w:rPr>
    </w:lvl>
    <w:lvl w:ilvl="2">
      <w:start w:val="1"/>
      <w:numFmt w:val="decimal"/>
      <w:lvlText w:val="%1.%2.%3"/>
      <w:lvlJc w:val="left"/>
      <w:pPr>
        <w:ind w:left="1700" w:hanging="720"/>
      </w:pPr>
      <w:rPr>
        <w:rFonts w:ascii="Arial" w:eastAsia="Arial" w:hAnsi="Arial" w:cs="Arial"/>
        <w:b w:val="0"/>
        <w:i w:val="0"/>
        <w:strike w:val="0"/>
        <w:color w:val="000000"/>
        <w:sz w:val="24"/>
        <w:szCs w:val="24"/>
        <w:u w:val="none"/>
        <w:vertAlign w:val="baseline"/>
      </w:rPr>
    </w:lvl>
    <w:lvl w:ilvl="3">
      <w:start w:val="1"/>
      <w:numFmt w:val="lowerLetter"/>
      <w:lvlText w:val="(%4)"/>
      <w:lvlJc w:val="left"/>
      <w:pPr>
        <w:ind w:left="2409" w:hanging="480"/>
      </w:pPr>
      <w:rPr>
        <w:rFonts w:ascii="Arial" w:eastAsia="Arial" w:hAnsi="Arial" w:cs="Arial"/>
        <w:b w:val="0"/>
        <w:i w:val="0"/>
        <w:strike w:val="0"/>
        <w:color w:val="000000"/>
        <w:sz w:val="24"/>
        <w:szCs w:val="24"/>
        <w:u w:val="none"/>
        <w:vertAlign w:val="baseline"/>
      </w:rPr>
    </w:lvl>
    <w:lvl w:ilvl="4">
      <w:start w:val="1"/>
      <w:numFmt w:val="lowerRoman"/>
      <w:lvlText w:val="(%5)"/>
      <w:lvlJc w:val="left"/>
      <w:pPr>
        <w:ind w:left="3207" w:hanging="1080"/>
      </w:pPr>
      <w:rPr>
        <w:b w:val="0"/>
        <w:i w:val="0"/>
        <w:strike w:val="0"/>
        <w:color w:val="000000"/>
        <w:sz w:val="22"/>
        <w:szCs w:val="22"/>
        <w:u w:val="none"/>
        <w:vertAlign w:val="baseline"/>
      </w:rPr>
    </w:lvl>
    <w:lvl w:ilvl="5">
      <w:start w:val="1"/>
      <w:numFmt w:val="upperLetter"/>
      <w:lvlText w:val="(%6)"/>
      <w:lvlJc w:val="left"/>
      <w:pPr>
        <w:ind w:left="1440" w:hanging="1080"/>
      </w:pPr>
      <w:rPr>
        <w:b w:val="0"/>
        <w:i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2D1"/>
    <w:rsid w:val="000835B6"/>
    <w:rsid w:val="0088409C"/>
    <w:rsid w:val="00A752D1"/>
    <w:rsid w:val="00F17DD5"/>
    <w:rsid w:val="00FF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5A08B1-66FD-47EC-9C4C-EA1BAC85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2024-04-24T07:53:00Z</dcterms:created>
  <dcterms:modified xsi:type="dcterms:W3CDTF">2024-04-24T07:53:00Z</dcterms:modified>
</cp:coreProperties>
</file>