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D15B3" w:rsidRDefault="007D15B3">
      <w:pPr>
        <w:keepNext/>
        <w:pBdr>
          <w:top w:val="nil"/>
          <w:left w:val="nil"/>
          <w:bottom w:val="nil"/>
          <w:right w:val="nil"/>
          <w:between w:val="nil"/>
        </w:pBdr>
        <w:ind w:left="0"/>
        <w:jc w:val="left"/>
        <w:rPr>
          <w:b/>
          <w:color w:val="000000"/>
          <w:sz w:val="32"/>
          <w:szCs w:val="32"/>
        </w:rPr>
      </w:pPr>
    </w:p>
    <w:p w:rsidR="007D15B3" w:rsidRDefault="005A17EA">
      <w:pPr>
        <w:keepNext/>
        <w:pBdr>
          <w:top w:val="nil"/>
          <w:left w:val="nil"/>
          <w:bottom w:val="nil"/>
          <w:right w:val="nil"/>
          <w:between w:val="nil"/>
        </w:pBdr>
        <w:ind w:left="0"/>
        <w:jc w:val="left"/>
        <w:rPr>
          <w:b/>
          <w:color w:val="000000"/>
          <w:sz w:val="36"/>
          <w:szCs w:val="36"/>
        </w:rPr>
      </w:pPr>
      <w:r>
        <w:rPr>
          <w:b/>
          <w:color w:val="000000"/>
          <w:sz w:val="36"/>
          <w:szCs w:val="36"/>
        </w:rPr>
        <w:t>Call-Off Schedule 8 (Business Continuity and Disaster Recovery)</w:t>
      </w:r>
    </w:p>
    <w:p w:rsidR="007D15B3" w:rsidRDefault="005A17EA">
      <w:pPr>
        <w:keepNext/>
        <w:numPr>
          <w:ilvl w:val="0"/>
          <w:numId w:val="1"/>
        </w:numPr>
        <w:pBdr>
          <w:top w:val="nil"/>
          <w:left w:val="nil"/>
          <w:bottom w:val="nil"/>
          <w:right w:val="nil"/>
          <w:between w:val="nil"/>
        </w:pBdr>
        <w:tabs>
          <w:tab w:val="left" w:pos="0"/>
        </w:tabs>
        <w:spacing w:before="240"/>
        <w:jc w:val="left"/>
        <w:rPr>
          <w:b/>
          <w:smallCaps/>
          <w:color w:val="000000"/>
          <w:sz w:val="24"/>
          <w:szCs w:val="24"/>
        </w:rPr>
      </w:pPr>
      <w:bookmarkStart w:id="0" w:name="_heading=h.gjdgxs" w:colFirst="0" w:colLast="0"/>
      <w:bookmarkEnd w:id="0"/>
      <w:r>
        <w:rPr>
          <w:b/>
          <w:smallCaps/>
          <w:color w:val="000000"/>
          <w:sz w:val="24"/>
          <w:szCs w:val="24"/>
        </w:rPr>
        <w:t>D</w:t>
      </w:r>
      <w:r>
        <w:rPr>
          <w:rFonts w:ascii="Arial Bold" w:eastAsia="Arial Bold" w:hAnsi="Arial Bold" w:cs="Arial Bold"/>
          <w:b/>
          <w:color w:val="000000"/>
          <w:sz w:val="24"/>
          <w:szCs w:val="24"/>
        </w:rPr>
        <w:t>efinitions</w:t>
      </w:r>
    </w:p>
    <w:p w:rsidR="007D15B3" w:rsidRDefault="005A17EA">
      <w:pPr>
        <w:keepNext/>
        <w:numPr>
          <w:ilvl w:val="1"/>
          <w:numId w:val="1"/>
        </w:numPr>
        <w:pBdr>
          <w:top w:val="nil"/>
          <w:left w:val="nil"/>
          <w:bottom w:val="nil"/>
          <w:right w:val="nil"/>
          <w:between w:val="nil"/>
        </w:pBdr>
        <w:spacing w:before="120" w:after="120"/>
        <w:jc w:val="left"/>
        <w:rPr>
          <w:color w:val="000000"/>
          <w:sz w:val="24"/>
          <w:szCs w:val="24"/>
        </w:rPr>
      </w:pPr>
      <w:r>
        <w:rPr>
          <w:color w:val="000000"/>
          <w:sz w:val="24"/>
          <w:szCs w:val="24"/>
        </w:rPr>
        <w:t>In this Schedule, the following words shall have the following meanings and they shall supplement Joint Schedule 1 (Definitions):</w:t>
      </w:r>
    </w:p>
    <w:tbl>
      <w:tblPr>
        <w:tblStyle w:val="a"/>
        <w:tblW w:w="8172" w:type="dxa"/>
        <w:tblInd w:w="1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97"/>
        <w:gridCol w:w="5075"/>
      </w:tblGrid>
      <w:tr w:rsidR="007D15B3" w:rsidRPr="002A2E64">
        <w:tc>
          <w:tcPr>
            <w:tcW w:w="3097" w:type="dxa"/>
          </w:tcPr>
          <w:p w:rsidR="007D15B3" w:rsidRPr="002A2E64" w:rsidRDefault="005A17EA">
            <w:pPr>
              <w:pBdr>
                <w:top w:val="nil"/>
                <w:left w:val="nil"/>
                <w:bottom w:val="nil"/>
                <w:right w:val="nil"/>
                <w:between w:val="nil"/>
              </w:pBdr>
              <w:spacing w:after="120"/>
              <w:ind w:left="-108"/>
              <w:jc w:val="left"/>
              <w:rPr>
                <w:rFonts w:ascii="Arial" w:hAnsi="Arial" w:cs="Arial"/>
                <w:b/>
                <w:sz w:val="24"/>
                <w:szCs w:val="24"/>
              </w:rPr>
            </w:pPr>
            <w:r w:rsidRPr="002A2E64">
              <w:rPr>
                <w:rFonts w:ascii="Arial" w:eastAsia="Arial" w:hAnsi="Arial" w:cs="Arial"/>
                <w:b/>
                <w:sz w:val="24"/>
                <w:szCs w:val="24"/>
              </w:rPr>
              <w:t>"Accounting Reference Date"</w:t>
            </w:r>
          </w:p>
        </w:tc>
        <w:tc>
          <w:tcPr>
            <w:tcW w:w="5075" w:type="dxa"/>
          </w:tcPr>
          <w:p w:rsidR="007D15B3" w:rsidRPr="002A2E64" w:rsidRDefault="005A17EA">
            <w:pPr>
              <w:pBdr>
                <w:top w:val="nil"/>
                <w:left w:val="nil"/>
                <w:bottom w:val="nil"/>
                <w:right w:val="nil"/>
                <w:between w:val="nil"/>
              </w:pBdr>
              <w:spacing w:before="100" w:after="200"/>
              <w:ind w:left="0"/>
              <w:jc w:val="left"/>
              <w:rPr>
                <w:rFonts w:ascii="Arial" w:hAnsi="Arial" w:cs="Arial"/>
                <w:color w:val="000000"/>
                <w:sz w:val="24"/>
                <w:szCs w:val="24"/>
              </w:rPr>
            </w:pPr>
            <w:r w:rsidRPr="002A2E64">
              <w:rPr>
                <w:rFonts w:ascii="Arial" w:eastAsia="Arial" w:hAnsi="Arial" w:cs="Arial"/>
                <w:sz w:val="24"/>
                <w:szCs w:val="24"/>
              </w:rPr>
              <w:t>means in each year the date to which the Supplier prepares its annual audited financial statements;</w:t>
            </w:r>
          </w:p>
        </w:tc>
      </w:tr>
      <w:tr w:rsidR="007D15B3" w:rsidRPr="002A2E64">
        <w:tc>
          <w:tcPr>
            <w:tcW w:w="3097" w:type="dxa"/>
          </w:tcPr>
          <w:p w:rsidR="007D15B3" w:rsidRPr="002A2E64" w:rsidRDefault="005A17EA">
            <w:pPr>
              <w:pBdr>
                <w:top w:val="nil"/>
                <w:left w:val="nil"/>
                <w:bottom w:val="nil"/>
                <w:right w:val="nil"/>
                <w:between w:val="nil"/>
              </w:pBdr>
              <w:spacing w:after="120"/>
              <w:ind w:left="-108"/>
              <w:jc w:val="left"/>
              <w:rPr>
                <w:rFonts w:ascii="Arial" w:eastAsia="Arial" w:hAnsi="Arial" w:cs="Arial"/>
                <w:b/>
                <w:sz w:val="24"/>
                <w:szCs w:val="24"/>
              </w:rPr>
            </w:pPr>
            <w:r w:rsidRPr="002A2E64">
              <w:rPr>
                <w:rFonts w:ascii="Arial" w:eastAsia="Arial" w:hAnsi="Arial" w:cs="Arial"/>
                <w:b/>
                <w:sz w:val="24"/>
                <w:szCs w:val="24"/>
              </w:rPr>
              <w:t>"BCDR Plan"</w:t>
            </w:r>
          </w:p>
        </w:tc>
        <w:tc>
          <w:tcPr>
            <w:tcW w:w="5075" w:type="dxa"/>
          </w:tcPr>
          <w:p w:rsidR="007D15B3" w:rsidRPr="002A2E64" w:rsidRDefault="005A17EA">
            <w:pPr>
              <w:pBdr>
                <w:top w:val="nil"/>
                <w:left w:val="nil"/>
                <w:bottom w:val="nil"/>
                <w:right w:val="nil"/>
                <w:between w:val="nil"/>
              </w:pBdr>
              <w:tabs>
                <w:tab w:val="left" w:pos="-9"/>
              </w:tabs>
              <w:spacing w:after="120"/>
              <w:ind w:left="0"/>
              <w:jc w:val="left"/>
              <w:rPr>
                <w:rFonts w:ascii="Arial" w:eastAsia="Arial" w:hAnsi="Arial" w:cs="Arial"/>
                <w:sz w:val="24"/>
                <w:szCs w:val="24"/>
              </w:rPr>
            </w:pPr>
            <w:r w:rsidRPr="002A2E64">
              <w:rPr>
                <w:rFonts w:ascii="Arial" w:eastAsia="Arial" w:hAnsi="Arial" w:cs="Arial"/>
                <w:sz w:val="24"/>
                <w:szCs w:val="24"/>
              </w:rPr>
              <w:t>has the meaning given to it in Paragraph 1.2 of this Schedule;</w:t>
            </w:r>
          </w:p>
        </w:tc>
      </w:tr>
      <w:tr w:rsidR="007D15B3" w:rsidRPr="002A2E64">
        <w:tc>
          <w:tcPr>
            <w:tcW w:w="3097" w:type="dxa"/>
          </w:tcPr>
          <w:p w:rsidR="007D15B3" w:rsidRPr="002A2E64" w:rsidRDefault="005A17EA">
            <w:pPr>
              <w:pBdr>
                <w:top w:val="nil"/>
                <w:left w:val="nil"/>
                <w:bottom w:val="nil"/>
                <w:right w:val="nil"/>
                <w:between w:val="nil"/>
              </w:pBdr>
              <w:spacing w:after="120"/>
              <w:ind w:left="-108"/>
              <w:jc w:val="left"/>
              <w:rPr>
                <w:rFonts w:ascii="Arial" w:eastAsia="Arial" w:hAnsi="Arial" w:cs="Arial"/>
                <w:b/>
                <w:color w:val="000000"/>
                <w:sz w:val="24"/>
                <w:szCs w:val="24"/>
              </w:rPr>
            </w:pPr>
            <w:r w:rsidRPr="002A2E64">
              <w:rPr>
                <w:rFonts w:ascii="Arial" w:hAnsi="Arial" w:cs="Arial"/>
                <w:b/>
                <w:color w:val="000000"/>
                <w:sz w:val="24"/>
                <w:szCs w:val="24"/>
              </w:rPr>
              <w:t>"Disaster"</w:t>
            </w:r>
          </w:p>
        </w:tc>
        <w:tc>
          <w:tcPr>
            <w:tcW w:w="5075" w:type="dxa"/>
          </w:tcPr>
          <w:p w:rsidR="007D15B3" w:rsidRPr="002A2E64" w:rsidRDefault="005A17EA">
            <w:pPr>
              <w:pBdr>
                <w:top w:val="nil"/>
                <w:left w:val="nil"/>
                <w:bottom w:val="nil"/>
                <w:right w:val="nil"/>
                <w:between w:val="nil"/>
              </w:pBdr>
              <w:tabs>
                <w:tab w:val="left" w:pos="-9"/>
              </w:tabs>
              <w:spacing w:after="120"/>
              <w:ind w:left="0"/>
              <w:jc w:val="left"/>
              <w:rPr>
                <w:rFonts w:ascii="Arial" w:eastAsia="Arial" w:hAnsi="Arial" w:cs="Arial"/>
                <w:sz w:val="24"/>
                <w:szCs w:val="24"/>
              </w:rPr>
            </w:pPr>
            <w:bookmarkStart w:id="1" w:name="_heading=h.30j0zll" w:colFirst="0" w:colLast="0"/>
            <w:bookmarkEnd w:id="1"/>
            <w:r w:rsidRPr="002A2E64">
              <w:rPr>
                <w:rFonts w:ascii="Arial" w:hAnsi="Arial" w:cs="Arial"/>
                <w:sz w:val="24"/>
                <w:szCs w:val="24"/>
              </w:rPr>
              <w:t>the occurrence of one or more events which, either separately or cumulatively, mean that the Deliverables, or a material part thereof will be unavailable (or could reasonably be anticipated to be unavailable);</w:t>
            </w:r>
          </w:p>
        </w:tc>
      </w:tr>
      <w:tr w:rsidR="007D15B3" w:rsidRPr="002A2E64">
        <w:tc>
          <w:tcPr>
            <w:tcW w:w="3097" w:type="dxa"/>
          </w:tcPr>
          <w:p w:rsidR="007D15B3" w:rsidRPr="002A2E64" w:rsidRDefault="005A17EA">
            <w:pPr>
              <w:pBdr>
                <w:top w:val="nil"/>
                <w:left w:val="nil"/>
                <w:bottom w:val="nil"/>
                <w:right w:val="nil"/>
                <w:between w:val="nil"/>
              </w:pBdr>
              <w:spacing w:after="120"/>
              <w:ind w:left="-108"/>
              <w:jc w:val="left"/>
              <w:rPr>
                <w:rFonts w:ascii="Arial" w:eastAsia="Arial" w:hAnsi="Arial" w:cs="Arial"/>
                <w:b/>
                <w:color w:val="000000"/>
                <w:sz w:val="24"/>
                <w:szCs w:val="24"/>
              </w:rPr>
            </w:pPr>
            <w:r w:rsidRPr="002A2E64">
              <w:rPr>
                <w:rFonts w:ascii="Arial" w:hAnsi="Arial" w:cs="Arial"/>
                <w:b/>
                <w:color w:val="000000"/>
                <w:sz w:val="24"/>
                <w:szCs w:val="24"/>
              </w:rPr>
              <w:t>"Disaster Recovery Deliverables"</w:t>
            </w:r>
          </w:p>
        </w:tc>
        <w:tc>
          <w:tcPr>
            <w:tcW w:w="5075" w:type="dxa"/>
          </w:tcPr>
          <w:p w:rsidR="007D15B3" w:rsidRPr="002A2E64" w:rsidRDefault="005A17EA">
            <w:pPr>
              <w:ind w:left="0"/>
              <w:rPr>
                <w:rFonts w:ascii="Arial" w:eastAsia="Arial" w:hAnsi="Arial" w:cs="Arial"/>
                <w:sz w:val="24"/>
                <w:szCs w:val="24"/>
              </w:rPr>
            </w:pPr>
            <w:r w:rsidRPr="002A2E64">
              <w:rPr>
                <w:rFonts w:ascii="Arial" w:hAnsi="Arial" w:cs="Arial"/>
                <w:sz w:val="24"/>
                <w:szCs w:val="24"/>
              </w:rPr>
              <w:t>the Deliverables embodied in the processes and procedures for restoring the provision of Deliverables following the occurrence of a Disaster;</w:t>
            </w:r>
          </w:p>
          <w:p w:rsidR="007D15B3" w:rsidRPr="002A2E64" w:rsidRDefault="007D15B3">
            <w:pPr>
              <w:ind w:firstLine="1418"/>
              <w:rPr>
                <w:rFonts w:ascii="Arial" w:eastAsia="Arial" w:hAnsi="Arial" w:cs="Arial"/>
                <w:sz w:val="24"/>
                <w:szCs w:val="24"/>
              </w:rPr>
            </w:pPr>
          </w:p>
        </w:tc>
      </w:tr>
      <w:tr w:rsidR="007D15B3" w:rsidRPr="002A2E64">
        <w:tc>
          <w:tcPr>
            <w:tcW w:w="3097" w:type="dxa"/>
          </w:tcPr>
          <w:p w:rsidR="007D15B3" w:rsidRPr="002A2E64" w:rsidRDefault="005A17EA">
            <w:pPr>
              <w:pBdr>
                <w:top w:val="nil"/>
                <w:left w:val="nil"/>
                <w:bottom w:val="nil"/>
                <w:right w:val="nil"/>
                <w:between w:val="nil"/>
              </w:pBdr>
              <w:spacing w:after="120"/>
              <w:ind w:left="-108"/>
              <w:jc w:val="left"/>
              <w:rPr>
                <w:rFonts w:ascii="Arial" w:eastAsia="Arial" w:hAnsi="Arial" w:cs="Arial"/>
                <w:b/>
                <w:color w:val="000000"/>
                <w:sz w:val="24"/>
                <w:szCs w:val="24"/>
              </w:rPr>
            </w:pPr>
            <w:r w:rsidRPr="002A2E64">
              <w:rPr>
                <w:rFonts w:ascii="Arial" w:hAnsi="Arial" w:cs="Arial"/>
                <w:b/>
                <w:color w:val="000000"/>
                <w:sz w:val="24"/>
                <w:szCs w:val="24"/>
              </w:rPr>
              <w:t>"Disaster Recovery Plan"</w:t>
            </w:r>
          </w:p>
        </w:tc>
        <w:tc>
          <w:tcPr>
            <w:tcW w:w="5075" w:type="dxa"/>
          </w:tcPr>
          <w:p w:rsidR="007D15B3" w:rsidRPr="002A2E64" w:rsidRDefault="005A17EA">
            <w:pPr>
              <w:pBdr>
                <w:top w:val="nil"/>
                <w:left w:val="nil"/>
                <w:bottom w:val="nil"/>
                <w:right w:val="nil"/>
                <w:between w:val="nil"/>
              </w:pBdr>
              <w:tabs>
                <w:tab w:val="left" w:pos="-9"/>
              </w:tabs>
              <w:spacing w:after="120"/>
              <w:ind w:left="0"/>
              <w:jc w:val="left"/>
              <w:rPr>
                <w:rFonts w:ascii="Arial" w:eastAsia="Arial" w:hAnsi="Arial" w:cs="Arial"/>
                <w:sz w:val="24"/>
                <w:szCs w:val="24"/>
              </w:rPr>
            </w:pPr>
            <w:r w:rsidRPr="002A2E64">
              <w:rPr>
                <w:rFonts w:ascii="Arial" w:hAnsi="Arial" w:cs="Arial"/>
                <w:sz w:val="24"/>
                <w:szCs w:val="24"/>
              </w:rPr>
              <w:t>has the meaning given to it in Paragraph 1.3.3 of this Schedule;</w:t>
            </w:r>
          </w:p>
        </w:tc>
      </w:tr>
      <w:tr w:rsidR="007D15B3" w:rsidRPr="002A2E64">
        <w:tc>
          <w:tcPr>
            <w:tcW w:w="3097" w:type="dxa"/>
          </w:tcPr>
          <w:p w:rsidR="007D15B3" w:rsidRPr="002A2E64" w:rsidRDefault="005A17EA">
            <w:pPr>
              <w:pBdr>
                <w:top w:val="nil"/>
                <w:left w:val="nil"/>
                <w:bottom w:val="nil"/>
                <w:right w:val="nil"/>
                <w:between w:val="nil"/>
              </w:pBdr>
              <w:spacing w:after="120"/>
              <w:ind w:left="-108"/>
              <w:jc w:val="left"/>
              <w:rPr>
                <w:rFonts w:ascii="Arial" w:eastAsia="Arial" w:hAnsi="Arial" w:cs="Arial"/>
                <w:b/>
                <w:color w:val="000000"/>
                <w:sz w:val="24"/>
                <w:szCs w:val="24"/>
              </w:rPr>
            </w:pPr>
            <w:r w:rsidRPr="002A2E64">
              <w:rPr>
                <w:rFonts w:ascii="Arial" w:hAnsi="Arial" w:cs="Arial"/>
                <w:b/>
                <w:color w:val="000000"/>
                <w:sz w:val="24"/>
                <w:szCs w:val="24"/>
              </w:rPr>
              <w:t>"Disaster Recovery System"</w:t>
            </w:r>
          </w:p>
        </w:tc>
        <w:tc>
          <w:tcPr>
            <w:tcW w:w="5075" w:type="dxa"/>
          </w:tcPr>
          <w:p w:rsidR="007D15B3" w:rsidRPr="002A2E64" w:rsidRDefault="005A17EA">
            <w:pPr>
              <w:pBdr>
                <w:top w:val="nil"/>
                <w:left w:val="nil"/>
                <w:bottom w:val="nil"/>
                <w:right w:val="nil"/>
                <w:between w:val="nil"/>
              </w:pBdr>
              <w:tabs>
                <w:tab w:val="left" w:pos="-9"/>
              </w:tabs>
              <w:spacing w:after="120"/>
              <w:ind w:left="0"/>
              <w:jc w:val="left"/>
              <w:rPr>
                <w:rFonts w:ascii="Arial" w:eastAsia="Arial" w:hAnsi="Arial" w:cs="Arial"/>
                <w:sz w:val="24"/>
                <w:szCs w:val="24"/>
              </w:rPr>
            </w:pPr>
            <w:r w:rsidRPr="002A2E64">
              <w:rPr>
                <w:rFonts w:ascii="Arial" w:hAnsi="Arial" w:cs="Arial"/>
                <w:sz w:val="24"/>
                <w:szCs w:val="24"/>
              </w:rPr>
              <w:t>the system embodied in the processes and procedures for restoring the provision of Deliverables following the occurrence of a Disaster;</w:t>
            </w:r>
          </w:p>
        </w:tc>
      </w:tr>
      <w:tr w:rsidR="007D15B3" w:rsidRPr="002A2E64">
        <w:trPr>
          <w:trHeight w:val="567"/>
        </w:trPr>
        <w:tc>
          <w:tcPr>
            <w:tcW w:w="3097" w:type="dxa"/>
          </w:tcPr>
          <w:p w:rsidR="007D15B3" w:rsidRPr="002A2E64" w:rsidRDefault="005A17EA">
            <w:pPr>
              <w:pBdr>
                <w:top w:val="nil"/>
                <w:left w:val="nil"/>
                <w:bottom w:val="nil"/>
                <w:right w:val="nil"/>
                <w:between w:val="nil"/>
              </w:pBdr>
              <w:spacing w:after="120"/>
              <w:ind w:left="-108"/>
              <w:jc w:val="left"/>
              <w:rPr>
                <w:rFonts w:ascii="Arial" w:eastAsia="Arial" w:hAnsi="Arial" w:cs="Arial"/>
                <w:b/>
                <w:color w:val="000000"/>
                <w:sz w:val="24"/>
                <w:szCs w:val="24"/>
              </w:rPr>
            </w:pPr>
            <w:r w:rsidRPr="002A2E64">
              <w:rPr>
                <w:rFonts w:ascii="Arial" w:hAnsi="Arial" w:cs="Arial"/>
                <w:b/>
                <w:color w:val="000000"/>
                <w:sz w:val="24"/>
                <w:szCs w:val="24"/>
              </w:rPr>
              <w:t>"Related Supplier"</w:t>
            </w:r>
          </w:p>
        </w:tc>
        <w:tc>
          <w:tcPr>
            <w:tcW w:w="5075" w:type="dxa"/>
          </w:tcPr>
          <w:p w:rsidR="007D15B3" w:rsidRPr="002A2E64" w:rsidRDefault="005A17EA">
            <w:pPr>
              <w:pBdr>
                <w:top w:val="nil"/>
                <w:left w:val="nil"/>
                <w:bottom w:val="nil"/>
                <w:right w:val="nil"/>
                <w:between w:val="nil"/>
              </w:pBdr>
              <w:tabs>
                <w:tab w:val="left" w:pos="-9"/>
              </w:tabs>
              <w:spacing w:after="120"/>
              <w:ind w:left="0"/>
              <w:jc w:val="left"/>
              <w:rPr>
                <w:rFonts w:ascii="Arial" w:eastAsia="Arial" w:hAnsi="Arial" w:cs="Arial"/>
                <w:color w:val="000000"/>
                <w:sz w:val="24"/>
                <w:szCs w:val="24"/>
              </w:rPr>
            </w:pPr>
            <w:r w:rsidRPr="002A2E64">
              <w:rPr>
                <w:rFonts w:ascii="Arial" w:hAnsi="Arial" w:cs="Arial"/>
                <w:color w:val="000000"/>
                <w:sz w:val="24"/>
                <w:szCs w:val="24"/>
              </w:rPr>
              <w:t>any person who provides Deliverables to the Buyer which are related to th</w:t>
            </w:r>
            <w:r w:rsidRPr="002A2E64">
              <w:rPr>
                <w:rFonts w:ascii="Arial" w:hAnsi="Arial" w:cs="Arial"/>
                <w:color w:val="000000"/>
                <w:sz w:val="24"/>
                <w:szCs w:val="24"/>
              </w:rPr>
              <w:t>e Deliverables from time to time;</w:t>
            </w:r>
          </w:p>
        </w:tc>
      </w:tr>
      <w:tr w:rsidR="007D15B3" w:rsidRPr="002A2E64">
        <w:trPr>
          <w:trHeight w:val="567"/>
        </w:trPr>
        <w:tc>
          <w:tcPr>
            <w:tcW w:w="3097" w:type="dxa"/>
          </w:tcPr>
          <w:p w:rsidR="007D15B3" w:rsidRPr="002A2E64" w:rsidRDefault="005A17EA">
            <w:pPr>
              <w:pBdr>
                <w:top w:val="nil"/>
                <w:left w:val="nil"/>
                <w:bottom w:val="nil"/>
                <w:right w:val="nil"/>
                <w:between w:val="nil"/>
              </w:pBdr>
              <w:spacing w:after="120"/>
              <w:ind w:left="-108"/>
              <w:jc w:val="left"/>
              <w:rPr>
                <w:rFonts w:ascii="Arial" w:eastAsia="Arial" w:hAnsi="Arial" w:cs="Arial"/>
                <w:b/>
                <w:color w:val="000000"/>
                <w:sz w:val="24"/>
                <w:szCs w:val="24"/>
              </w:rPr>
            </w:pPr>
            <w:r w:rsidRPr="002A2E64">
              <w:rPr>
                <w:rFonts w:ascii="Arial" w:hAnsi="Arial" w:cs="Arial"/>
                <w:b/>
                <w:color w:val="000000"/>
                <w:sz w:val="24"/>
                <w:szCs w:val="24"/>
              </w:rPr>
              <w:t>"Review Report"</w:t>
            </w:r>
          </w:p>
        </w:tc>
        <w:tc>
          <w:tcPr>
            <w:tcW w:w="5075" w:type="dxa"/>
          </w:tcPr>
          <w:p w:rsidR="007D15B3" w:rsidRPr="002A2E64" w:rsidRDefault="005A17EA">
            <w:pPr>
              <w:pBdr>
                <w:top w:val="nil"/>
                <w:left w:val="nil"/>
                <w:bottom w:val="nil"/>
                <w:right w:val="nil"/>
                <w:between w:val="nil"/>
              </w:pBdr>
              <w:tabs>
                <w:tab w:val="left" w:pos="-9"/>
              </w:tabs>
              <w:spacing w:after="120"/>
              <w:ind w:left="0"/>
              <w:jc w:val="left"/>
              <w:rPr>
                <w:rFonts w:ascii="Arial" w:eastAsia="Arial" w:hAnsi="Arial" w:cs="Arial"/>
                <w:color w:val="000000"/>
                <w:sz w:val="24"/>
                <w:szCs w:val="24"/>
              </w:rPr>
            </w:pPr>
            <w:r w:rsidRPr="002A2E64">
              <w:rPr>
                <w:rFonts w:ascii="Arial" w:hAnsi="Arial" w:cs="Arial"/>
                <w:color w:val="000000"/>
                <w:sz w:val="24"/>
                <w:szCs w:val="24"/>
              </w:rPr>
              <w:t>has the meaning given to it in Paragraph 5.3 of this Schedule; and</w:t>
            </w:r>
          </w:p>
        </w:tc>
      </w:tr>
      <w:tr w:rsidR="007D15B3" w:rsidRPr="002A2E64">
        <w:tc>
          <w:tcPr>
            <w:tcW w:w="3097" w:type="dxa"/>
          </w:tcPr>
          <w:p w:rsidR="007D15B3" w:rsidRPr="002A2E64" w:rsidRDefault="005A17EA">
            <w:pPr>
              <w:pBdr>
                <w:top w:val="nil"/>
                <w:left w:val="nil"/>
                <w:bottom w:val="nil"/>
                <w:right w:val="nil"/>
                <w:between w:val="nil"/>
              </w:pBdr>
              <w:spacing w:after="120"/>
              <w:ind w:left="-108"/>
              <w:jc w:val="left"/>
              <w:rPr>
                <w:rFonts w:ascii="Arial" w:eastAsia="Arial" w:hAnsi="Arial" w:cs="Arial"/>
                <w:b/>
                <w:color w:val="000000"/>
                <w:sz w:val="24"/>
                <w:szCs w:val="24"/>
              </w:rPr>
            </w:pPr>
            <w:r w:rsidRPr="002A2E64">
              <w:rPr>
                <w:rFonts w:ascii="Arial" w:hAnsi="Arial" w:cs="Arial"/>
                <w:b/>
                <w:sz w:val="24"/>
                <w:szCs w:val="24"/>
              </w:rPr>
              <w:t>"Supplier's Proposals"</w:t>
            </w:r>
          </w:p>
        </w:tc>
        <w:tc>
          <w:tcPr>
            <w:tcW w:w="5075" w:type="dxa"/>
          </w:tcPr>
          <w:p w:rsidR="007D15B3" w:rsidRPr="002A2E64" w:rsidRDefault="005A17EA">
            <w:pPr>
              <w:pBdr>
                <w:top w:val="nil"/>
                <w:left w:val="nil"/>
                <w:bottom w:val="nil"/>
                <w:right w:val="nil"/>
                <w:between w:val="nil"/>
              </w:pBdr>
              <w:tabs>
                <w:tab w:val="left" w:pos="-9"/>
              </w:tabs>
              <w:spacing w:after="120"/>
              <w:ind w:left="0"/>
              <w:jc w:val="left"/>
              <w:rPr>
                <w:rFonts w:ascii="Arial" w:eastAsia="Arial" w:hAnsi="Arial" w:cs="Arial"/>
                <w:color w:val="000000"/>
                <w:sz w:val="24"/>
                <w:szCs w:val="24"/>
              </w:rPr>
            </w:pPr>
            <w:r w:rsidRPr="002A2E64">
              <w:rPr>
                <w:rFonts w:ascii="Arial" w:hAnsi="Arial" w:cs="Arial"/>
                <w:sz w:val="24"/>
                <w:szCs w:val="24"/>
              </w:rPr>
              <w:t xml:space="preserve">has the meaning given to it in Paragraph 5.3 of this </w:t>
            </w:r>
            <w:proofErr w:type="gramStart"/>
            <w:r w:rsidRPr="002A2E64">
              <w:rPr>
                <w:rFonts w:ascii="Arial" w:hAnsi="Arial" w:cs="Arial"/>
                <w:sz w:val="24"/>
                <w:szCs w:val="24"/>
              </w:rPr>
              <w:t>Schedule</w:t>
            </w:r>
            <w:r w:rsidRPr="002A2E64">
              <w:rPr>
                <w:rFonts w:ascii="Arial" w:eastAsia="Arial" w:hAnsi="Arial" w:cs="Arial"/>
                <w:sz w:val="24"/>
                <w:szCs w:val="24"/>
              </w:rPr>
              <w:t>.</w:t>
            </w:r>
            <w:proofErr w:type="gramEnd"/>
          </w:p>
        </w:tc>
      </w:tr>
    </w:tbl>
    <w:p w:rsidR="007D15B3" w:rsidRDefault="007D15B3">
      <w:pPr>
        <w:keepNext/>
        <w:pBdr>
          <w:top w:val="nil"/>
          <w:left w:val="nil"/>
          <w:bottom w:val="nil"/>
          <w:right w:val="nil"/>
          <w:between w:val="nil"/>
        </w:pBdr>
        <w:tabs>
          <w:tab w:val="left" w:pos="0"/>
        </w:tabs>
        <w:spacing w:before="240"/>
        <w:ind w:left="720"/>
        <w:jc w:val="left"/>
        <w:rPr>
          <w:rFonts w:ascii="Arial Bold" w:eastAsia="Arial Bold" w:hAnsi="Arial Bold" w:cs="Arial Bold"/>
          <w:b/>
          <w:color w:val="000000"/>
          <w:sz w:val="24"/>
          <w:szCs w:val="24"/>
        </w:rPr>
      </w:pPr>
    </w:p>
    <w:p w:rsidR="007D15B3" w:rsidRDefault="005A17EA">
      <w:pPr>
        <w:ind w:firstLine="1418"/>
        <w:rPr>
          <w:rFonts w:ascii="Arial Bold" w:eastAsia="Arial Bold" w:hAnsi="Arial Bold" w:cs="Arial Bold"/>
          <w:b/>
          <w:color w:val="000000"/>
          <w:sz w:val="24"/>
          <w:szCs w:val="24"/>
        </w:rPr>
      </w:pPr>
      <w:r>
        <w:br w:type="page"/>
      </w:r>
    </w:p>
    <w:p w:rsidR="007D15B3" w:rsidRDefault="005A17EA">
      <w:pPr>
        <w:pBdr>
          <w:top w:val="nil"/>
          <w:left w:val="nil"/>
          <w:bottom w:val="nil"/>
          <w:right w:val="nil"/>
          <w:between w:val="nil"/>
        </w:pBdr>
        <w:spacing w:before="120" w:after="120"/>
        <w:ind w:left="0"/>
        <w:jc w:val="left"/>
        <w:rPr>
          <w:b/>
          <w:color w:val="000000"/>
          <w:sz w:val="32"/>
          <w:szCs w:val="32"/>
        </w:rPr>
      </w:pPr>
      <w:r>
        <w:rPr>
          <w:b/>
          <w:color w:val="000000"/>
          <w:sz w:val="32"/>
          <w:szCs w:val="32"/>
        </w:rPr>
        <w:lastRenderedPageBreak/>
        <w:t>BCDR Plan</w:t>
      </w:r>
    </w:p>
    <w:p w:rsidR="007D15B3" w:rsidRDefault="005A17EA">
      <w:pPr>
        <w:keepNext/>
        <w:numPr>
          <w:ilvl w:val="0"/>
          <w:numId w:val="2"/>
        </w:numPr>
        <w:pBdr>
          <w:top w:val="nil"/>
          <w:left w:val="nil"/>
          <w:bottom w:val="nil"/>
          <w:right w:val="nil"/>
          <w:between w:val="nil"/>
        </w:pBdr>
        <w:tabs>
          <w:tab w:val="left" w:pos="0"/>
        </w:tabs>
        <w:spacing w:before="240"/>
        <w:jc w:val="left"/>
        <w:rPr>
          <w:b/>
          <w:smallCaps/>
          <w:color w:val="000000"/>
          <w:sz w:val="24"/>
          <w:szCs w:val="24"/>
        </w:rPr>
      </w:pPr>
      <w:r>
        <w:rPr>
          <w:rFonts w:ascii="Arial Bold" w:eastAsia="Arial Bold" w:hAnsi="Arial Bold" w:cs="Arial Bold"/>
          <w:b/>
          <w:color w:val="000000"/>
          <w:sz w:val="24"/>
          <w:szCs w:val="24"/>
        </w:rPr>
        <w:t>BCDR Plan</w:t>
      </w:r>
    </w:p>
    <w:p w:rsidR="007D15B3" w:rsidRDefault="005A17EA">
      <w:pPr>
        <w:numPr>
          <w:ilvl w:val="1"/>
          <w:numId w:val="2"/>
        </w:numPr>
        <w:pBdr>
          <w:top w:val="nil"/>
          <w:left w:val="nil"/>
          <w:bottom w:val="nil"/>
          <w:right w:val="nil"/>
          <w:between w:val="nil"/>
        </w:pBdr>
        <w:spacing w:before="120" w:after="120"/>
        <w:jc w:val="left"/>
        <w:rPr>
          <w:color w:val="000000"/>
          <w:sz w:val="24"/>
          <w:szCs w:val="24"/>
        </w:rPr>
      </w:pPr>
      <w:bookmarkStart w:id="2" w:name="_heading=h.1fob9te" w:colFirst="0" w:colLast="0"/>
      <w:bookmarkEnd w:id="2"/>
      <w:r>
        <w:rPr>
          <w:color w:val="000000"/>
          <w:sz w:val="24"/>
          <w:szCs w:val="24"/>
        </w:rPr>
        <w:t>The Buyer and the Supplier recognise that, where specified in Framework Schedule 4 (Framework Management), CCS shall have the right to enforce the Buyer's rights under this Schedule.</w:t>
      </w:r>
    </w:p>
    <w:p w:rsidR="007D15B3" w:rsidRDefault="005A17EA">
      <w:pPr>
        <w:numPr>
          <w:ilvl w:val="1"/>
          <w:numId w:val="2"/>
        </w:numPr>
        <w:pBdr>
          <w:top w:val="nil"/>
          <w:left w:val="nil"/>
          <w:bottom w:val="nil"/>
          <w:right w:val="nil"/>
          <w:between w:val="nil"/>
        </w:pBdr>
        <w:spacing w:before="120" w:after="120"/>
        <w:jc w:val="left"/>
        <w:rPr>
          <w:color w:val="000000"/>
          <w:sz w:val="24"/>
          <w:szCs w:val="24"/>
        </w:rPr>
      </w:pPr>
      <w:r>
        <w:rPr>
          <w:color w:val="000000"/>
          <w:sz w:val="24"/>
          <w:szCs w:val="24"/>
        </w:rPr>
        <w:t>At least ninety (90) Working Days prior to the Start Date the Supplier sh</w:t>
      </w:r>
      <w:r>
        <w:rPr>
          <w:color w:val="000000"/>
          <w:sz w:val="24"/>
          <w:szCs w:val="24"/>
        </w:rPr>
        <w:t xml:space="preserve">all prepare and deliver to the Buyer for the Buyer’s written approval a plan (a </w:t>
      </w:r>
      <w:r>
        <w:rPr>
          <w:b/>
          <w:color w:val="000000"/>
          <w:sz w:val="24"/>
          <w:szCs w:val="24"/>
        </w:rPr>
        <w:t>“BCDR Plan”</w:t>
      </w:r>
      <w:r>
        <w:rPr>
          <w:color w:val="000000"/>
          <w:sz w:val="24"/>
          <w:szCs w:val="24"/>
        </w:rPr>
        <w:t>), which shall detail the processes and arrangements that the Supplier shall follow to:</w:t>
      </w:r>
    </w:p>
    <w:p w:rsidR="007D15B3" w:rsidRDefault="005A17EA">
      <w:pPr>
        <w:numPr>
          <w:ilvl w:val="2"/>
          <w:numId w:val="2"/>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ensure continuity of the business processes and operations supported by the S</w:t>
      </w:r>
      <w:r>
        <w:rPr>
          <w:color w:val="000000"/>
          <w:sz w:val="24"/>
          <w:szCs w:val="24"/>
        </w:rPr>
        <w:t>ervices following any failure or disruption of any element of the Deliverables; and</w:t>
      </w:r>
    </w:p>
    <w:p w:rsidR="007D15B3" w:rsidRDefault="005A17EA">
      <w:pPr>
        <w:numPr>
          <w:ilvl w:val="2"/>
          <w:numId w:val="2"/>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 xml:space="preserve">the recovery of the Deliverables in the event of a Disaster. </w:t>
      </w:r>
    </w:p>
    <w:p w:rsidR="007D15B3" w:rsidRDefault="005A17EA">
      <w:pPr>
        <w:keepNext/>
        <w:numPr>
          <w:ilvl w:val="1"/>
          <w:numId w:val="2"/>
        </w:numPr>
        <w:pBdr>
          <w:top w:val="nil"/>
          <w:left w:val="nil"/>
          <w:bottom w:val="nil"/>
          <w:right w:val="nil"/>
          <w:between w:val="nil"/>
        </w:pBdr>
        <w:spacing w:before="120" w:after="120"/>
        <w:jc w:val="left"/>
        <w:rPr>
          <w:color w:val="000000"/>
          <w:sz w:val="24"/>
          <w:szCs w:val="24"/>
        </w:rPr>
      </w:pPr>
      <w:r>
        <w:rPr>
          <w:color w:val="000000"/>
          <w:sz w:val="24"/>
          <w:szCs w:val="24"/>
        </w:rPr>
        <w:t>The BCDR Plan shall be divided into four sections:</w:t>
      </w:r>
    </w:p>
    <w:p w:rsidR="007D15B3" w:rsidRDefault="005A17EA">
      <w:pPr>
        <w:numPr>
          <w:ilvl w:val="2"/>
          <w:numId w:val="2"/>
        </w:numPr>
        <w:pBdr>
          <w:top w:val="nil"/>
          <w:left w:val="nil"/>
          <w:bottom w:val="nil"/>
          <w:right w:val="nil"/>
          <w:between w:val="nil"/>
        </w:pBdr>
        <w:tabs>
          <w:tab w:val="left" w:pos="1985"/>
          <w:tab w:val="left" w:pos="2127"/>
        </w:tabs>
        <w:spacing w:before="120" w:after="120"/>
        <w:jc w:val="left"/>
        <w:rPr>
          <w:color w:val="000000"/>
          <w:sz w:val="24"/>
          <w:szCs w:val="24"/>
        </w:rPr>
      </w:pPr>
      <w:bookmarkStart w:id="3" w:name="_heading=h.3znysh7" w:colFirst="0" w:colLast="0"/>
      <w:bookmarkEnd w:id="3"/>
      <w:r>
        <w:rPr>
          <w:color w:val="000000"/>
          <w:sz w:val="24"/>
          <w:szCs w:val="24"/>
        </w:rPr>
        <w:t xml:space="preserve">Section 1 which shall set out general principles applicable to the BCDR Plan; </w:t>
      </w:r>
    </w:p>
    <w:p w:rsidR="007D15B3" w:rsidRDefault="005A17EA">
      <w:pPr>
        <w:numPr>
          <w:ilvl w:val="2"/>
          <w:numId w:val="2"/>
        </w:numPr>
        <w:pBdr>
          <w:top w:val="nil"/>
          <w:left w:val="nil"/>
          <w:bottom w:val="nil"/>
          <w:right w:val="nil"/>
          <w:between w:val="nil"/>
        </w:pBdr>
        <w:tabs>
          <w:tab w:val="left" w:pos="1985"/>
          <w:tab w:val="left" w:pos="2127"/>
        </w:tabs>
        <w:spacing w:before="120" w:after="120"/>
        <w:jc w:val="left"/>
        <w:rPr>
          <w:color w:val="000000"/>
          <w:sz w:val="24"/>
          <w:szCs w:val="24"/>
        </w:rPr>
      </w:pPr>
      <w:bookmarkStart w:id="4" w:name="_heading=h.2et92p0" w:colFirst="0" w:colLast="0"/>
      <w:bookmarkEnd w:id="4"/>
      <w:r>
        <w:rPr>
          <w:color w:val="000000"/>
          <w:sz w:val="24"/>
          <w:szCs w:val="24"/>
        </w:rPr>
        <w:t xml:space="preserve">Section 2 which shall relate to business continuity (the </w:t>
      </w:r>
      <w:r>
        <w:rPr>
          <w:b/>
          <w:color w:val="000000"/>
          <w:sz w:val="24"/>
          <w:szCs w:val="24"/>
        </w:rPr>
        <w:t>"Business Continuity Plan"</w:t>
      </w:r>
      <w:r>
        <w:rPr>
          <w:color w:val="000000"/>
          <w:sz w:val="24"/>
          <w:szCs w:val="24"/>
        </w:rPr>
        <w:t>); and</w:t>
      </w:r>
    </w:p>
    <w:p w:rsidR="007D15B3" w:rsidRDefault="005A17EA">
      <w:pPr>
        <w:numPr>
          <w:ilvl w:val="2"/>
          <w:numId w:val="2"/>
        </w:numPr>
        <w:pBdr>
          <w:top w:val="nil"/>
          <w:left w:val="nil"/>
          <w:bottom w:val="nil"/>
          <w:right w:val="nil"/>
          <w:between w:val="nil"/>
        </w:pBdr>
        <w:tabs>
          <w:tab w:val="left" w:pos="1985"/>
          <w:tab w:val="left" w:pos="2127"/>
        </w:tabs>
        <w:spacing w:before="120" w:after="120"/>
        <w:jc w:val="left"/>
        <w:rPr>
          <w:color w:val="000000"/>
          <w:sz w:val="24"/>
          <w:szCs w:val="24"/>
          <w:highlight w:val="yellow"/>
        </w:rPr>
      </w:pPr>
      <w:bookmarkStart w:id="5" w:name="_heading=h.tyjcwt" w:colFirst="0" w:colLast="0"/>
      <w:bookmarkEnd w:id="5"/>
      <w:r>
        <w:rPr>
          <w:color w:val="000000"/>
          <w:sz w:val="24"/>
          <w:szCs w:val="24"/>
        </w:rPr>
        <w:t xml:space="preserve">Section 3 which shall relate to disaster recovery (the </w:t>
      </w:r>
      <w:r>
        <w:rPr>
          <w:b/>
          <w:color w:val="000000"/>
          <w:sz w:val="24"/>
          <w:szCs w:val="24"/>
        </w:rPr>
        <w:t>"Disaster Recovery Plan"</w:t>
      </w:r>
      <w:r>
        <w:rPr>
          <w:color w:val="000000"/>
          <w:sz w:val="24"/>
          <w:szCs w:val="24"/>
        </w:rPr>
        <w:t xml:space="preserve">); </w:t>
      </w:r>
      <w:r>
        <w:rPr>
          <w:color w:val="000000"/>
          <w:sz w:val="24"/>
          <w:szCs w:val="24"/>
          <w:highlight w:val="yellow"/>
        </w:rPr>
        <w:t>[and.</w:t>
      </w:r>
    </w:p>
    <w:p w:rsidR="007D15B3" w:rsidRDefault="005A17EA">
      <w:pPr>
        <w:numPr>
          <w:ilvl w:val="2"/>
          <w:numId w:val="2"/>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highlight w:val="yellow"/>
        </w:rPr>
        <w:t>Section 4 which shall relate to an Insolvency Event of the Supplier, and Key-Subcontractors and/or any Supplier Group member (the “</w:t>
      </w:r>
      <w:r>
        <w:rPr>
          <w:b/>
          <w:color w:val="000000"/>
          <w:sz w:val="24"/>
          <w:szCs w:val="24"/>
          <w:highlight w:val="yellow"/>
        </w:rPr>
        <w:t>Insolvency Continuity Plan</w:t>
      </w:r>
      <w:r>
        <w:rPr>
          <w:color w:val="000000"/>
          <w:sz w:val="24"/>
          <w:szCs w:val="24"/>
          <w:highlight w:val="yellow"/>
        </w:rPr>
        <w:t>”).]</w:t>
      </w:r>
      <w:r>
        <w:rPr>
          <w:color w:val="000000"/>
          <w:sz w:val="24"/>
          <w:szCs w:val="24"/>
        </w:rPr>
        <w:t xml:space="preserve"> </w:t>
      </w:r>
    </w:p>
    <w:p w:rsidR="007D15B3" w:rsidRDefault="005A17EA">
      <w:pPr>
        <w:numPr>
          <w:ilvl w:val="1"/>
          <w:numId w:val="2"/>
        </w:numPr>
        <w:pBdr>
          <w:top w:val="nil"/>
          <w:left w:val="nil"/>
          <w:bottom w:val="nil"/>
          <w:right w:val="nil"/>
          <w:between w:val="nil"/>
        </w:pBdr>
        <w:spacing w:before="120" w:after="120"/>
        <w:jc w:val="left"/>
        <w:rPr>
          <w:color w:val="000000"/>
          <w:sz w:val="24"/>
          <w:szCs w:val="24"/>
        </w:rPr>
      </w:pPr>
      <w:bookmarkStart w:id="6" w:name="_heading=h.3dy6vkm" w:colFirst="0" w:colLast="0"/>
      <w:bookmarkEnd w:id="6"/>
      <w:r>
        <w:rPr>
          <w:color w:val="000000"/>
          <w:sz w:val="24"/>
          <w:szCs w:val="24"/>
        </w:rPr>
        <w:t>Following receipt of the draft BCDR Plan from the Supplier, the Parties shall use reasonable</w:t>
      </w:r>
      <w:r>
        <w:rPr>
          <w:color w:val="000000"/>
          <w:sz w:val="24"/>
          <w:szCs w:val="24"/>
        </w:rPr>
        <w:t xml:space="preserve"> endeavours to agree th</w:t>
      </w:r>
      <w:bookmarkStart w:id="7" w:name="_GoBack"/>
      <w:bookmarkEnd w:id="7"/>
      <w:r>
        <w:rPr>
          <w:color w:val="000000"/>
          <w:sz w:val="24"/>
          <w:szCs w:val="24"/>
        </w:rPr>
        <w:t>e contents of the BCDR Plan. If the Parties are unable to agree the contents of the BCDR Plan within twenty (20) Working Days of its submission, then such Dispute shall be resolved in accordance with the Dispute Resolution Procedure.</w:t>
      </w:r>
    </w:p>
    <w:p w:rsidR="007D15B3" w:rsidRDefault="005A17EA">
      <w:pPr>
        <w:keepNext/>
        <w:numPr>
          <w:ilvl w:val="0"/>
          <w:numId w:val="2"/>
        </w:numPr>
        <w:pBdr>
          <w:top w:val="nil"/>
          <w:left w:val="nil"/>
          <w:bottom w:val="nil"/>
          <w:right w:val="nil"/>
          <w:between w:val="nil"/>
        </w:pBdr>
        <w:tabs>
          <w:tab w:val="left" w:pos="0"/>
        </w:tabs>
        <w:spacing w:before="240"/>
        <w:jc w:val="left"/>
        <w:rPr>
          <w:b/>
          <w:smallCaps/>
          <w:color w:val="000000"/>
          <w:sz w:val="24"/>
          <w:szCs w:val="24"/>
        </w:rPr>
      </w:pPr>
      <w:bookmarkStart w:id="8" w:name="_heading=h.1t3h5sf" w:colFirst="0" w:colLast="0"/>
      <w:bookmarkEnd w:id="8"/>
      <w:r>
        <w:rPr>
          <w:rFonts w:ascii="Arial Bold" w:eastAsia="Arial Bold" w:hAnsi="Arial Bold" w:cs="Arial Bold"/>
          <w:b/>
          <w:color w:val="000000"/>
          <w:sz w:val="24"/>
          <w:szCs w:val="24"/>
        </w:rPr>
        <w:t>General Principles of the BCDR Plan (Section 1)</w:t>
      </w:r>
    </w:p>
    <w:p w:rsidR="007D15B3" w:rsidRDefault="005A17EA">
      <w:pPr>
        <w:keepNext/>
        <w:numPr>
          <w:ilvl w:val="1"/>
          <w:numId w:val="2"/>
        </w:numPr>
        <w:pBdr>
          <w:top w:val="nil"/>
          <w:left w:val="nil"/>
          <w:bottom w:val="nil"/>
          <w:right w:val="nil"/>
          <w:between w:val="nil"/>
        </w:pBdr>
        <w:spacing w:before="120" w:after="120"/>
        <w:jc w:val="left"/>
        <w:rPr>
          <w:color w:val="000000"/>
          <w:sz w:val="24"/>
          <w:szCs w:val="24"/>
        </w:rPr>
      </w:pPr>
      <w:bookmarkStart w:id="9" w:name="_heading=h.ihv636" w:colFirst="0" w:colLast="0"/>
      <w:bookmarkEnd w:id="9"/>
      <w:r>
        <w:rPr>
          <w:color w:val="000000"/>
          <w:sz w:val="24"/>
          <w:szCs w:val="24"/>
        </w:rPr>
        <w:t>Section 1 of the BCDR Plan shall:</w:t>
      </w:r>
    </w:p>
    <w:p w:rsidR="007D15B3" w:rsidRDefault="005A17EA">
      <w:pPr>
        <w:numPr>
          <w:ilvl w:val="2"/>
          <w:numId w:val="2"/>
        </w:numPr>
        <w:pBdr>
          <w:top w:val="nil"/>
          <w:left w:val="nil"/>
          <w:bottom w:val="nil"/>
          <w:right w:val="nil"/>
          <w:between w:val="nil"/>
        </w:pBdr>
        <w:tabs>
          <w:tab w:val="left" w:pos="1985"/>
          <w:tab w:val="left" w:pos="2127"/>
        </w:tabs>
        <w:spacing w:before="120" w:after="120"/>
        <w:jc w:val="left"/>
        <w:rPr>
          <w:color w:val="000000"/>
          <w:sz w:val="24"/>
          <w:szCs w:val="24"/>
        </w:rPr>
      </w:pPr>
      <w:bookmarkStart w:id="10" w:name="_heading=h.1ci93xb" w:colFirst="0" w:colLast="0"/>
      <w:bookmarkEnd w:id="10"/>
      <w:r>
        <w:rPr>
          <w:color w:val="000000"/>
          <w:sz w:val="24"/>
          <w:szCs w:val="24"/>
        </w:rPr>
        <w:t>set out how the business continuity and disaster recovery elements of the BCDR Plan link to each other;</w:t>
      </w:r>
    </w:p>
    <w:p w:rsidR="007D15B3" w:rsidRDefault="005A17EA">
      <w:pPr>
        <w:numPr>
          <w:ilvl w:val="2"/>
          <w:numId w:val="2"/>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provide details of how the invocation of any element of the BCDR Plan may impact upon the provision of the Deliverables and any goods and/or services provided to the Buyer by a Related Supplier;</w:t>
      </w:r>
    </w:p>
    <w:p w:rsidR="007D15B3" w:rsidRDefault="005A17EA">
      <w:pPr>
        <w:numPr>
          <w:ilvl w:val="2"/>
          <w:numId w:val="2"/>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contain an obligation upon the Supplier to liaise with the Bu</w:t>
      </w:r>
      <w:r>
        <w:rPr>
          <w:color w:val="000000"/>
          <w:sz w:val="24"/>
          <w:szCs w:val="24"/>
        </w:rPr>
        <w:t>yer and any Related Suppliers with respect to business continuity and disaster recovery;</w:t>
      </w:r>
    </w:p>
    <w:p w:rsidR="007D15B3" w:rsidRDefault="005A17EA">
      <w:pPr>
        <w:numPr>
          <w:ilvl w:val="2"/>
          <w:numId w:val="2"/>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lastRenderedPageBreak/>
        <w:t>detail how the BCDR Plan interoperates with any overarching disaster recovery or business continuity plan of the Buyer and any of its other Related Suppliers in each c</w:t>
      </w:r>
      <w:r>
        <w:rPr>
          <w:color w:val="000000"/>
          <w:sz w:val="24"/>
          <w:szCs w:val="24"/>
        </w:rPr>
        <w:t>ase as notified to the Supplier by the Buyer from time to time;</w:t>
      </w:r>
    </w:p>
    <w:p w:rsidR="007D15B3" w:rsidRDefault="005A17EA">
      <w:pPr>
        <w:numPr>
          <w:ilvl w:val="2"/>
          <w:numId w:val="2"/>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contain a communication strategy including details of an incident and problem management service and advice and help desk facility which can be accessed via multiple channels;</w:t>
      </w:r>
    </w:p>
    <w:p w:rsidR="007D15B3" w:rsidRDefault="005A17EA">
      <w:pPr>
        <w:keepNext/>
        <w:numPr>
          <w:ilvl w:val="2"/>
          <w:numId w:val="2"/>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contain a risk analysis, including:</w:t>
      </w:r>
    </w:p>
    <w:p w:rsidR="007D15B3" w:rsidRDefault="005A17EA">
      <w:pPr>
        <w:numPr>
          <w:ilvl w:val="3"/>
          <w:numId w:val="2"/>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failure or disruption scenarios and assessments of likely frequency of occurrence;</w:t>
      </w:r>
    </w:p>
    <w:p w:rsidR="007D15B3" w:rsidRDefault="005A17EA">
      <w:pPr>
        <w:numPr>
          <w:ilvl w:val="3"/>
          <w:numId w:val="2"/>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identification of any single points of failure within the provision of Deliverables and processes for managing those risks;</w:t>
      </w:r>
    </w:p>
    <w:p w:rsidR="007D15B3" w:rsidRDefault="005A17EA">
      <w:pPr>
        <w:numPr>
          <w:ilvl w:val="3"/>
          <w:numId w:val="2"/>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identification of risks arising from an Insolvency Event of the Supplier, any Key Subcontractors and/or Supplier Group member;</w:t>
      </w:r>
    </w:p>
    <w:p w:rsidR="007D15B3" w:rsidRDefault="005A17EA">
      <w:pPr>
        <w:numPr>
          <w:ilvl w:val="3"/>
          <w:numId w:val="2"/>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 xml:space="preserve">identification of risks arising from the interaction of the provision of Deliverables with the goods and/or services provided by </w:t>
      </w:r>
      <w:r>
        <w:rPr>
          <w:color w:val="000000"/>
          <w:sz w:val="24"/>
          <w:szCs w:val="24"/>
        </w:rPr>
        <w:t>a Related Supplier; and</w:t>
      </w:r>
    </w:p>
    <w:p w:rsidR="007D15B3" w:rsidRDefault="005A17EA">
      <w:pPr>
        <w:numPr>
          <w:ilvl w:val="3"/>
          <w:numId w:val="2"/>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a business impact analysis of different anticipated failures or disruptions;</w:t>
      </w:r>
    </w:p>
    <w:p w:rsidR="007D15B3" w:rsidRDefault="005A17EA">
      <w:pPr>
        <w:numPr>
          <w:ilvl w:val="2"/>
          <w:numId w:val="2"/>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provide for documentation of processes, including business processes, and procedures;</w:t>
      </w:r>
    </w:p>
    <w:p w:rsidR="007D15B3" w:rsidRDefault="005A17EA">
      <w:pPr>
        <w:numPr>
          <w:ilvl w:val="2"/>
          <w:numId w:val="2"/>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set out key contact details for the Supplier (and any Subcontractors)</w:t>
      </w:r>
      <w:r>
        <w:rPr>
          <w:color w:val="000000"/>
          <w:sz w:val="24"/>
          <w:szCs w:val="24"/>
        </w:rPr>
        <w:t xml:space="preserve"> and for the Buyer;</w:t>
      </w:r>
    </w:p>
    <w:p w:rsidR="007D15B3" w:rsidRDefault="005A17EA">
      <w:pPr>
        <w:numPr>
          <w:ilvl w:val="2"/>
          <w:numId w:val="2"/>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identify the procedures for reverting to "normal service";</w:t>
      </w:r>
    </w:p>
    <w:p w:rsidR="007D15B3" w:rsidRDefault="005A17EA">
      <w:pPr>
        <w:numPr>
          <w:ilvl w:val="2"/>
          <w:numId w:val="2"/>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set out method(s) of recovering or updating data collected (or which ought to have been collected) during a failure or disruption to minimise data loss;</w:t>
      </w:r>
    </w:p>
    <w:p w:rsidR="007D15B3" w:rsidRDefault="005A17EA">
      <w:pPr>
        <w:numPr>
          <w:ilvl w:val="2"/>
          <w:numId w:val="2"/>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identify the responsibilities (if any) that the Buyer has agreed it will assume in the event of the invocation of the BCDR Plan;</w:t>
      </w:r>
    </w:p>
    <w:p w:rsidR="007D15B3" w:rsidRDefault="005A17EA">
      <w:pPr>
        <w:numPr>
          <w:ilvl w:val="2"/>
          <w:numId w:val="2"/>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 xml:space="preserve">provide for the provision of technical assistance to key contacts at the Buyer as required by the Buyer to inform decisions in </w:t>
      </w:r>
      <w:r>
        <w:rPr>
          <w:color w:val="000000"/>
          <w:sz w:val="24"/>
          <w:szCs w:val="24"/>
        </w:rPr>
        <w:t>support of the Buyer’s business continuity plans;</w:t>
      </w:r>
    </w:p>
    <w:p w:rsidR="007D15B3" w:rsidRDefault="005A17EA">
      <w:pPr>
        <w:numPr>
          <w:ilvl w:val="2"/>
          <w:numId w:val="2"/>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contain an obligation upon the Supplier to liaise with the Buyer and (at the Buyer’s request) any Related Supplier with respect to issues concerning insolvency continuity where applicable; and</w:t>
      </w:r>
    </w:p>
    <w:p w:rsidR="007D15B3" w:rsidRDefault="005A17EA">
      <w:pPr>
        <w:numPr>
          <w:ilvl w:val="2"/>
          <w:numId w:val="2"/>
        </w:numPr>
        <w:pBdr>
          <w:top w:val="nil"/>
          <w:left w:val="nil"/>
          <w:bottom w:val="nil"/>
          <w:right w:val="nil"/>
          <w:between w:val="nil"/>
        </w:pBdr>
        <w:tabs>
          <w:tab w:val="left" w:pos="1985"/>
          <w:tab w:val="left" w:pos="2127"/>
        </w:tabs>
        <w:spacing w:before="120" w:after="120"/>
        <w:jc w:val="left"/>
        <w:rPr>
          <w:color w:val="000000"/>
          <w:sz w:val="24"/>
          <w:szCs w:val="24"/>
        </w:rPr>
      </w:pPr>
      <w:bookmarkStart w:id="11" w:name="_heading=h.32hioqz" w:colFirst="0" w:colLast="0"/>
      <w:bookmarkEnd w:id="11"/>
      <w:r>
        <w:rPr>
          <w:color w:val="000000"/>
          <w:sz w:val="24"/>
          <w:szCs w:val="24"/>
        </w:rPr>
        <w:t>detail how th</w:t>
      </w:r>
      <w:r>
        <w:rPr>
          <w:color w:val="000000"/>
          <w:sz w:val="24"/>
          <w:szCs w:val="24"/>
        </w:rPr>
        <w:t>e BCDR Plan links and interoperates with any overarching and/or connected insolvency continuity plan of the Buyer and any of its other Related Suppliers in each case as notified to the Supplier by the Buyer from time to time.</w:t>
      </w:r>
    </w:p>
    <w:p w:rsidR="007D15B3" w:rsidRDefault="005A17EA">
      <w:pPr>
        <w:keepNext/>
        <w:numPr>
          <w:ilvl w:val="1"/>
          <w:numId w:val="2"/>
        </w:numPr>
        <w:pBdr>
          <w:top w:val="nil"/>
          <w:left w:val="nil"/>
          <w:bottom w:val="nil"/>
          <w:right w:val="nil"/>
          <w:between w:val="nil"/>
        </w:pBdr>
        <w:spacing w:before="120" w:after="120"/>
        <w:jc w:val="left"/>
        <w:rPr>
          <w:color w:val="000000"/>
          <w:sz w:val="24"/>
          <w:szCs w:val="24"/>
        </w:rPr>
      </w:pPr>
      <w:r>
        <w:rPr>
          <w:color w:val="000000"/>
          <w:sz w:val="24"/>
          <w:szCs w:val="24"/>
        </w:rPr>
        <w:lastRenderedPageBreak/>
        <w:t>The BCDR Plan shall be designe</w:t>
      </w:r>
      <w:r>
        <w:rPr>
          <w:color w:val="000000"/>
          <w:sz w:val="24"/>
          <w:szCs w:val="24"/>
        </w:rPr>
        <w:t>d so as to ensure that:</w:t>
      </w:r>
    </w:p>
    <w:p w:rsidR="007D15B3" w:rsidRDefault="005A17EA">
      <w:pPr>
        <w:numPr>
          <w:ilvl w:val="2"/>
          <w:numId w:val="2"/>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the Deliverables are provided in accordance with this Contract at all times during and after the invocation of the BCDR Plan;</w:t>
      </w:r>
    </w:p>
    <w:p w:rsidR="007D15B3" w:rsidRDefault="005A17EA">
      <w:pPr>
        <w:numPr>
          <w:ilvl w:val="2"/>
          <w:numId w:val="2"/>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 xml:space="preserve">the adverse impact of any Disaster is minimised as far as reasonably possible; </w:t>
      </w:r>
    </w:p>
    <w:p w:rsidR="007D15B3" w:rsidRDefault="005A17EA">
      <w:pPr>
        <w:numPr>
          <w:ilvl w:val="2"/>
          <w:numId w:val="2"/>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it complies with the relev</w:t>
      </w:r>
      <w:r>
        <w:rPr>
          <w:color w:val="000000"/>
          <w:sz w:val="24"/>
          <w:szCs w:val="24"/>
        </w:rPr>
        <w:t>ant provisions of ISO/IEC 27002; ISO22301/ISO22313 and all other industry standards from time to time in force; and</w:t>
      </w:r>
    </w:p>
    <w:p w:rsidR="007D15B3" w:rsidRDefault="005A17EA">
      <w:pPr>
        <w:numPr>
          <w:ilvl w:val="2"/>
          <w:numId w:val="2"/>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it details a process for the management of disaster recovery testing.</w:t>
      </w:r>
    </w:p>
    <w:p w:rsidR="007D15B3" w:rsidRDefault="005A17EA">
      <w:pPr>
        <w:numPr>
          <w:ilvl w:val="1"/>
          <w:numId w:val="2"/>
        </w:numPr>
        <w:pBdr>
          <w:top w:val="nil"/>
          <w:left w:val="nil"/>
          <w:bottom w:val="nil"/>
          <w:right w:val="nil"/>
          <w:between w:val="nil"/>
        </w:pBdr>
        <w:spacing w:before="120" w:after="120"/>
        <w:jc w:val="left"/>
        <w:rPr>
          <w:color w:val="000000"/>
          <w:sz w:val="24"/>
          <w:szCs w:val="24"/>
        </w:rPr>
      </w:pPr>
      <w:r>
        <w:rPr>
          <w:color w:val="000000"/>
          <w:sz w:val="24"/>
          <w:szCs w:val="24"/>
        </w:rPr>
        <w:t>The BCDR Plan shall be upgradeable and sufficiently flexible to support any changes to the Deliverables and the business operations supported by the provision of Deliverables.</w:t>
      </w:r>
    </w:p>
    <w:p w:rsidR="007D15B3" w:rsidRDefault="005A17EA">
      <w:pPr>
        <w:numPr>
          <w:ilvl w:val="1"/>
          <w:numId w:val="2"/>
        </w:numPr>
        <w:pBdr>
          <w:top w:val="nil"/>
          <w:left w:val="nil"/>
          <w:bottom w:val="nil"/>
          <w:right w:val="nil"/>
          <w:between w:val="nil"/>
        </w:pBdr>
        <w:spacing w:before="120" w:after="120"/>
        <w:jc w:val="left"/>
        <w:rPr>
          <w:color w:val="000000"/>
          <w:sz w:val="24"/>
          <w:szCs w:val="24"/>
        </w:rPr>
      </w:pPr>
      <w:r>
        <w:rPr>
          <w:color w:val="000000"/>
          <w:sz w:val="24"/>
          <w:szCs w:val="24"/>
        </w:rPr>
        <w:t xml:space="preserve">The Supplier shall not be entitled to any relief from its obligations under the </w:t>
      </w:r>
      <w:r>
        <w:rPr>
          <w:color w:val="000000"/>
          <w:sz w:val="24"/>
          <w:szCs w:val="24"/>
        </w:rPr>
        <w:t>Performance Indicators (PI’s) or Service Levels, or to any increase in the Charges to the extent that a Disaster occurs as a consequence of any breach by the Supplier of this Contract.</w:t>
      </w:r>
    </w:p>
    <w:p w:rsidR="007D15B3" w:rsidRDefault="005A17EA">
      <w:pPr>
        <w:keepNext/>
        <w:numPr>
          <w:ilvl w:val="0"/>
          <w:numId w:val="2"/>
        </w:numPr>
        <w:pBdr>
          <w:top w:val="nil"/>
          <w:left w:val="nil"/>
          <w:bottom w:val="nil"/>
          <w:right w:val="nil"/>
          <w:between w:val="nil"/>
        </w:pBdr>
        <w:tabs>
          <w:tab w:val="left" w:pos="0"/>
        </w:tabs>
        <w:spacing w:before="240"/>
        <w:jc w:val="left"/>
        <w:rPr>
          <w:b/>
          <w:smallCaps/>
          <w:color w:val="000000"/>
          <w:sz w:val="24"/>
          <w:szCs w:val="24"/>
        </w:rPr>
      </w:pPr>
      <w:r>
        <w:rPr>
          <w:rFonts w:ascii="Arial Bold" w:eastAsia="Arial Bold" w:hAnsi="Arial Bold" w:cs="Arial Bold"/>
          <w:b/>
          <w:color w:val="000000"/>
          <w:sz w:val="24"/>
          <w:szCs w:val="24"/>
        </w:rPr>
        <w:t>Business Continuity (Section 2)</w:t>
      </w:r>
    </w:p>
    <w:p w:rsidR="007D15B3" w:rsidRDefault="005A17EA">
      <w:pPr>
        <w:numPr>
          <w:ilvl w:val="1"/>
          <w:numId w:val="2"/>
        </w:numPr>
        <w:pBdr>
          <w:top w:val="nil"/>
          <w:left w:val="nil"/>
          <w:bottom w:val="nil"/>
          <w:right w:val="nil"/>
          <w:between w:val="nil"/>
        </w:pBdr>
        <w:spacing w:before="120" w:after="120"/>
        <w:jc w:val="left"/>
        <w:rPr>
          <w:color w:val="000000"/>
          <w:sz w:val="24"/>
          <w:szCs w:val="24"/>
        </w:rPr>
      </w:pPr>
      <w:bookmarkStart w:id="12" w:name="_heading=h.4d34og8" w:colFirst="0" w:colLast="0"/>
      <w:bookmarkEnd w:id="12"/>
      <w:r>
        <w:rPr>
          <w:color w:val="000000"/>
          <w:sz w:val="24"/>
          <w:szCs w:val="24"/>
        </w:rPr>
        <w:t xml:space="preserve">The Business Continuity Plan shall set </w:t>
      </w:r>
      <w:r>
        <w:rPr>
          <w:color w:val="000000"/>
          <w:sz w:val="24"/>
          <w:szCs w:val="24"/>
        </w:rPr>
        <w:t>out the arrangements that are to be invoked to ensure that the business processes facilitated by the provision of Deliverables remain supported and to ensure continuity of the business operations supported by the Services including:</w:t>
      </w:r>
    </w:p>
    <w:p w:rsidR="007D15B3" w:rsidRDefault="005A17EA">
      <w:pPr>
        <w:numPr>
          <w:ilvl w:val="2"/>
          <w:numId w:val="2"/>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the alternative process</w:t>
      </w:r>
      <w:r>
        <w:rPr>
          <w:color w:val="000000"/>
          <w:sz w:val="24"/>
          <w:szCs w:val="24"/>
        </w:rPr>
        <w:t>es, options and responsibilities that may be adopted in the event of a failure in or disruption to the provision of Deliverables; and</w:t>
      </w:r>
    </w:p>
    <w:p w:rsidR="007D15B3" w:rsidRDefault="005A17EA">
      <w:pPr>
        <w:numPr>
          <w:ilvl w:val="2"/>
          <w:numId w:val="2"/>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the steps to be taken by the Supplier upon resumption of the provision of Deliverables in order to address the effect of t</w:t>
      </w:r>
      <w:r>
        <w:rPr>
          <w:color w:val="000000"/>
          <w:sz w:val="24"/>
          <w:szCs w:val="24"/>
        </w:rPr>
        <w:t>he failure or disruption.</w:t>
      </w:r>
    </w:p>
    <w:p w:rsidR="007D15B3" w:rsidRDefault="005A17EA">
      <w:pPr>
        <w:keepNext/>
        <w:numPr>
          <w:ilvl w:val="1"/>
          <w:numId w:val="2"/>
        </w:numPr>
        <w:pBdr>
          <w:top w:val="nil"/>
          <w:left w:val="nil"/>
          <w:bottom w:val="nil"/>
          <w:right w:val="nil"/>
          <w:between w:val="nil"/>
        </w:pBdr>
        <w:spacing w:before="120" w:after="120"/>
        <w:jc w:val="left"/>
        <w:rPr>
          <w:color w:val="000000"/>
          <w:sz w:val="24"/>
          <w:szCs w:val="24"/>
        </w:rPr>
      </w:pPr>
      <w:r>
        <w:rPr>
          <w:color w:val="000000"/>
          <w:sz w:val="24"/>
          <w:szCs w:val="24"/>
        </w:rPr>
        <w:t>The Business Continuity Plan shall:</w:t>
      </w:r>
    </w:p>
    <w:p w:rsidR="007D15B3" w:rsidRDefault="005A17EA">
      <w:pPr>
        <w:numPr>
          <w:ilvl w:val="2"/>
          <w:numId w:val="2"/>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address the various possible levels of failures of or disruptions to the provision of Deliverables;</w:t>
      </w:r>
    </w:p>
    <w:p w:rsidR="007D15B3" w:rsidRDefault="005A17EA">
      <w:pPr>
        <w:numPr>
          <w:ilvl w:val="2"/>
          <w:numId w:val="2"/>
        </w:numPr>
        <w:pBdr>
          <w:top w:val="nil"/>
          <w:left w:val="nil"/>
          <w:bottom w:val="nil"/>
          <w:right w:val="nil"/>
          <w:between w:val="nil"/>
        </w:pBdr>
        <w:tabs>
          <w:tab w:val="left" w:pos="1985"/>
          <w:tab w:val="left" w:pos="2127"/>
        </w:tabs>
        <w:spacing w:before="120" w:after="120"/>
        <w:jc w:val="left"/>
        <w:rPr>
          <w:color w:val="000000"/>
          <w:sz w:val="24"/>
          <w:szCs w:val="24"/>
        </w:rPr>
      </w:pPr>
      <w:bookmarkStart w:id="13" w:name="_heading=h.2s8eyo1" w:colFirst="0" w:colLast="0"/>
      <w:bookmarkEnd w:id="13"/>
      <w:r>
        <w:rPr>
          <w:color w:val="000000"/>
          <w:sz w:val="24"/>
          <w:szCs w:val="24"/>
        </w:rPr>
        <w:t>set out the goods and/or services to be provided and the steps to be taken to remedy the different levels of failures of and disruption to the Deliverables;</w:t>
      </w:r>
    </w:p>
    <w:p w:rsidR="007D15B3" w:rsidRDefault="005A17EA">
      <w:pPr>
        <w:numPr>
          <w:ilvl w:val="2"/>
          <w:numId w:val="2"/>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specify any applicable Performance Indicators with respect to the provision of the Business Continu</w:t>
      </w:r>
      <w:r>
        <w:rPr>
          <w:color w:val="000000"/>
          <w:sz w:val="24"/>
          <w:szCs w:val="24"/>
        </w:rPr>
        <w:t>ity Services and details of any agreed relaxation to the Performance Indicators (PI’s) or Service Levels in respect of the provision of other Deliverables during any period of invocation of the Business Continuity Plan; and</w:t>
      </w:r>
    </w:p>
    <w:p w:rsidR="007D15B3" w:rsidRDefault="005A17EA">
      <w:pPr>
        <w:numPr>
          <w:ilvl w:val="2"/>
          <w:numId w:val="2"/>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set out the circumstances in whi</w:t>
      </w:r>
      <w:r>
        <w:rPr>
          <w:color w:val="000000"/>
          <w:sz w:val="24"/>
          <w:szCs w:val="24"/>
        </w:rPr>
        <w:t>ch the Business Continuity Plan is invoked.</w:t>
      </w:r>
    </w:p>
    <w:p w:rsidR="007D15B3" w:rsidRDefault="005A17EA">
      <w:pPr>
        <w:keepNext/>
        <w:numPr>
          <w:ilvl w:val="0"/>
          <w:numId w:val="2"/>
        </w:numPr>
        <w:pBdr>
          <w:top w:val="nil"/>
          <w:left w:val="nil"/>
          <w:bottom w:val="nil"/>
          <w:right w:val="nil"/>
          <w:between w:val="nil"/>
        </w:pBdr>
        <w:tabs>
          <w:tab w:val="left" w:pos="0"/>
        </w:tabs>
        <w:spacing w:before="240"/>
        <w:jc w:val="left"/>
        <w:rPr>
          <w:b/>
          <w:smallCaps/>
          <w:color w:val="000000"/>
          <w:sz w:val="24"/>
          <w:szCs w:val="24"/>
        </w:rPr>
      </w:pPr>
      <w:r>
        <w:rPr>
          <w:rFonts w:ascii="Arial Bold" w:eastAsia="Arial Bold" w:hAnsi="Arial Bold" w:cs="Arial Bold"/>
          <w:b/>
          <w:color w:val="000000"/>
          <w:sz w:val="24"/>
          <w:szCs w:val="24"/>
        </w:rPr>
        <w:lastRenderedPageBreak/>
        <w:t>Disaster Recovery (Section 3)</w:t>
      </w:r>
    </w:p>
    <w:p w:rsidR="007D15B3" w:rsidRDefault="005A17EA">
      <w:pPr>
        <w:numPr>
          <w:ilvl w:val="1"/>
          <w:numId w:val="2"/>
        </w:numPr>
        <w:pBdr>
          <w:top w:val="nil"/>
          <w:left w:val="nil"/>
          <w:bottom w:val="nil"/>
          <w:right w:val="nil"/>
          <w:between w:val="nil"/>
        </w:pBdr>
        <w:spacing w:before="120" w:after="120"/>
        <w:jc w:val="left"/>
        <w:rPr>
          <w:color w:val="000000"/>
          <w:sz w:val="24"/>
          <w:szCs w:val="24"/>
        </w:rPr>
      </w:pPr>
      <w:bookmarkStart w:id="14" w:name="_heading=h.17dp8vu" w:colFirst="0" w:colLast="0"/>
      <w:bookmarkEnd w:id="14"/>
      <w:r>
        <w:rPr>
          <w:color w:val="000000"/>
          <w:sz w:val="24"/>
          <w:szCs w:val="24"/>
        </w:rPr>
        <w:t xml:space="preserve">The Disaster Recovery Plan (which shall be invoked only upon the occurrence of a Disaster) shall be designed to ensure that upon the occurrence of a Disaster the Supplier ensures continuity of the business operations of the Buyer supported by the Services </w:t>
      </w:r>
      <w:r>
        <w:rPr>
          <w:color w:val="000000"/>
          <w:sz w:val="24"/>
          <w:szCs w:val="24"/>
        </w:rPr>
        <w:t>following any Disaster or during any period of service failure or disruption with, as far as reasonably possible, minimal adverse impact.</w:t>
      </w:r>
    </w:p>
    <w:p w:rsidR="007D15B3" w:rsidRDefault="005A17EA">
      <w:pPr>
        <w:keepNext/>
        <w:numPr>
          <w:ilvl w:val="1"/>
          <w:numId w:val="2"/>
        </w:numPr>
        <w:pBdr>
          <w:top w:val="nil"/>
          <w:left w:val="nil"/>
          <w:bottom w:val="nil"/>
          <w:right w:val="nil"/>
          <w:between w:val="nil"/>
        </w:pBdr>
        <w:spacing w:before="120" w:after="120"/>
        <w:jc w:val="left"/>
        <w:rPr>
          <w:color w:val="000000"/>
          <w:sz w:val="24"/>
          <w:szCs w:val="24"/>
        </w:rPr>
      </w:pPr>
      <w:r>
        <w:rPr>
          <w:color w:val="000000"/>
          <w:sz w:val="24"/>
          <w:szCs w:val="24"/>
        </w:rPr>
        <w:t>The Supplier's BCDR Plan shall include an approach to business continuity and disaster recovery that addresses the fol</w:t>
      </w:r>
      <w:r>
        <w:rPr>
          <w:color w:val="000000"/>
          <w:sz w:val="24"/>
          <w:szCs w:val="24"/>
        </w:rPr>
        <w:t>lowing:</w:t>
      </w:r>
    </w:p>
    <w:p w:rsidR="007D15B3" w:rsidRDefault="005A17EA">
      <w:pPr>
        <w:numPr>
          <w:ilvl w:val="2"/>
          <w:numId w:val="2"/>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loss of access to the Buyer Premises;</w:t>
      </w:r>
    </w:p>
    <w:p w:rsidR="007D15B3" w:rsidRDefault="005A17EA">
      <w:pPr>
        <w:numPr>
          <w:ilvl w:val="2"/>
          <w:numId w:val="2"/>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loss of utilities to the Buyer Premises;</w:t>
      </w:r>
    </w:p>
    <w:p w:rsidR="007D15B3" w:rsidRDefault="005A17EA">
      <w:pPr>
        <w:numPr>
          <w:ilvl w:val="2"/>
          <w:numId w:val="2"/>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loss of the Supplier's helpdesk or CAFM system;</w:t>
      </w:r>
    </w:p>
    <w:p w:rsidR="007D15B3" w:rsidRDefault="005A17EA">
      <w:pPr>
        <w:numPr>
          <w:ilvl w:val="2"/>
          <w:numId w:val="2"/>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loss of a Subcontractor;</w:t>
      </w:r>
    </w:p>
    <w:p w:rsidR="007D15B3" w:rsidRDefault="005A17EA">
      <w:pPr>
        <w:numPr>
          <w:ilvl w:val="2"/>
          <w:numId w:val="2"/>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emergency notification and escalation process;</w:t>
      </w:r>
    </w:p>
    <w:p w:rsidR="007D15B3" w:rsidRDefault="005A17EA">
      <w:pPr>
        <w:numPr>
          <w:ilvl w:val="2"/>
          <w:numId w:val="2"/>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contact lists;</w:t>
      </w:r>
    </w:p>
    <w:p w:rsidR="007D15B3" w:rsidRDefault="005A17EA">
      <w:pPr>
        <w:numPr>
          <w:ilvl w:val="2"/>
          <w:numId w:val="2"/>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staff training and awareness;</w:t>
      </w:r>
    </w:p>
    <w:p w:rsidR="007D15B3" w:rsidRDefault="005A17EA">
      <w:pPr>
        <w:numPr>
          <w:ilvl w:val="2"/>
          <w:numId w:val="2"/>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 xml:space="preserve">BCDR Plan testing; </w:t>
      </w:r>
    </w:p>
    <w:p w:rsidR="007D15B3" w:rsidRDefault="005A17EA">
      <w:pPr>
        <w:numPr>
          <w:ilvl w:val="2"/>
          <w:numId w:val="2"/>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 xml:space="preserve">post implementation review process; </w:t>
      </w:r>
    </w:p>
    <w:p w:rsidR="007D15B3" w:rsidRDefault="005A17EA">
      <w:pPr>
        <w:numPr>
          <w:ilvl w:val="2"/>
          <w:numId w:val="2"/>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any applicable Performance Indicators (PI’s) with respect to the provision of the disaster recovery services and details of any agreed relaxation to the Performance Indicators (PI’s) or Service Levels in respect of the provision of other Deliverables durin</w:t>
      </w:r>
      <w:r>
        <w:rPr>
          <w:color w:val="000000"/>
          <w:sz w:val="24"/>
          <w:szCs w:val="24"/>
        </w:rPr>
        <w:t>g any period of invocation of the Disaster Recovery Plan;</w:t>
      </w:r>
    </w:p>
    <w:p w:rsidR="007D15B3" w:rsidRDefault="005A17EA">
      <w:pPr>
        <w:numPr>
          <w:ilvl w:val="2"/>
          <w:numId w:val="2"/>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details of how the Supplier shall ensure compliance with security standards ensuring that compliance is maintained for any period during which the Disaster Recovery Plan is invoked;</w:t>
      </w:r>
    </w:p>
    <w:p w:rsidR="007D15B3" w:rsidRDefault="005A17EA">
      <w:pPr>
        <w:numPr>
          <w:ilvl w:val="2"/>
          <w:numId w:val="2"/>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 xml:space="preserve">access controls </w:t>
      </w:r>
      <w:r>
        <w:rPr>
          <w:color w:val="000000"/>
          <w:sz w:val="24"/>
          <w:szCs w:val="24"/>
        </w:rPr>
        <w:t>to any disaster recovery sites used by the Supplier in relation to its obligations pursuant to this Schedule; and</w:t>
      </w:r>
    </w:p>
    <w:p w:rsidR="007D15B3" w:rsidRDefault="005A17EA">
      <w:pPr>
        <w:numPr>
          <w:ilvl w:val="2"/>
          <w:numId w:val="2"/>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testing and management arrangements.</w:t>
      </w:r>
    </w:p>
    <w:p w:rsidR="007D15B3" w:rsidRDefault="005A17EA">
      <w:pPr>
        <w:keepNext/>
        <w:numPr>
          <w:ilvl w:val="0"/>
          <w:numId w:val="2"/>
        </w:numPr>
        <w:pBdr>
          <w:top w:val="nil"/>
          <w:left w:val="nil"/>
          <w:bottom w:val="nil"/>
          <w:right w:val="nil"/>
          <w:between w:val="nil"/>
        </w:pBdr>
        <w:tabs>
          <w:tab w:val="left" w:pos="0"/>
        </w:tabs>
        <w:spacing w:before="240"/>
        <w:jc w:val="left"/>
        <w:rPr>
          <w:b/>
          <w:smallCaps/>
          <w:color w:val="000000"/>
          <w:sz w:val="24"/>
          <w:szCs w:val="24"/>
        </w:rPr>
      </w:pPr>
      <w:r>
        <w:rPr>
          <w:rFonts w:ascii="Arial Bold" w:eastAsia="Arial Bold" w:hAnsi="Arial Bold" w:cs="Arial Bold"/>
          <w:b/>
          <w:color w:val="000000"/>
          <w:sz w:val="24"/>
          <w:szCs w:val="24"/>
        </w:rPr>
        <w:t>Review and changing the BCDR Plan</w:t>
      </w:r>
    </w:p>
    <w:p w:rsidR="007D15B3" w:rsidRDefault="005A17EA">
      <w:pPr>
        <w:keepNext/>
        <w:numPr>
          <w:ilvl w:val="1"/>
          <w:numId w:val="2"/>
        </w:numPr>
        <w:pBdr>
          <w:top w:val="nil"/>
          <w:left w:val="nil"/>
          <w:bottom w:val="nil"/>
          <w:right w:val="nil"/>
          <w:between w:val="nil"/>
        </w:pBdr>
        <w:spacing w:before="120" w:after="120"/>
        <w:jc w:val="left"/>
        <w:rPr>
          <w:color w:val="000000"/>
          <w:sz w:val="24"/>
          <w:szCs w:val="24"/>
        </w:rPr>
      </w:pPr>
      <w:bookmarkStart w:id="15" w:name="_heading=h.3rdcrjn" w:colFirst="0" w:colLast="0"/>
      <w:bookmarkEnd w:id="15"/>
      <w:r>
        <w:rPr>
          <w:color w:val="000000"/>
          <w:sz w:val="24"/>
          <w:szCs w:val="24"/>
        </w:rPr>
        <w:t>The Supplier shall review the BCDR Plan:</w:t>
      </w:r>
    </w:p>
    <w:p w:rsidR="007D15B3" w:rsidRDefault="005A17EA">
      <w:pPr>
        <w:numPr>
          <w:ilvl w:val="2"/>
          <w:numId w:val="2"/>
        </w:numPr>
        <w:pBdr>
          <w:top w:val="nil"/>
          <w:left w:val="nil"/>
          <w:bottom w:val="nil"/>
          <w:right w:val="nil"/>
          <w:between w:val="nil"/>
        </w:pBdr>
        <w:tabs>
          <w:tab w:val="left" w:pos="1985"/>
          <w:tab w:val="left" w:pos="2127"/>
        </w:tabs>
        <w:spacing w:before="120" w:after="120"/>
        <w:jc w:val="left"/>
        <w:rPr>
          <w:color w:val="000000"/>
          <w:sz w:val="24"/>
          <w:szCs w:val="24"/>
        </w:rPr>
      </w:pPr>
      <w:bookmarkStart w:id="16" w:name="_heading=h.26in1rg" w:colFirst="0" w:colLast="0"/>
      <w:bookmarkEnd w:id="16"/>
      <w:r>
        <w:rPr>
          <w:color w:val="000000"/>
          <w:sz w:val="24"/>
          <w:szCs w:val="24"/>
        </w:rPr>
        <w:t>on a regular basis and as a mi</w:t>
      </w:r>
      <w:r>
        <w:rPr>
          <w:color w:val="000000"/>
          <w:sz w:val="24"/>
          <w:szCs w:val="24"/>
        </w:rPr>
        <w:t>nimum once every six (6) Months;</w:t>
      </w:r>
    </w:p>
    <w:p w:rsidR="007D15B3" w:rsidRDefault="005A17EA">
      <w:pPr>
        <w:numPr>
          <w:ilvl w:val="2"/>
          <w:numId w:val="2"/>
        </w:numPr>
        <w:pBdr>
          <w:top w:val="nil"/>
          <w:left w:val="nil"/>
          <w:bottom w:val="nil"/>
          <w:right w:val="nil"/>
          <w:between w:val="nil"/>
        </w:pBdr>
        <w:tabs>
          <w:tab w:val="left" w:pos="1985"/>
          <w:tab w:val="left" w:pos="2127"/>
        </w:tabs>
        <w:spacing w:before="120" w:after="120"/>
        <w:jc w:val="left"/>
        <w:rPr>
          <w:color w:val="000000"/>
          <w:sz w:val="24"/>
          <w:szCs w:val="24"/>
        </w:rPr>
      </w:pPr>
      <w:bookmarkStart w:id="17" w:name="_heading=h.lnxbz9" w:colFirst="0" w:colLast="0"/>
      <w:bookmarkEnd w:id="17"/>
      <w:r>
        <w:rPr>
          <w:color w:val="000000"/>
          <w:sz w:val="24"/>
          <w:szCs w:val="24"/>
        </w:rPr>
        <w:t>within three (3) calendar Months of the BCDR Plan (or any part) having been invoked pursuant to Paragraph 7; and</w:t>
      </w:r>
    </w:p>
    <w:p w:rsidR="007D15B3" w:rsidRDefault="005A17EA">
      <w:pPr>
        <w:numPr>
          <w:ilvl w:val="2"/>
          <w:numId w:val="2"/>
        </w:numPr>
        <w:pBdr>
          <w:top w:val="nil"/>
          <w:left w:val="nil"/>
          <w:bottom w:val="nil"/>
          <w:right w:val="nil"/>
          <w:between w:val="nil"/>
        </w:pBdr>
        <w:tabs>
          <w:tab w:val="left" w:pos="1985"/>
          <w:tab w:val="left" w:pos="2127"/>
        </w:tabs>
        <w:spacing w:before="120" w:after="120"/>
        <w:jc w:val="left"/>
        <w:rPr>
          <w:color w:val="000000"/>
          <w:sz w:val="24"/>
          <w:szCs w:val="24"/>
        </w:rPr>
      </w:pPr>
      <w:bookmarkStart w:id="18" w:name="_heading=h.35nkun2" w:colFirst="0" w:colLast="0"/>
      <w:bookmarkEnd w:id="18"/>
      <w:r>
        <w:rPr>
          <w:color w:val="000000"/>
          <w:sz w:val="24"/>
          <w:szCs w:val="24"/>
        </w:rPr>
        <w:t>where the Buyer requests in writing any additional reviews (over and above those provided for in Paragraphs 5.1.1 and 5.1.2 of this Schedule) whereupon the Supplier shall conduct such reviews in accordance with the Buyer’s written requirements. Prior to st</w:t>
      </w:r>
      <w:r>
        <w:rPr>
          <w:color w:val="000000"/>
          <w:sz w:val="24"/>
          <w:szCs w:val="24"/>
        </w:rPr>
        <w:t xml:space="preserve">arting its review, the Supplier shall provide an accurate written estimate of the </w:t>
      </w:r>
      <w:r>
        <w:rPr>
          <w:color w:val="000000"/>
          <w:sz w:val="24"/>
          <w:szCs w:val="24"/>
        </w:rPr>
        <w:lastRenderedPageBreak/>
        <w:t xml:space="preserve">total </w:t>
      </w:r>
      <w:proofErr w:type="gramStart"/>
      <w:r>
        <w:rPr>
          <w:color w:val="000000"/>
          <w:sz w:val="24"/>
          <w:szCs w:val="24"/>
        </w:rPr>
        <w:t>costs</w:t>
      </w:r>
      <w:proofErr w:type="gramEnd"/>
      <w:r>
        <w:rPr>
          <w:color w:val="000000"/>
          <w:sz w:val="24"/>
          <w:szCs w:val="24"/>
        </w:rPr>
        <w:t xml:space="preserve"> payable by the Buyer for the Buyer’s approval.  The costs of both Parties of any such additional reviews shall be met by the Buyer except that the Supplier shall </w:t>
      </w:r>
      <w:r>
        <w:rPr>
          <w:color w:val="000000"/>
          <w:sz w:val="24"/>
          <w:szCs w:val="24"/>
        </w:rPr>
        <w:t xml:space="preserve">not be entitled to charge the Buyer for any costs that it may incur above any estimate without the Buyer’s prior written approval. </w:t>
      </w:r>
    </w:p>
    <w:p w:rsidR="007D15B3" w:rsidRDefault="005A17EA">
      <w:pPr>
        <w:numPr>
          <w:ilvl w:val="1"/>
          <w:numId w:val="2"/>
        </w:numPr>
        <w:pBdr>
          <w:top w:val="nil"/>
          <w:left w:val="nil"/>
          <w:bottom w:val="nil"/>
          <w:right w:val="nil"/>
          <w:between w:val="nil"/>
        </w:pBdr>
        <w:spacing w:before="120" w:after="120"/>
        <w:jc w:val="left"/>
        <w:rPr>
          <w:color w:val="000000"/>
          <w:sz w:val="24"/>
          <w:szCs w:val="24"/>
        </w:rPr>
      </w:pPr>
      <w:bookmarkStart w:id="19" w:name="_heading=h.1ksv4uv" w:colFirst="0" w:colLast="0"/>
      <w:bookmarkEnd w:id="19"/>
      <w:r>
        <w:rPr>
          <w:color w:val="000000"/>
          <w:sz w:val="24"/>
          <w:szCs w:val="24"/>
        </w:rPr>
        <w:t>Each review of the BCDR Plan pursuant to Paragraph 5.1 shall assess its suitability having regard to any change to the Deliv</w:t>
      </w:r>
      <w:r>
        <w:rPr>
          <w:color w:val="000000"/>
          <w:sz w:val="24"/>
          <w:szCs w:val="24"/>
        </w:rPr>
        <w:t xml:space="preserve">erables or any underlying business processes and operations facilitated by or supported by the Services which have taken place since the later of the original approval of the BCDR Plan or the last review of the BCDR Plan, and shall also have regard to any </w:t>
      </w:r>
      <w:r>
        <w:rPr>
          <w:color w:val="000000"/>
          <w:sz w:val="24"/>
          <w:szCs w:val="24"/>
        </w:rPr>
        <w:t xml:space="preserve">occurrence of any event since that date (or the likelihood of any such event taking place in the foreseeable future) which may increase the likelihood of the need to invoke the BCDR Plan. The review shall be completed by the Supplier within such period as </w:t>
      </w:r>
      <w:r>
        <w:rPr>
          <w:color w:val="000000"/>
          <w:sz w:val="24"/>
          <w:szCs w:val="24"/>
        </w:rPr>
        <w:t xml:space="preserve">the Buyer shall reasonably require.  </w:t>
      </w:r>
    </w:p>
    <w:p w:rsidR="007D15B3" w:rsidRDefault="005A17EA">
      <w:pPr>
        <w:numPr>
          <w:ilvl w:val="1"/>
          <w:numId w:val="2"/>
        </w:numPr>
        <w:pBdr>
          <w:top w:val="nil"/>
          <w:left w:val="nil"/>
          <w:bottom w:val="nil"/>
          <w:right w:val="nil"/>
          <w:between w:val="nil"/>
        </w:pBdr>
        <w:spacing w:before="120" w:after="120"/>
        <w:jc w:val="left"/>
        <w:rPr>
          <w:color w:val="000000"/>
          <w:sz w:val="24"/>
          <w:szCs w:val="24"/>
        </w:rPr>
      </w:pPr>
      <w:bookmarkStart w:id="20" w:name="_heading=h.44sinio" w:colFirst="0" w:colLast="0"/>
      <w:bookmarkEnd w:id="20"/>
      <w:r>
        <w:rPr>
          <w:color w:val="000000"/>
          <w:sz w:val="24"/>
          <w:szCs w:val="24"/>
        </w:rPr>
        <w:t xml:space="preserve">The Supplier shall, within twenty (20) Working Days of the conclusion of each such review of the BCDR Plan, provide to the Buyer a report (a </w:t>
      </w:r>
      <w:r>
        <w:rPr>
          <w:b/>
          <w:color w:val="000000"/>
          <w:sz w:val="24"/>
          <w:szCs w:val="24"/>
        </w:rPr>
        <w:t>"Review Report"</w:t>
      </w:r>
      <w:r>
        <w:rPr>
          <w:color w:val="000000"/>
          <w:sz w:val="24"/>
          <w:szCs w:val="24"/>
        </w:rPr>
        <w:t xml:space="preserve">) setting out the Supplier's proposals (the </w:t>
      </w:r>
      <w:r>
        <w:rPr>
          <w:b/>
          <w:color w:val="000000"/>
          <w:sz w:val="24"/>
          <w:szCs w:val="24"/>
        </w:rPr>
        <w:t>"Supplier's Propos</w:t>
      </w:r>
      <w:r>
        <w:rPr>
          <w:b/>
          <w:color w:val="000000"/>
          <w:sz w:val="24"/>
          <w:szCs w:val="24"/>
        </w:rPr>
        <w:t>als"</w:t>
      </w:r>
      <w:r>
        <w:rPr>
          <w:color w:val="000000"/>
          <w:sz w:val="24"/>
          <w:szCs w:val="24"/>
        </w:rPr>
        <w:t>) for addressing any changes in the risk profile and its proposals for amendments to the BCDR Plan.</w:t>
      </w:r>
    </w:p>
    <w:p w:rsidR="007D15B3" w:rsidRDefault="005A17EA">
      <w:pPr>
        <w:numPr>
          <w:ilvl w:val="1"/>
          <w:numId w:val="2"/>
        </w:numPr>
        <w:pBdr>
          <w:top w:val="nil"/>
          <w:left w:val="nil"/>
          <w:bottom w:val="nil"/>
          <w:right w:val="nil"/>
          <w:between w:val="nil"/>
        </w:pBdr>
        <w:spacing w:before="120" w:after="120"/>
        <w:jc w:val="left"/>
        <w:rPr>
          <w:color w:val="000000"/>
          <w:sz w:val="24"/>
          <w:szCs w:val="24"/>
        </w:rPr>
      </w:pPr>
      <w:bookmarkStart w:id="21" w:name="_heading=h.2jxsxqh" w:colFirst="0" w:colLast="0"/>
      <w:bookmarkEnd w:id="21"/>
      <w:r>
        <w:rPr>
          <w:color w:val="000000"/>
          <w:sz w:val="24"/>
          <w:szCs w:val="24"/>
        </w:rPr>
        <w:t>Following receipt of the Review Report and the Supplier’s Proposals, the Parties shall use reasonable endeavours to agree the Review Report and the Supp</w:t>
      </w:r>
      <w:r>
        <w:rPr>
          <w:color w:val="000000"/>
          <w:sz w:val="24"/>
          <w:szCs w:val="24"/>
        </w:rPr>
        <w:t xml:space="preserve">lier's Proposals. If the Parties are unable to agree Review Report and the Supplier's Proposals within twenty (20) Working Days of its submission, then such Dispute shall be resolved in accordance with the Dispute Resolution Procedure. </w:t>
      </w:r>
    </w:p>
    <w:p w:rsidR="007D15B3" w:rsidRDefault="005A17EA">
      <w:pPr>
        <w:numPr>
          <w:ilvl w:val="1"/>
          <w:numId w:val="2"/>
        </w:numPr>
        <w:pBdr>
          <w:top w:val="nil"/>
          <w:left w:val="nil"/>
          <w:bottom w:val="nil"/>
          <w:right w:val="nil"/>
          <w:between w:val="nil"/>
        </w:pBdr>
        <w:spacing w:before="120" w:after="120"/>
        <w:jc w:val="left"/>
        <w:rPr>
          <w:color w:val="000000"/>
          <w:sz w:val="24"/>
          <w:szCs w:val="24"/>
        </w:rPr>
      </w:pPr>
      <w:r>
        <w:rPr>
          <w:color w:val="000000"/>
          <w:sz w:val="24"/>
          <w:szCs w:val="24"/>
        </w:rPr>
        <w:t xml:space="preserve">The Supplier shall </w:t>
      </w:r>
      <w:r>
        <w:rPr>
          <w:color w:val="000000"/>
          <w:sz w:val="24"/>
          <w:szCs w:val="24"/>
        </w:rPr>
        <w:t xml:space="preserve">as soon as </w:t>
      </w:r>
      <w:proofErr w:type="gramStart"/>
      <w:r>
        <w:rPr>
          <w:color w:val="000000"/>
          <w:sz w:val="24"/>
          <w:szCs w:val="24"/>
        </w:rPr>
        <w:t>is</w:t>
      </w:r>
      <w:proofErr w:type="gramEnd"/>
      <w:r>
        <w:rPr>
          <w:color w:val="000000"/>
          <w:sz w:val="24"/>
          <w:szCs w:val="24"/>
        </w:rPr>
        <w:t xml:space="preserve"> reasonably practicable after receiving the approval of the Supplier's Proposals effect any change in its practices or procedures necessary so as to give effect to the Supplier's Proposals. Any such change shall be at the Supplier’s expense un</w:t>
      </w:r>
      <w:r>
        <w:rPr>
          <w:color w:val="000000"/>
          <w:sz w:val="24"/>
          <w:szCs w:val="24"/>
        </w:rPr>
        <w:t>less it can be reasonably shown that the changes are required because of a material change to the risk profile of the Deliverables.</w:t>
      </w:r>
    </w:p>
    <w:p w:rsidR="007D15B3" w:rsidRDefault="005A17EA">
      <w:pPr>
        <w:keepNext/>
        <w:numPr>
          <w:ilvl w:val="0"/>
          <w:numId w:val="2"/>
        </w:numPr>
        <w:pBdr>
          <w:top w:val="nil"/>
          <w:left w:val="nil"/>
          <w:bottom w:val="nil"/>
          <w:right w:val="nil"/>
          <w:between w:val="nil"/>
        </w:pBdr>
        <w:tabs>
          <w:tab w:val="left" w:pos="0"/>
        </w:tabs>
        <w:spacing w:before="240"/>
        <w:ind w:left="504"/>
        <w:jc w:val="left"/>
        <w:rPr>
          <w:rFonts w:ascii="Arial Bold" w:eastAsia="Arial Bold" w:hAnsi="Arial Bold" w:cs="Arial Bold"/>
          <w:b/>
          <w:color w:val="000000"/>
          <w:sz w:val="24"/>
          <w:szCs w:val="24"/>
        </w:rPr>
      </w:pPr>
      <w:bookmarkStart w:id="22" w:name="_heading=h.z337ya" w:colFirst="0" w:colLast="0"/>
      <w:bookmarkEnd w:id="22"/>
      <w:r>
        <w:rPr>
          <w:rFonts w:ascii="Arial Bold" w:eastAsia="Arial Bold" w:hAnsi="Arial Bold" w:cs="Arial Bold"/>
          <w:b/>
          <w:color w:val="000000"/>
          <w:sz w:val="24"/>
          <w:szCs w:val="24"/>
        </w:rPr>
        <w:t>Testing the BCDR Plan</w:t>
      </w:r>
    </w:p>
    <w:p w:rsidR="007D15B3" w:rsidRDefault="005A17EA">
      <w:pPr>
        <w:keepNext/>
        <w:numPr>
          <w:ilvl w:val="1"/>
          <w:numId w:val="2"/>
        </w:numPr>
        <w:pBdr>
          <w:top w:val="nil"/>
          <w:left w:val="nil"/>
          <w:bottom w:val="nil"/>
          <w:right w:val="nil"/>
          <w:between w:val="nil"/>
        </w:pBdr>
        <w:spacing w:before="120" w:after="120"/>
        <w:jc w:val="left"/>
        <w:rPr>
          <w:color w:val="000000"/>
          <w:sz w:val="24"/>
          <w:szCs w:val="24"/>
        </w:rPr>
      </w:pPr>
      <w:bookmarkStart w:id="23" w:name="_heading=h.3j2qqm3" w:colFirst="0" w:colLast="0"/>
      <w:bookmarkEnd w:id="23"/>
      <w:r>
        <w:rPr>
          <w:color w:val="000000"/>
          <w:sz w:val="24"/>
          <w:szCs w:val="24"/>
        </w:rPr>
        <w:t xml:space="preserve">The Supplier shall test the BCDR Plan: </w:t>
      </w:r>
    </w:p>
    <w:p w:rsidR="007D15B3" w:rsidRDefault="005A17EA">
      <w:pPr>
        <w:numPr>
          <w:ilvl w:val="2"/>
          <w:numId w:val="2"/>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regularly and in any event not less than once in every Contract Year;</w:t>
      </w:r>
    </w:p>
    <w:p w:rsidR="007D15B3" w:rsidRDefault="005A17EA">
      <w:pPr>
        <w:numPr>
          <w:ilvl w:val="2"/>
          <w:numId w:val="2"/>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in the event of any major reconfiguration of the Deliverables</w:t>
      </w:r>
    </w:p>
    <w:p w:rsidR="007D15B3" w:rsidRDefault="005A17EA">
      <w:pPr>
        <w:numPr>
          <w:ilvl w:val="2"/>
          <w:numId w:val="2"/>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 xml:space="preserve">at any time where the Buyer considers it necessary (acting in its sole discretion).  </w:t>
      </w:r>
    </w:p>
    <w:p w:rsidR="007D15B3" w:rsidRDefault="005A17EA">
      <w:pPr>
        <w:numPr>
          <w:ilvl w:val="1"/>
          <w:numId w:val="2"/>
        </w:numPr>
        <w:pBdr>
          <w:top w:val="nil"/>
          <w:left w:val="nil"/>
          <w:bottom w:val="nil"/>
          <w:right w:val="nil"/>
          <w:between w:val="nil"/>
        </w:pBdr>
        <w:spacing w:before="120" w:after="120"/>
        <w:jc w:val="left"/>
        <w:rPr>
          <w:color w:val="000000"/>
          <w:sz w:val="24"/>
          <w:szCs w:val="24"/>
        </w:rPr>
      </w:pPr>
      <w:bookmarkStart w:id="24" w:name="_heading=h.1y810tw" w:colFirst="0" w:colLast="0"/>
      <w:bookmarkEnd w:id="24"/>
      <w:r>
        <w:rPr>
          <w:color w:val="000000"/>
          <w:sz w:val="24"/>
          <w:szCs w:val="24"/>
        </w:rPr>
        <w:t>If the Buyer requires an additional te</w:t>
      </w:r>
      <w:r>
        <w:rPr>
          <w:color w:val="000000"/>
          <w:sz w:val="24"/>
          <w:szCs w:val="24"/>
        </w:rPr>
        <w:t xml:space="preserve">st of the BCDR Plan, it shall give the Supplier written notice and the Supplier shall conduct the test in accordance with the Buyer’s requirements and the relevant provisions of the BCDR Plan.  The Supplier's costs of the additional test shall be borne by </w:t>
      </w:r>
      <w:r>
        <w:rPr>
          <w:color w:val="000000"/>
          <w:sz w:val="24"/>
          <w:szCs w:val="24"/>
        </w:rPr>
        <w:t>the Buyer unless the BCDR Plan fails the additional test in which case the Supplier's costs of that failed test shall be borne by the Supplier.</w:t>
      </w:r>
    </w:p>
    <w:p w:rsidR="007D15B3" w:rsidRDefault="005A17EA">
      <w:pPr>
        <w:numPr>
          <w:ilvl w:val="1"/>
          <w:numId w:val="2"/>
        </w:numPr>
        <w:pBdr>
          <w:top w:val="nil"/>
          <w:left w:val="nil"/>
          <w:bottom w:val="nil"/>
          <w:right w:val="nil"/>
          <w:between w:val="nil"/>
        </w:pBdr>
        <w:spacing w:before="120" w:after="120"/>
        <w:jc w:val="left"/>
        <w:rPr>
          <w:color w:val="000000"/>
          <w:sz w:val="24"/>
          <w:szCs w:val="24"/>
        </w:rPr>
      </w:pPr>
      <w:r>
        <w:rPr>
          <w:color w:val="000000"/>
          <w:sz w:val="24"/>
          <w:szCs w:val="24"/>
        </w:rPr>
        <w:lastRenderedPageBreak/>
        <w:t>The Supplier shall undertake and manage testing of the BCDR Plan in full consultation with and under the supervi</w:t>
      </w:r>
      <w:r>
        <w:rPr>
          <w:color w:val="000000"/>
          <w:sz w:val="24"/>
          <w:szCs w:val="24"/>
        </w:rPr>
        <w:t xml:space="preserve">sion of the Buyer and shall liaise with the Buyer in respect of the planning, performance, and review, of each test, and shall comply with the reasonable requirements of the Buyer. </w:t>
      </w:r>
    </w:p>
    <w:p w:rsidR="007D15B3" w:rsidRDefault="005A17EA">
      <w:pPr>
        <w:numPr>
          <w:ilvl w:val="1"/>
          <w:numId w:val="2"/>
        </w:numPr>
        <w:pBdr>
          <w:top w:val="nil"/>
          <w:left w:val="nil"/>
          <w:bottom w:val="nil"/>
          <w:right w:val="nil"/>
          <w:between w:val="nil"/>
        </w:pBdr>
        <w:spacing w:before="120" w:after="120"/>
        <w:jc w:val="left"/>
        <w:rPr>
          <w:color w:val="000000"/>
          <w:sz w:val="24"/>
          <w:szCs w:val="24"/>
        </w:rPr>
      </w:pPr>
      <w:r>
        <w:rPr>
          <w:color w:val="000000"/>
          <w:sz w:val="24"/>
          <w:szCs w:val="24"/>
        </w:rPr>
        <w:t>The Supplier shall ensure that any use by it or any Subcontractor of "live</w:t>
      </w:r>
      <w:r>
        <w:rPr>
          <w:color w:val="000000"/>
          <w:sz w:val="24"/>
          <w:szCs w:val="24"/>
        </w:rPr>
        <w:t>" data in such testing is first approved with the Buyer. Copies of live test data used in any such testing shall be (if so required by the Buyer) destroyed or returned to the Buyer on completion of the test.</w:t>
      </w:r>
    </w:p>
    <w:p w:rsidR="007D15B3" w:rsidRDefault="005A17EA">
      <w:pPr>
        <w:keepNext/>
        <w:numPr>
          <w:ilvl w:val="1"/>
          <w:numId w:val="2"/>
        </w:numPr>
        <w:pBdr>
          <w:top w:val="nil"/>
          <w:left w:val="nil"/>
          <w:bottom w:val="nil"/>
          <w:right w:val="nil"/>
          <w:between w:val="nil"/>
        </w:pBdr>
        <w:spacing w:before="120" w:after="120"/>
        <w:jc w:val="left"/>
        <w:rPr>
          <w:color w:val="000000"/>
          <w:sz w:val="24"/>
          <w:szCs w:val="24"/>
        </w:rPr>
      </w:pPr>
      <w:r>
        <w:rPr>
          <w:color w:val="000000"/>
          <w:sz w:val="24"/>
          <w:szCs w:val="24"/>
        </w:rPr>
        <w:t>The Supplier shall, within twenty (20) Working D</w:t>
      </w:r>
      <w:r>
        <w:rPr>
          <w:color w:val="000000"/>
          <w:sz w:val="24"/>
          <w:szCs w:val="24"/>
        </w:rPr>
        <w:t>ays of the conclusion of each test, provide to the Buyer a report setting out:</w:t>
      </w:r>
    </w:p>
    <w:p w:rsidR="007D15B3" w:rsidRDefault="005A17EA">
      <w:pPr>
        <w:numPr>
          <w:ilvl w:val="2"/>
          <w:numId w:val="2"/>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the outcome of the test;</w:t>
      </w:r>
    </w:p>
    <w:p w:rsidR="007D15B3" w:rsidRDefault="005A17EA">
      <w:pPr>
        <w:numPr>
          <w:ilvl w:val="2"/>
          <w:numId w:val="2"/>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any failures in the BCDR Plan (including the BCDR Plan's procedures) revealed by the test; and</w:t>
      </w:r>
    </w:p>
    <w:p w:rsidR="007D15B3" w:rsidRDefault="005A17EA">
      <w:pPr>
        <w:numPr>
          <w:ilvl w:val="2"/>
          <w:numId w:val="2"/>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the Supplier's proposals for remedying any such failures.</w:t>
      </w:r>
    </w:p>
    <w:p w:rsidR="007D15B3" w:rsidRDefault="005A17EA">
      <w:pPr>
        <w:numPr>
          <w:ilvl w:val="1"/>
          <w:numId w:val="2"/>
        </w:numPr>
        <w:pBdr>
          <w:top w:val="nil"/>
          <w:left w:val="nil"/>
          <w:bottom w:val="nil"/>
          <w:right w:val="nil"/>
          <w:between w:val="nil"/>
        </w:pBdr>
        <w:spacing w:before="120" w:after="120"/>
        <w:jc w:val="left"/>
        <w:rPr>
          <w:color w:val="000000"/>
          <w:sz w:val="24"/>
          <w:szCs w:val="24"/>
        </w:rPr>
      </w:pPr>
      <w:bookmarkStart w:id="25" w:name="_heading=h.4i7ojhp" w:colFirst="0" w:colLast="0"/>
      <w:bookmarkEnd w:id="25"/>
      <w:r>
        <w:rPr>
          <w:color w:val="000000"/>
          <w:sz w:val="24"/>
          <w:szCs w:val="24"/>
        </w:rPr>
        <w:t xml:space="preserve">Following each test, the Supplier shall take all measures requested by the Buyer to remedy any failures in the BCDR Plan and such remedial activity and re-testing shall be completed by the Supplier, at its own cost, by the date reasonably required by the </w:t>
      </w:r>
      <w:r>
        <w:rPr>
          <w:color w:val="000000"/>
          <w:sz w:val="24"/>
          <w:szCs w:val="24"/>
        </w:rPr>
        <w:t>Buyer.</w:t>
      </w:r>
    </w:p>
    <w:p w:rsidR="007D15B3" w:rsidRDefault="005A17EA">
      <w:pPr>
        <w:keepNext/>
        <w:numPr>
          <w:ilvl w:val="0"/>
          <w:numId w:val="2"/>
        </w:numPr>
        <w:pBdr>
          <w:top w:val="nil"/>
          <w:left w:val="nil"/>
          <w:bottom w:val="nil"/>
          <w:right w:val="nil"/>
          <w:between w:val="nil"/>
        </w:pBdr>
        <w:tabs>
          <w:tab w:val="left" w:pos="0"/>
        </w:tabs>
        <w:spacing w:before="240"/>
        <w:jc w:val="left"/>
        <w:rPr>
          <w:rFonts w:ascii="Arial Bold" w:eastAsia="Arial Bold" w:hAnsi="Arial Bold" w:cs="Arial Bold"/>
          <w:b/>
          <w:color w:val="000000"/>
          <w:sz w:val="24"/>
          <w:szCs w:val="24"/>
        </w:rPr>
      </w:pPr>
      <w:bookmarkStart w:id="26" w:name="_heading=h.2xcytpi" w:colFirst="0" w:colLast="0"/>
      <w:bookmarkEnd w:id="26"/>
      <w:r>
        <w:rPr>
          <w:rFonts w:ascii="Arial Bold" w:eastAsia="Arial Bold" w:hAnsi="Arial Bold" w:cs="Arial Bold"/>
          <w:b/>
          <w:color w:val="000000"/>
          <w:sz w:val="24"/>
          <w:szCs w:val="24"/>
        </w:rPr>
        <w:t>Invoking the BCDR Plan</w:t>
      </w:r>
    </w:p>
    <w:p w:rsidR="007D15B3" w:rsidRDefault="005A17EA">
      <w:pPr>
        <w:numPr>
          <w:ilvl w:val="1"/>
          <w:numId w:val="2"/>
        </w:numPr>
        <w:pBdr>
          <w:top w:val="nil"/>
          <w:left w:val="nil"/>
          <w:bottom w:val="nil"/>
          <w:right w:val="nil"/>
          <w:between w:val="nil"/>
        </w:pBdr>
        <w:spacing w:before="120" w:after="120"/>
        <w:jc w:val="left"/>
        <w:rPr>
          <w:color w:val="000000"/>
          <w:sz w:val="24"/>
          <w:szCs w:val="24"/>
        </w:rPr>
      </w:pPr>
      <w:r>
        <w:rPr>
          <w:color w:val="000000"/>
          <w:sz w:val="24"/>
          <w:szCs w:val="24"/>
        </w:rPr>
        <w:t xml:space="preserve">In the event of a complete loss of service or in the event of a Disaster, the Supplier shall immediately invoke the BCDR Plan (and shall inform the Buyer promptly of such invocation). In all other instances the Supplier shall </w:t>
      </w:r>
      <w:r>
        <w:rPr>
          <w:color w:val="000000"/>
          <w:sz w:val="24"/>
          <w:szCs w:val="24"/>
        </w:rPr>
        <w:t>invoke or test the BCDR Plan only with the prior consent of the Buyer.</w:t>
      </w:r>
    </w:p>
    <w:p w:rsidR="007D15B3" w:rsidRDefault="005A17EA">
      <w:pPr>
        <w:keepNext/>
        <w:numPr>
          <w:ilvl w:val="0"/>
          <w:numId w:val="2"/>
        </w:numPr>
        <w:pBdr>
          <w:top w:val="nil"/>
          <w:left w:val="nil"/>
          <w:bottom w:val="nil"/>
          <w:right w:val="nil"/>
          <w:between w:val="nil"/>
        </w:pBdr>
        <w:tabs>
          <w:tab w:val="left" w:pos="0"/>
        </w:tabs>
        <w:spacing w:before="240"/>
        <w:jc w:val="left"/>
        <w:rPr>
          <w:rFonts w:ascii="Arial Bold" w:eastAsia="Arial Bold" w:hAnsi="Arial Bold" w:cs="Arial Bold"/>
          <w:b/>
          <w:color w:val="000000"/>
          <w:sz w:val="24"/>
          <w:szCs w:val="24"/>
        </w:rPr>
      </w:pPr>
      <w:r>
        <w:rPr>
          <w:rFonts w:ascii="Arial Bold" w:eastAsia="Arial Bold" w:hAnsi="Arial Bold" w:cs="Arial Bold"/>
          <w:b/>
          <w:color w:val="000000"/>
          <w:sz w:val="24"/>
          <w:szCs w:val="24"/>
        </w:rPr>
        <w:t>Circumstances beyond your control</w:t>
      </w:r>
    </w:p>
    <w:p w:rsidR="007D15B3" w:rsidRDefault="005A17EA">
      <w:pPr>
        <w:numPr>
          <w:ilvl w:val="1"/>
          <w:numId w:val="2"/>
        </w:numPr>
        <w:pBdr>
          <w:top w:val="nil"/>
          <w:left w:val="nil"/>
          <w:bottom w:val="nil"/>
          <w:right w:val="nil"/>
          <w:between w:val="nil"/>
        </w:pBdr>
        <w:spacing w:before="120" w:after="120"/>
        <w:jc w:val="left"/>
        <w:rPr>
          <w:color w:val="000000"/>
          <w:sz w:val="24"/>
          <w:szCs w:val="24"/>
        </w:rPr>
      </w:pPr>
      <w:r>
        <w:rPr>
          <w:color w:val="000000"/>
          <w:sz w:val="24"/>
          <w:szCs w:val="24"/>
        </w:rPr>
        <w:t>The Supplier shall not be entitled to relief under Clause 20 (Circumstances beyond your control) if it would not have been impacted by the Force Majeur</w:t>
      </w:r>
      <w:r>
        <w:rPr>
          <w:color w:val="000000"/>
          <w:sz w:val="24"/>
          <w:szCs w:val="24"/>
        </w:rPr>
        <w:t xml:space="preserve">e Event had it not failed to comply with its obligations under this Schedule. </w:t>
      </w:r>
    </w:p>
    <w:p w:rsidR="007D15B3" w:rsidRDefault="007D15B3">
      <w:pPr>
        <w:pBdr>
          <w:top w:val="nil"/>
          <w:left w:val="nil"/>
          <w:bottom w:val="nil"/>
          <w:right w:val="nil"/>
          <w:between w:val="nil"/>
        </w:pBdr>
        <w:spacing w:before="120" w:after="120"/>
        <w:ind w:firstLine="1418"/>
        <w:jc w:val="left"/>
        <w:rPr>
          <w:color w:val="000000"/>
          <w:sz w:val="24"/>
          <w:szCs w:val="24"/>
        </w:rPr>
      </w:pPr>
    </w:p>
    <w:p w:rsidR="007D15B3" w:rsidRDefault="005A17EA">
      <w:pPr>
        <w:keepNext/>
        <w:numPr>
          <w:ilvl w:val="0"/>
          <w:numId w:val="2"/>
        </w:numPr>
        <w:pBdr>
          <w:top w:val="nil"/>
          <w:left w:val="nil"/>
          <w:bottom w:val="nil"/>
          <w:right w:val="nil"/>
          <w:between w:val="nil"/>
        </w:pBdr>
        <w:tabs>
          <w:tab w:val="left" w:pos="0"/>
        </w:tabs>
        <w:spacing w:before="240"/>
        <w:jc w:val="left"/>
        <w:rPr>
          <w:rFonts w:ascii="Arial Bold" w:eastAsia="Arial Bold" w:hAnsi="Arial Bold" w:cs="Arial Bold"/>
          <w:b/>
          <w:color w:val="000000"/>
          <w:sz w:val="24"/>
          <w:szCs w:val="24"/>
          <w:highlight w:val="yellow"/>
        </w:rPr>
      </w:pPr>
      <w:bookmarkStart w:id="27" w:name="_heading=h.1hmsyys" w:colFirst="0" w:colLast="0"/>
      <w:bookmarkEnd w:id="27"/>
      <w:r>
        <w:rPr>
          <w:rFonts w:ascii="Arial Bold" w:eastAsia="Arial Bold" w:hAnsi="Arial Bold" w:cs="Arial Bold"/>
          <w:b/>
          <w:color w:val="000000"/>
          <w:sz w:val="24"/>
          <w:szCs w:val="24"/>
          <w:highlight w:val="yellow"/>
        </w:rPr>
        <w:t>[Insolvency Continuity Plan (Section 4)</w:t>
      </w:r>
    </w:p>
    <w:p w:rsidR="007D15B3" w:rsidRDefault="005A17EA">
      <w:pPr>
        <w:numPr>
          <w:ilvl w:val="1"/>
          <w:numId w:val="2"/>
        </w:numPr>
        <w:pBdr>
          <w:top w:val="nil"/>
          <w:left w:val="nil"/>
          <w:bottom w:val="nil"/>
          <w:right w:val="nil"/>
          <w:between w:val="nil"/>
        </w:pBdr>
        <w:spacing w:before="120" w:after="120"/>
        <w:rPr>
          <w:color w:val="000000"/>
          <w:sz w:val="24"/>
          <w:szCs w:val="24"/>
          <w:highlight w:val="yellow"/>
        </w:rPr>
      </w:pPr>
      <w:r>
        <w:rPr>
          <w:color w:val="000000"/>
          <w:sz w:val="24"/>
          <w:szCs w:val="24"/>
          <w:highlight w:val="yellow"/>
        </w:rPr>
        <w:t>The Insolvency Continuity Plan shall be designed by the Supplier to permit continuity of the business operations of the Buyer supported by the Deliverables through continued provision of the Deliverables following an Insolvency Event of the Supplier, any K</w:t>
      </w:r>
      <w:r>
        <w:rPr>
          <w:color w:val="000000"/>
          <w:sz w:val="24"/>
          <w:szCs w:val="24"/>
          <w:highlight w:val="yellow"/>
        </w:rPr>
        <w:t>ey Sub-contractor and/or any Supplier Group member with, as far as reasonably possible, minimal adverse impact.</w:t>
      </w:r>
    </w:p>
    <w:p w:rsidR="007D15B3" w:rsidRDefault="005A17EA">
      <w:pPr>
        <w:numPr>
          <w:ilvl w:val="1"/>
          <w:numId w:val="2"/>
        </w:numPr>
        <w:pBdr>
          <w:top w:val="nil"/>
          <w:left w:val="nil"/>
          <w:bottom w:val="nil"/>
          <w:right w:val="nil"/>
          <w:between w:val="nil"/>
        </w:pBdr>
        <w:spacing w:before="120" w:after="120"/>
        <w:rPr>
          <w:color w:val="000000"/>
          <w:sz w:val="24"/>
          <w:szCs w:val="24"/>
          <w:highlight w:val="yellow"/>
        </w:rPr>
      </w:pPr>
      <w:r>
        <w:rPr>
          <w:color w:val="000000"/>
          <w:sz w:val="24"/>
          <w:szCs w:val="24"/>
          <w:highlight w:val="yellow"/>
        </w:rPr>
        <w:t>The Insolvency Continuity Plan shall include the following:</w:t>
      </w:r>
    </w:p>
    <w:p w:rsidR="007D15B3" w:rsidRDefault="005A17EA">
      <w:pPr>
        <w:numPr>
          <w:ilvl w:val="2"/>
          <w:numId w:val="2"/>
        </w:numPr>
        <w:pBdr>
          <w:top w:val="nil"/>
          <w:left w:val="nil"/>
          <w:bottom w:val="nil"/>
          <w:right w:val="nil"/>
          <w:between w:val="nil"/>
        </w:pBdr>
        <w:tabs>
          <w:tab w:val="left" w:pos="1985"/>
          <w:tab w:val="left" w:pos="2127"/>
        </w:tabs>
        <w:spacing w:before="120" w:after="120"/>
        <w:rPr>
          <w:color w:val="000000"/>
          <w:sz w:val="24"/>
          <w:szCs w:val="24"/>
          <w:highlight w:val="yellow"/>
        </w:rPr>
      </w:pPr>
      <w:r>
        <w:rPr>
          <w:color w:val="000000"/>
          <w:sz w:val="24"/>
          <w:szCs w:val="24"/>
          <w:highlight w:val="yellow"/>
        </w:rPr>
        <w:t xml:space="preserve">communication strategies which are designed to minimise the potential disruption to the provision of the Deliverables, including key contact details in respect of the supply chain and key contact details for </w:t>
      </w:r>
      <w:r>
        <w:rPr>
          <w:color w:val="000000"/>
          <w:sz w:val="24"/>
          <w:szCs w:val="24"/>
          <w:highlight w:val="yellow"/>
        </w:rPr>
        <w:lastRenderedPageBreak/>
        <w:t>operational and contract Supplier Staff, Key Sub</w:t>
      </w:r>
      <w:r>
        <w:rPr>
          <w:color w:val="000000"/>
          <w:sz w:val="24"/>
          <w:szCs w:val="24"/>
          <w:highlight w:val="yellow"/>
        </w:rPr>
        <w:t>contractor personnel and Supplier Group member personnel;</w:t>
      </w:r>
    </w:p>
    <w:p w:rsidR="007D15B3" w:rsidRDefault="005A17EA">
      <w:pPr>
        <w:numPr>
          <w:ilvl w:val="2"/>
          <w:numId w:val="2"/>
        </w:numPr>
        <w:pBdr>
          <w:top w:val="nil"/>
          <w:left w:val="nil"/>
          <w:bottom w:val="nil"/>
          <w:right w:val="nil"/>
          <w:between w:val="nil"/>
        </w:pBdr>
        <w:tabs>
          <w:tab w:val="left" w:pos="1985"/>
          <w:tab w:val="left" w:pos="2127"/>
        </w:tabs>
        <w:spacing w:before="120" w:after="120"/>
        <w:rPr>
          <w:color w:val="000000"/>
          <w:sz w:val="24"/>
          <w:szCs w:val="24"/>
          <w:highlight w:val="yellow"/>
        </w:rPr>
      </w:pPr>
      <w:r>
        <w:rPr>
          <w:color w:val="000000"/>
          <w:sz w:val="24"/>
          <w:szCs w:val="24"/>
          <w:highlight w:val="yellow"/>
        </w:rPr>
        <w:t>identification, explanation, assessment and an impact analysis of risks in respect of dependencies between the Supplier, Key Subcontractors and Supplier Group members where failure of those dependen</w:t>
      </w:r>
      <w:r>
        <w:rPr>
          <w:color w:val="000000"/>
          <w:sz w:val="24"/>
          <w:szCs w:val="24"/>
          <w:highlight w:val="yellow"/>
        </w:rPr>
        <w:t>cies could reasonably have an adverse impact on the Deliverables;</w:t>
      </w:r>
    </w:p>
    <w:p w:rsidR="007D15B3" w:rsidRDefault="005A17EA">
      <w:pPr>
        <w:numPr>
          <w:ilvl w:val="2"/>
          <w:numId w:val="2"/>
        </w:numPr>
        <w:pBdr>
          <w:top w:val="nil"/>
          <w:left w:val="nil"/>
          <w:bottom w:val="nil"/>
          <w:right w:val="nil"/>
          <w:between w:val="nil"/>
        </w:pBdr>
        <w:tabs>
          <w:tab w:val="left" w:pos="1985"/>
          <w:tab w:val="left" w:pos="2127"/>
        </w:tabs>
        <w:spacing w:before="120" w:after="120"/>
        <w:rPr>
          <w:color w:val="000000"/>
          <w:sz w:val="24"/>
          <w:szCs w:val="24"/>
          <w:highlight w:val="yellow"/>
        </w:rPr>
      </w:pPr>
      <w:r>
        <w:rPr>
          <w:color w:val="000000"/>
          <w:sz w:val="24"/>
          <w:szCs w:val="24"/>
          <w:highlight w:val="yellow"/>
        </w:rPr>
        <w:t>plans to manage and mitigate identified risks;</w:t>
      </w:r>
    </w:p>
    <w:p w:rsidR="007D15B3" w:rsidRDefault="005A17EA">
      <w:pPr>
        <w:numPr>
          <w:ilvl w:val="2"/>
          <w:numId w:val="2"/>
        </w:numPr>
        <w:pBdr>
          <w:top w:val="nil"/>
          <w:left w:val="nil"/>
          <w:bottom w:val="nil"/>
          <w:right w:val="nil"/>
          <w:between w:val="nil"/>
        </w:pBdr>
        <w:tabs>
          <w:tab w:val="left" w:pos="1985"/>
          <w:tab w:val="left" w:pos="2127"/>
        </w:tabs>
        <w:spacing w:before="120" w:after="120"/>
        <w:rPr>
          <w:color w:val="000000"/>
          <w:sz w:val="24"/>
          <w:szCs w:val="24"/>
          <w:highlight w:val="yellow"/>
        </w:rPr>
      </w:pPr>
      <w:r>
        <w:rPr>
          <w:color w:val="000000"/>
          <w:sz w:val="24"/>
          <w:szCs w:val="24"/>
          <w:highlight w:val="yellow"/>
        </w:rPr>
        <w:t>details of the roles and responsibilities of the Supplier, Key Subcontractors and/or Supplier Group members to minimise and mitigate the effect</w:t>
      </w:r>
      <w:r>
        <w:rPr>
          <w:color w:val="000000"/>
          <w:sz w:val="24"/>
          <w:szCs w:val="24"/>
          <w:highlight w:val="yellow"/>
        </w:rPr>
        <w:t>s of an Insolvency Event of such persons on the Deliverables;</w:t>
      </w:r>
    </w:p>
    <w:p w:rsidR="007D15B3" w:rsidRDefault="005A17EA">
      <w:pPr>
        <w:numPr>
          <w:ilvl w:val="2"/>
          <w:numId w:val="2"/>
        </w:numPr>
        <w:pBdr>
          <w:top w:val="nil"/>
          <w:left w:val="nil"/>
          <w:bottom w:val="nil"/>
          <w:right w:val="nil"/>
          <w:between w:val="nil"/>
        </w:pBdr>
        <w:tabs>
          <w:tab w:val="left" w:pos="1985"/>
          <w:tab w:val="left" w:pos="2127"/>
        </w:tabs>
        <w:spacing w:before="120" w:after="120"/>
        <w:rPr>
          <w:color w:val="000000"/>
          <w:sz w:val="24"/>
          <w:szCs w:val="24"/>
          <w:highlight w:val="yellow"/>
        </w:rPr>
      </w:pPr>
      <w:r>
        <w:rPr>
          <w:color w:val="000000"/>
          <w:sz w:val="24"/>
          <w:szCs w:val="24"/>
          <w:highlight w:val="yellow"/>
        </w:rPr>
        <w:t>details of the recovery team to be put in place by the Supplier (which may include representatives of the Supplier, Key Subcontractors and Supplier Group members); and</w:t>
      </w:r>
    </w:p>
    <w:p w:rsidR="007D15B3" w:rsidRDefault="005A17EA">
      <w:pPr>
        <w:numPr>
          <w:ilvl w:val="2"/>
          <w:numId w:val="2"/>
        </w:numPr>
        <w:pBdr>
          <w:top w:val="nil"/>
          <w:left w:val="nil"/>
          <w:bottom w:val="nil"/>
          <w:right w:val="nil"/>
          <w:between w:val="nil"/>
        </w:pBdr>
        <w:tabs>
          <w:tab w:val="left" w:pos="1985"/>
          <w:tab w:val="left" w:pos="2127"/>
        </w:tabs>
        <w:spacing w:before="120" w:after="120"/>
        <w:rPr>
          <w:color w:val="000000"/>
          <w:sz w:val="24"/>
          <w:szCs w:val="24"/>
          <w:highlight w:val="yellow"/>
        </w:rPr>
      </w:pPr>
      <w:r>
        <w:rPr>
          <w:color w:val="000000"/>
          <w:sz w:val="24"/>
          <w:szCs w:val="24"/>
          <w:highlight w:val="yellow"/>
        </w:rPr>
        <w:t>sufficient detail to enabl</w:t>
      </w:r>
      <w:r>
        <w:rPr>
          <w:color w:val="000000"/>
          <w:sz w:val="24"/>
          <w:szCs w:val="24"/>
          <w:highlight w:val="yellow"/>
        </w:rPr>
        <w:t>e an appointed insolvency practitioner to invoke the plan in the event of an Insolvency Event of the Supplier.</w:t>
      </w:r>
    </w:p>
    <w:p w:rsidR="007D15B3" w:rsidRDefault="005A17EA">
      <w:pPr>
        <w:numPr>
          <w:ilvl w:val="1"/>
          <w:numId w:val="2"/>
        </w:numPr>
        <w:pBdr>
          <w:top w:val="nil"/>
          <w:left w:val="nil"/>
          <w:bottom w:val="nil"/>
          <w:right w:val="nil"/>
          <w:between w:val="nil"/>
        </w:pBdr>
        <w:tabs>
          <w:tab w:val="left" w:pos="1985"/>
          <w:tab w:val="left" w:pos="2127"/>
        </w:tabs>
        <w:spacing w:before="120" w:after="120"/>
        <w:rPr>
          <w:color w:val="000000"/>
          <w:sz w:val="24"/>
          <w:szCs w:val="24"/>
          <w:highlight w:val="yellow"/>
        </w:rPr>
      </w:pPr>
      <w:r>
        <w:rPr>
          <w:color w:val="000000"/>
          <w:sz w:val="24"/>
          <w:szCs w:val="24"/>
          <w:highlight w:val="yellow"/>
        </w:rPr>
        <w:t>Paragraph 2.1.6(c) is amended with the addition of the words:</w:t>
      </w:r>
    </w:p>
    <w:p w:rsidR="007D15B3" w:rsidRDefault="005A17EA">
      <w:pPr>
        <w:pBdr>
          <w:top w:val="nil"/>
          <w:left w:val="nil"/>
          <w:bottom w:val="nil"/>
          <w:right w:val="nil"/>
          <w:between w:val="nil"/>
        </w:pBdr>
        <w:tabs>
          <w:tab w:val="left" w:pos="1985"/>
          <w:tab w:val="left" w:pos="2127"/>
        </w:tabs>
        <w:spacing w:before="120" w:after="120"/>
        <w:ind w:left="720"/>
        <w:rPr>
          <w:color w:val="000000"/>
          <w:sz w:val="24"/>
          <w:szCs w:val="24"/>
          <w:highlight w:val="yellow"/>
        </w:rPr>
      </w:pPr>
      <w:r>
        <w:rPr>
          <w:color w:val="000000"/>
          <w:sz w:val="24"/>
          <w:szCs w:val="24"/>
          <w:highlight w:val="yellow"/>
        </w:rPr>
        <w:t>as may be more fully described in the Insolvency Continuity Plan</w:t>
      </w:r>
    </w:p>
    <w:p w:rsidR="007D15B3" w:rsidRDefault="005A17EA">
      <w:pPr>
        <w:numPr>
          <w:ilvl w:val="1"/>
          <w:numId w:val="2"/>
        </w:numPr>
        <w:pBdr>
          <w:top w:val="nil"/>
          <w:left w:val="nil"/>
          <w:bottom w:val="nil"/>
          <w:right w:val="nil"/>
          <w:between w:val="nil"/>
        </w:pBdr>
        <w:tabs>
          <w:tab w:val="left" w:pos="1985"/>
          <w:tab w:val="left" w:pos="2127"/>
        </w:tabs>
        <w:spacing w:before="120" w:after="120"/>
        <w:rPr>
          <w:color w:val="000000"/>
          <w:sz w:val="24"/>
          <w:szCs w:val="24"/>
          <w:highlight w:val="yellow"/>
        </w:rPr>
      </w:pPr>
      <w:r>
        <w:rPr>
          <w:color w:val="000000"/>
          <w:sz w:val="24"/>
          <w:szCs w:val="24"/>
          <w:highlight w:val="yellow"/>
        </w:rPr>
        <w:t xml:space="preserve">Add new paragraph </w:t>
      </w:r>
      <w:r>
        <w:rPr>
          <w:color w:val="000000"/>
          <w:sz w:val="24"/>
          <w:szCs w:val="24"/>
          <w:highlight w:val="yellow"/>
        </w:rPr>
        <w:t>2.1.15:</w:t>
      </w:r>
    </w:p>
    <w:p w:rsidR="007D15B3" w:rsidRDefault="005A17EA">
      <w:pPr>
        <w:numPr>
          <w:ilvl w:val="2"/>
          <w:numId w:val="3"/>
        </w:numPr>
        <w:pBdr>
          <w:top w:val="nil"/>
          <w:left w:val="nil"/>
          <w:bottom w:val="nil"/>
          <w:right w:val="nil"/>
          <w:between w:val="nil"/>
        </w:pBdr>
        <w:tabs>
          <w:tab w:val="left" w:pos="1985"/>
          <w:tab w:val="left" w:pos="2127"/>
        </w:tabs>
        <w:spacing w:before="120" w:after="120"/>
        <w:jc w:val="left"/>
        <w:rPr>
          <w:rFonts w:eastAsia="Arial"/>
          <w:color w:val="000000"/>
          <w:sz w:val="24"/>
          <w:szCs w:val="24"/>
          <w:highlight w:val="yellow"/>
        </w:rPr>
      </w:pPr>
      <w:r>
        <w:rPr>
          <w:rFonts w:eastAsia="Arial"/>
          <w:color w:val="000000"/>
          <w:sz w:val="24"/>
          <w:szCs w:val="24"/>
          <w:highlight w:val="yellow"/>
        </w:rPr>
        <w:t xml:space="preserve"> set out how the business continuity and disaster recovery elements of the BCDR Plan link to the Insolvency Continuity Plan, and how the Insolvency Continuity Plan links to the business continuity and disaster recovery elements of the BCDR Plan;</w:t>
      </w:r>
    </w:p>
    <w:p w:rsidR="007D15B3" w:rsidRDefault="005A17EA">
      <w:pPr>
        <w:numPr>
          <w:ilvl w:val="1"/>
          <w:numId w:val="2"/>
        </w:numPr>
        <w:pBdr>
          <w:top w:val="nil"/>
          <w:left w:val="nil"/>
          <w:bottom w:val="nil"/>
          <w:right w:val="nil"/>
          <w:between w:val="nil"/>
        </w:pBdr>
        <w:tabs>
          <w:tab w:val="left" w:pos="1985"/>
          <w:tab w:val="left" w:pos="2127"/>
        </w:tabs>
        <w:spacing w:before="120" w:after="120"/>
        <w:rPr>
          <w:color w:val="000000"/>
          <w:sz w:val="24"/>
          <w:szCs w:val="24"/>
          <w:highlight w:val="yellow"/>
        </w:rPr>
      </w:pPr>
      <w:r>
        <w:rPr>
          <w:color w:val="000000"/>
          <w:sz w:val="24"/>
          <w:szCs w:val="24"/>
          <w:highlight w:val="yellow"/>
        </w:rPr>
        <w:t>Add new paragraph 7.2:</w:t>
      </w:r>
    </w:p>
    <w:p w:rsidR="007D15B3" w:rsidRDefault="005A17EA">
      <w:pPr>
        <w:numPr>
          <w:ilvl w:val="1"/>
          <w:numId w:val="4"/>
        </w:numPr>
        <w:pBdr>
          <w:top w:val="nil"/>
          <w:left w:val="nil"/>
          <w:bottom w:val="nil"/>
          <w:right w:val="nil"/>
          <w:between w:val="nil"/>
        </w:pBdr>
        <w:spacing w:before="120" w:after="120"/>
        <w:jc w:val="left"/>
        <w:rPr>
          <w:rFonts w:eastAsia="Arial"/>
          <w:color w:val="000000"/>
          <w:sz w:val="24"/>
          <w:szCs w:val="24"/>
          <w:highlight w:val="yellow"/>
        </w:rPr>
      </w:pPr>
      <w:r>
        <w:rPr>
          <w:rFonts w:eastAsia="Arial"/>
          <w:color w:val="000000"/>
          <w:sz w:val="24"/>
          <w:szCs w:val="24"/>
          <w:highlight w:val="yellow"/>
        </w:rPr>
        <w:t xml:space="preserve"> The Insolvency Continuity Plan element of the BCDR Plan, including any linked elements in other parts of the BCDR Plan, shall be invoked by the Supplier:</w:t>
      </w:r>
    </w:p>
    <w:p w:rsidR="007D15B3" w:rsidRDefault="005A17EA">
      <w:pPr>
        <w:numPr>
          <w:ilvl w:val="2"/>
          <w:numId w:val="4"/>
        </w:numPr>
        <w:pBdr>
          <w:top w:val="nil"/>
          <w:left w:val="nil"/>
          <w:bottom w:val="nil"/>
          <w:right w:val="nil"/>
          <w:between w:val="nil"/>
        </w:pBdr>
        <w:tabs>
          <w:tab w:val="left" w:pos="1985"/>
          <w:tab w:val="left" w:pos="2127"/>
        </w:tabs>
        <w:spacing w:before="120" w:after="120"/>
        <w:ind w:left="1985" w:hanging="851"/>
        <w:jc w:val="left"/>
        <w:rPr>
          <w:color w:val="000000"/>
          <w:sz w:val="24"/>
          <w:szCs w:val="24"/>
          <w:highlight w:val="yellow"/>
        </w:rPr>
      </w:pPr>
      <w:r>
        <w:rPr>
          <w:color w:val="000000"/>
          <w:sz w:val="24"/>
          <w:szCs w:val="24"/>
          <w:highlight w:val="yellow"/>
        </w:rPr>
        <w:t>where an Insolvency Event of a Key Sub-contractor and/or Supplier Group member (other than the Supplier) could reasonably be expected to adversely affect delivery of the Deliverables; and/or</w:t>
      </w:r>
    </w:p>
    <w:p w:rsidR="007D15B3" w:rsidRDefault="005A17EA">
      <w:pPr>
        <w:numPr>
          <w:ilvl w:val="2"/>
          <w:numId w:val="4"/>
        </w:numPr>
        <w:pBdr>
          <w:top w:val="nil"/>
          <w:left w:val="nil"/>
          <w:bottom w:val="nil"/>
          <w:right w:val="nil"/>
          <w:between w:val="nil"/>
        </w:pBdr>
        <w:tabs>
          <w:tab w:val="left" w:pos="1985"/>
          <w:tab w:val="left" w:pos="2127"/>
        </w:tabs>
        <w:spacing w:before="120" w:after="120"/>
        <w:ind w:left="1985" w:hanging="851"/>
        <w:jc w:val="left"/>
        <w:rPr>
          <w:color w:val="000000"/>
          <w:sz w:val="24"/>
          <w:szCs w:val="24"/>
        </w:rPr>
      </w:pPr>
      <w:r>
        <w:rPr>
          <w:color w:val="000000"/>
          <w:sz w:val="24"/>
          <w:szCs w:val="24"/>
          <w:highlight w:val="yellow"/>
        </w:rPr>
        <w:t>where there is an Insolvency Event of the Supplier and the insolv</w:t>
      </w:r>
      <w:r>
        <w:rPr>
          <w:color w:val="000000"/>
          <w:sz w:val="24"/>
          <w:szCs w:val="24"/>
          <w:highlight w:val="yellow"/>
        </w:rPr>
        <w:t>ency arrangements enable the Supplier to invoke the plan.</w:t>
      </w:r>
    </w:p>
    <w:p w:rsidR="007D15B3" w:rsidRDefault="007D15B3">
      <w:pPr>
        <w:pBdr>
          <w:top w:val="nil"/>
          <w:left w:val="nil"/>
          <w:bottom w:val="nil"/>
          <w:right w:val="nil"/>
          <w:between w:val="nil"/>
        </w:pBdr>
        <w:tabs>
          <w:tab w:val="left" w:pos="1985"/>
          <w:tab w:val="left" w:pos="2127"/>
        </w:tabs>
        <w:spacing w:before="120" w:after="120"/>
        <w:ind w:left="720"/>
        <w:rPr>
          <w:color w:val="000000"/>
          <w:sz w:val="24"/>
          <w:szCs w:val="24"/>
          <w:highlight w:val="yellow"/>
        </w:rPr>
      </w:pPr>
    </w:p>
    <w:p w:rsidR="007D15B3" w:rsidRDefault="007D15B3">
      <w:pPr>
        <w:pBdr>
          <w:top w:val="nil"/>
          <w:left w:val="nil"/>
          <w:bottom w:val="nil"/>
          <w:right w:val="nil"/>
          <w:between w:val="nil"/>
        </w:pBdr>
        <w:spacing w:before="120" w:after="120"/>
        <w:ind w:firstLine="1418"/>
        <w:jc w:val="left"/>
        <w:rPr>
          <w:color w:val="000000"/>
          <w:sz w:val="24"/>
          <w:szCs w:val="24"/>
        </w:rPr>
      </w:pPr>
    </w:p>
    <w:p w:rsidR="007D15B3" w:rsidRDefault="005A17EA">
      <w:pPr>
        <w:pBdr>
          <w:top w:val="nil"/>
          <w:left w:val="nil"/>
          <w:bottom w:val="nil"/>
          <w:right w:val="nil"/>
          <w:between w:val="nil"/>
        </w:pBdr>
        <w:spacing w:before="120" w:after="120"/>
        <w:ind w:left="1440"/>
        <w:jc w:val="left"/>
        <w:rPr>
          <w:color w:val="000000"/>
          <w:sz w:val="24"/>
          <w:szCs w:val="24"/>
        </w:rPr>
      </w:pPr>
      <w:r>
        <w:rPr>
          <w:color w:val="000000"/>
          <w:sz w:val="24"/>
          <w:szCs w:val="24"/>
        </w:rPr>
        <w:t>.</w:t>
      </w:r>
    </w:p>
    <w:p w:rsidR="007D15B3" w:rsidRDefault="007D15B3">
      <w:pPr>
        <w:pBdr>
          <w:top w:val="nil"/>
          <w:left w:val="nil"/>
          <w:bottom w:val="nil"/>
          <w:right w:val="nil"/>
          <w:between w:val="nil"/>
        </w:pBdr>
        <w:spacing w:before="120" w:after="120"/>
        <w:ind w:left="0"/>
        <w:jc w:val="left"/>
        <w:rPr>
          <w:color w:val="000000"/>
          <w:sz w:val="24"/>
          <w:szCs w:val="24"/>
        </w:rPr>
      </w:pPr>
      <w:bookmarkStart w:id="28" w:name="_heading=h.23ckvvd" w:colFirst="0" w:colLast="0"/>
      <w:bookmarkEnd w:id="28"/>
    </w:p>
    <w:sectPr w:rsidR="007D15B3">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A17EA" w:rsidRDefault="005A17EA">
      <w:pPr>
        <w:spacing w:after="0"/>
      </w:pPr>
      <w:r>
        <w:separator/>
      </w:r>
    </w:p>
  </w:endnote>
  <w:endnote w:type="continuationSeparator" w:id="0">
    <w:p w:rsidR="005A17EA" w:rsidRDefault="005A17E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auto"/>
    <w:pitch w:val="default"/>
  </w:font>
  <w:font w:name="STZhongsong">
    <w:charset w:val="86"/>
    <w:family w:val="auto"/>
    <w:pitch w:val="variable"/>
    <w:sig w:usb0="00000287" w:usb1="080F0000" w:usb2="00000010" w:usb3="00000000" w:csb0="0004009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15B3" w:rsidRDefault="007D15B3">
    <w:pPr>
      <w:pBdr>
        <w:top w:val="nil"/>
        <w:left w:val="nil"/>
        <w:bottom w:val="nil"/>
        <w:right w:val="nil"/>
        <w:between w:val="nil"/>
      </w:pBdr>
      <w:tabs>
        <w:tab w:val="center" w:pos="4513"/>
        <w:tab w:val="right" w:pos="9026"/>
      </w:tabs>
      <w:spacing w:after="0"/>
      <w:rPr>
        <w:rFonts w:eastAsia="Arial"/>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15B3" w:rsidRDefault="007D15B3">
    <w:pPr>
      <w:tabs>
        <w:tab w:val="center" w:pos="4513"/>
        <w:tab w:val="right" w:pos="9026"/>
      </w:tabs>
      <w:spacing w:after="0"/>
      <w:ind w:left="0"/>
      <w:rPr>
        <w:rFonts w:ascii="Calibri" w:eastAsia="Calibri" w:hAnsi="Calibri" w:cs="Calibri"/>
        <w:color w:val="A6A6A6"/>
      </w:rPr>
    </w:pPr>
  </w:p>
  <w:p w:rsidR="007D15B3" w:rsidRDefault="005A17EA">
    <w:pPr>
      <w:pBdr>
        <w:top w:val="nil"/>
        <w:left w:val="nil"/>
        <w:bottom w:val="nil"/>
        <w:right w:val="nil"/>
        <w:between w:val="nil"/>
      </w:pBdr>
      <w:tabs>
        <w:tab w:val="center" w:pos="4513"/>
        <w:tab w:val="right" w:pos="9026"/>
      </w:tabs>
      <w:spacing w:after="0"/>
      <w:ind w:left="0"/>
      <w:rPr>
        <w:color w:val="000000"/>
        <w:sz w:val="20"/>
        <w:szCs w:val="20"/>
      </w:rPr>
    </w:pPr>
    <w:r>
      <w:rPr>
        <w:color w:val="000000"/>
        <w:sz w:val="20"/>
        <w:szCs w:val="20"/>
      </w:rPr>
      <w:t>Framework Ref: RM6308</w:t>
    </w:r>
  </w:p>
  <w:p w:rsidR="007D15B3" w:rsidRDefault="005A17EA">
    <w:pPr>
      <w:pBdr>
        <w:top w:val="nil"/>
        <w:left w:val="nil"/>
        <w:bottom w:val="nil"/>
        <w:right w:val="nil"/>
        <w:between w:val="nil"/>
      </w:pBdr>
      <w:tabs>
        <w:tab w:val="center" w:pos="4513"/>
        <w:tab w:val="right" w:pos="9026"/>
      </w:tabs>
      <w:spacing w:after="0"/>
      <w:ind w:left="0"/>
      <w:rPr>
        <w:color w:val="000000"/>
        <w:sz w:val="20"/>
        <w:szCs w:val="20"/>
      </w:rPr>
    </w:pPr>
    <w:r>
      <w:rPr>
        <w:color w:val="000000"/>
        <w:sz w:val="20"/>
        <w:szCs w:val="20"/>
      </w:rPr>
      <w:t>Project Version: v1.0</w:t>
    </w:r>
    <w:r>
      <w:rPr>
        <w:color w:val="000000"/>
        <w:sz w:val="20"/>
        <w:szCs w:val="20"/>
      </w:rPr>
      <w:tab/>
    </w:r>
    <w:r>
      <w:rPr>
        <w:color w:val="000000"/>
        <w:sz w:val="20"/>
        <w:szCs w:val="20"/>
      </w:rPr>
      <w:tab/>
      <w:t xml:space="preserve"> </w:t>
    </w:r>
    <w:r>
      <w:rPr>
        <w:color w:val="000000"/>
        <w:sz w:val="20"/>
        <w:szCs w:val="20"/>
      </w:rPr>
      <w:fldChar w:fldCharType="begin"/>
    </w:r>
    <w:r>
      <w:rPr>
        <w:color w:val="000000"/>
        <w:sz w:val="20"/>
        <w:szCs w:val="20"/>
      </w:rPr>
      <w:instrText>PAGE</w:instrText>
    </w:r>
    <w:r w:rsidR="002A2E64">
      <w:rPr>
        <w:color w:val="000000"/>
        <w:sz w:val="20"/>
        <w:szCs w:val="20"/>
      </w:rPr>
      <w:fldChar w:fldCharType="separate"/>
    </w:r>
    <w:r w:rsidR="002A2E64">
      <w:rPr>
        <w:noProof/>
        <w:color w:val="000000"/>
        <w:sz w:val="20"/>
        <w:szCs w:val="20"/>
      </w:rPr>
      <w:t>1</w:t>
    </w:r>
    <w:r>
      <w:rPr>
        <w:color w:val="000000"/>
        <w:sz w:val="20"/>
        <w:szCs w:val="20"/>
      </w:rPr>
      <w:fldChar w:fldCharType="end"/>
    </w:r>
  </w:p>
  <w:p w:rsidR="007D15B3" w:rsidRDefault="005A17EA">
    <w:pPr>
      <w:pBdr>
        <w:top w:val="nil"/>
        <w:left w:val="nil"/>
        <w:bottom w:val="nil"/>
        <w:right w:val="nil"/>
        <w:between w:val="nil"/>
      </w:pBdr>
      <w:tabs>
        <w:tab w:val="left" w:pos="3488"/>
      </w:tabs>
      <w:spacing w:after="0"/>
      <w:ind w:left="0"/>
      <w:rPr>
        <w:color w:val="A6A6A6"/>
        <w:sz w:val="20"/>
        <w:szCs w:val="20"/>
      </w:rPr>
    </w:pPr>
    <w:bookmarkStart w:id="29" w:name="_heading=h.41mghml" w:colFirst="0" w:colLast="0"/>
    <w:bookmarkEnd w:id="29"/>
    <w:r>
      <w:rPr>
        <w:color w:val="000000"/>
        <w:sz w:val="20"/>
        <w:szCs w:val="20"/>
      </w:rPr>
      <w:t>Model Version: v3.</w:t>
    </w:r>
    <w:r>
      <w:rPr>
        <w:sz w:val="20"/>
        <w:szCs w:val="20"/>
      </w:rPr>
      <w:t>5</w:t>
    </w:r>
    <w:r>
      <w:rPr>
        <w:sz w:val="20"/>
        <w:szCs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15B3" w:rsidRDefault="005A17EA">
    <w:pPr>
      <w:pBdr>
        <w:top w:val="nil"/>
        <w:left w:val="nil"/>
        <w:bottom w:val="nil"/>
        <w:right w:val="nil"/>
        <w:between w:val="nil"/>
      </w:pBdr>
      <w:tabs>
        <w:tab w:val="center" w:pos="4513"/>
        <w:tab w:val="right" w:pos="9026"/>
      </w:tabs>
      <w:spacing w:after="0"/>
      <w:ind w:left="0"/>
      <w:rPr>
        <w:color w:val="000000"/>
        <w:sz w:val="20"/>
        <w:szCs w:val="20"/>
      </w:rPr>
    </w:pPr>
    <w:r>
      <w:rPr>
        <w:color w:val="000000"/>
        <w:sz w:val="20"/>
        <w:szCs w:val="20"/>
      </w:rPr>
      <w:t>Framework Ref: RM</w:t>
    </w:r>
    <w:r>
      <w:rPr>
        <w:color w:val="000000"/>
        <w:sz w:val="20"/>
        <w:szCs w:val="20"/>
      </w:rPr>
      <w:tab/>
      <w:t xml:space="preserve">                                           </w:t>
    </w:r>
  </w:p>
  <w:p w:rsidR="007D15B3" w:rsidRDefault="005A17EA">
    <w:pPr>
      <w:pBdr>
        <w:top w:val="nil"/>
        <w:left w:val="nil"/>
        <w:bottom w:val="nil"/>
        <w:right w:val="nil"/>
        <w:between w:val="nil"/>
      </w:pBdr>
      <w:tabs>
        <w:tab w:val="center" w:pos="4513"/>
        <w:tab w:val="right" w:pos="9026"/>
      </w:tabs>
      <w:spacing w:after="0"/>
      <w:ind w:left="0"/>
      <w:rPr>
        <w:color w:val="000000"/>
        <w:sz w:val="20"/>
        <w:szCs w:val="20"/>
      </w:rPr>
    </w:pPr>
    <w:r>
      <w:rPr>
        <w:color w:val="000000"/>
        <w:sz w:val="20"/>
        <w:szCs w:val="20"/>
      </w:rPr>
      <w:t>Project Version: v1.0</w:t>
    </w:r>
    <w:r>
      <w:rPr>
        <w:color w:val="000000"/>
        <w:sz w:val="20"/>
        <w:szCs w:val="20"/>
      </w:rPr>
      <w:tab/>
    </w:r>
    <w:r>
      <w:rPr>
        <w:color w:val="000000"/>
        <w:sz w:val="20"/>
        <w:szCs w:val="20"/>
      </w:rPr>
      <w:tab/>
    </w:r>
    <w:r>
      <w:rPr>
        <w:color w:val="000000"/>
        <w:sz w:val="20"/>
        <w:szCs w:val="20"/>
      </w:rPr>
      <w:tab/>
      <w:t>-</w:t>
    </w:r>
    <w:r>
      <w:rPr>
        <w:color w:val="000000"/>
        <w:sz w:val="20"/>
        <w:szCs w:val="20"/>
      </w:rPr>
      <w:fldChar w:fldCharType="begin"/>
    </w:r>
    <w:r>
      <w:rPr>
        <w:color w:val="000000"/>
        <w:sz w:val="20"/>
        <w:szCs w:val="20"/>
      </w:rPr>
      <w:instrText>PAGE</w:instrText>
    </w:r>
    <w:r>
      <w:rPr>
        <w:color w:val="000000"/>
        <w:sz w:val="20"/>
        <w:szCs w:val="20"/>
      </w:rPr>
      <w:fldChar w:fldCharType="end"/>
    </w:r>
    <w:r>
      <w:rPr>
        <w:color w:val="000000"/>
        <w:sz w:val="20"/>
        <w:szCs w:val="20"/>
      </w:rPr>
      <w:t>-</w:t>
    </w:r>
  </w:p>
  <w:p w:rsidR="007D15B3" w:rsidRDefault="005A17EA">
    <w:pPr>
      <w:pBdr>
        <w:top w:val="nil"/>
        <w:left w:val="nil"/>
        <w:bottom w:val="nil"/>
        <w:right w:val="nil"/>
        <w:between w:val="nil"/>
      </w:pBdr>
      <w:tabs>
        <w:tab w:val="center" w:pos="4513"/>
        <w:tab w:val="right" w:pos="9026"/>
      </w:tabs>
      <w:spacing w:after="0"/>
      <w:ind w:left="0"/>
      <w:rPr>
        <w:color w:val="000000"/>
        <w:sz w:val="20"/>
        <w:szCs w:val="20"/>
      </w:rPr>
    </w:pPr>
    <w:r>
      <w:rPr>
        <w:color w:val="000000"/>
        <w:sz w:val="20"/>
        <w:szCs w:val="20"/>
      </w:rPr>
      <w:t>Model Version: v2.9</w:t>
    </w:r>
    <w:r>
      <w:rPr>
        <w:color w:val="000000"/>
        <w:sz w:val="20"/>
        <w:szCs w:val="20"/>
      </w:rPr>
      <w:tab/>
    </w:r>
    <w:r>
      <w:rPr>
        <w:color w:val="000000"/>
        <w:sz w:val="20"/>
        <w:szCs w:val="20"/>
      </w:rPr>
      <w:tab/>
    </w:r>
    <w:r>
      <w:rPr>
        <w:color w:val="000000"/>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A17EA" w:rsidRDefault="005A17EA">
      <w:pPr>
        <w:spacing w:after="0"/>
      </w:pPr>
      <w:r>
        <w:separator/>
      </w:r>
    </w:p>
  </w:footnote>
  <w:footnote w:type="continuationSeparator" w:id="0">
    <w:p w:rsidR="005A17EA" w:rsidRDefault="005A17E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15B3" w:rsidRDefault="007D15B3">
    <w:pPr>
      <w:pBdr>
        <w:top w:val="nil"/>
        <w:left w:val="nil"/>
        <w:bottom w:val="nil"/>
        <w:right w:val="nil"/>
        <w:between w:val="nil"/>
      </w:pBdr>
      <w:tabs>
        <w:tab w:val="center" w:pos="4513"/>
        <w:tab w:val="right" w:pos="9026"/>
      </w:tabs>
      <w:spacing w:after="0"/>
      <w:rPr>
        <w:rFonts w:eastAsia="Arial"/>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15B3" w:rsidRDefault="005A17EA">
    <w:pPr>
      <w:tabs>
        <w:tab w:val="center" w:pos="4513"/>
        <w:tab w:val="right" w:pos="9026"/>
      </w:tabs>
      <w:spacing w:after="0"/>
      <w:ind w:left="0"/>
      <w:jc w:val="left"/>
      <w:rPr>
        <w:sz w:val="20"/>
        <w:szCs w:val="20"/>
      </w:rPr>
    </w:pPr>
    <w:r>
      <w:rPr>
        <w:b/>
        <w:sz w:val="20"/>
        <w:szCs w:val="20"/>
      </w:rPr>
      <w:t>Call-Off Schedule 8 (Business Continuity and Disaster Recovery)</w:t>
    </w:r>
  </w:p>
  <w:p w:rsidR="007D15B3" w:rsidRDefault="005A17EA">
    <w:pPr>
      <w:tabs>
        <w:tab w:val="center" w:pos="4513"/>
        <w:tab w:val="right" w:pos="9026"/>
      </w:tabs>
      <w:spacing w:after="0"/>
      <w:ind w:left="0"/>
      <w:jc w:val="left"/>
      <w:rPr>
        <w:sz w:val="20"/>
        <w:szCs w:val="20"/>
      </w:rPr>
    </w:pPr>
    <w:r>
      <w:rPr>
        <w:sz w:val="20"/>
        <w:szCs w:val="20"/>
      </w:rPr>
      <w:t>Call-Off Ref:</w:t>
    </w:r>
  </w:p>
  <w:p w:rsidR="007D15B3" w:rsidRDefault="005A17EA">
    <w:pPr>
      <w:tabs>
        <w:tab w:val="center" w:pos="4513"/>
        <w:tab w:val="right" w:pos="9026"/>
      </w:tabs>
      <w:spacing w:after="0"/>
      <w:ind w:left="0"/>
      <w:jc w:val="left"/>
      <w:rPr>
        <w:sz w:val="20"/>
        <w:szCs w:val="20"/>
      </w:rPr>
    </w:pPr>
    <w:r>
      <w:rPr>
        <w:sz w:val="20"/>
        <w:szCs w:val="20"/>
      </w:rPr>
      <w:t>Crown Copyright 2023</w:t>
    </w:r>
  </w:p>
  <w:p w:rsidR="007D15B3" w:rsidRDefault="007D15B3">
    <w:pPr>
      <w:tabs>
        <w:tab w:val="center" w:pos="4513"/>
        <w:tab w:val="right" w:pos="9026"/>
      </w:tabs>
      <w:spacing w:after="0"/>
      <w:ind w:left="0"/>
      <w:jc w:val="left"/>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15B3" w:rsidRDefault="007D15B3">
    <w:pPr>
      <w:pBdr>
        <w:top w:val="nil"/>
        <w:left w:val="nil"/>
        <w:bottom w:val="nil"/>
        <w:right w:val="nil"/>
        <w:between w:val="nil"/>
      </w:pBdr>
      <w:tabs>
        <w:tab w:val="center" w:pos="4513"/>
        <w:tab w:val="right" w:pos="9026"/>
      </w:tabs>
      <w:spacing w:after="0"/>
      <w:rPr>
        <w:rFonts w:eastAsia="Arial"/>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4B0771"/>
    <w:multiLevelType w:val="multilevel"/>
    <w:tmpl w:val="6B227B82"/>
    <w:lvl w:ilvl="0">
      <w:start w:val="7"/>
      <w:numFmt w:val="decimal"/>
      <w:pStyle w:val="GPSL1CLAUSEHEADING"/>
      <w:lvlText w:val="%1"/>
      <w:lvlJc w:val="left"/>
      <w:pPr>
        <w:ind w:left="360" w:hanging="360"/>
      </w:pPr>
    </w:lvl>
    <w:lvl w:ilvl="1">
      <w:start w:val="2"/>
      <w:numFmt w:val="decimal"/>
      <w:pStyle w:val="GPSL2numberedclause"/>
      <w:lvlText w:val="%1.%2"/>
      <w:lvlJc w:val="left"/>
      <w:pPr>
        <w:ind w:left="1080" w:hanging="360"/>
      </w:pPr>
    </w:lvl>
    <w:lvl w:ilvl="2">
      <w:start w:val="1"/>
      <w:numFmt w:val="decimal"/>
      <w:pStyle w:val="GPSL3numberedclause"/>
      <w:lvlText w:val="%1.%2.%3"/>
      <w:lvlJc w:val="left"/>
      <w:pPr>
        <w:ind w:left="2160" w:hanging="720"/>
      </w:pPr>
    </w:lvl>
    <w:lvl w:ilvl="3">
      <w:start w:val="1"/>
      <w:numFmt w:val="decimal"/>
      <w:pStyle w:val="GPSL4numberedclause"/>
      <w:lvlText w:val="%1.%2.%3.%4"/>
      <w:lvlJc w:val="left"/>
      <w:pPr>
        <w:ind w:left="3240" w:hanging="1080"/>
      </w:pPr>
    </w:lvl>
    <w:lvl w:ilvl="4">
      <w:start w:val="1"/>
      <w:numFmt w:val="decimal"/>
      <w:pStyle w:val="GPSL5numberedclause"/>
      <w:lvlText w:val="%1.%2.%3.%4.%5"/>
      <w:lvlJc w:val="left"/>
      <w:pPr>
        <w:ind w:left="3960" w:hanging="1080"/>
      </w:pPr>
    </w:lvl>
    <w:lvl w:ilvl="5">
      <w:start w:val="1"/>
      <w:numFmt w:val="decimal"/>
      <w:pStyle w:val="GPSL6numbered"/>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1" w15:restartNumberingAfterBreak="0">
    <w:nsid w:val="23DC75FC"/>
    <w:multiLevelType w:val="multilevel"/>
    <w:tmpl w:val="405A368A"/>
    <w:lvl w:ilvl="0">
      <w:start w:val="1"/>
      <w:numFmt w:val="decimal"/>
      <w:pStyle w:val="GPsDefinition"/>
      <w:lvlText w:val="%1."/>
      <w:lvlJc w:val="left"/>
      <w:pPr>
        <w:ind w:left="720" w:hanging="720"/>
      </w:pPr>
      <w:rPr>
        <w:smallCaps w:val="0"/>
        <w:strike w:val="0"/>
        <w:color w:val="000000"/>
        <w:u w:val="none"/>
        <w:vertAlign w:val="baseline"/>
      </w:rPr>
    </w:lvl>
    <w:lvl w:ilvl="1">
      <w:start w:val="1"/>
      <w:numFmt w:val="decimal"/>
      <w:pStyle w:val="GPSDefinitionL2"/>
      <w:lvlText w:val="%1.%2"/>
      <w:lvlJc w:val="left"/>
      <w:pPr>
        <w:ind w:left="720" w:hanging="720"/>
      </w:pPr>
      <w:rPr>
        <w:rFonts w:ascii="Arial" w:eastAsia="Arial" w:hAnsi="Arial" w:cs="Arial"/>
        <w:i w:val="0"/>
        <w:smallCaps w:val="0"/>
        <w:strike w:val="0"/>
        <w:color w:val="000000"/>
        <w:u w:val="none"/>
        <w:vertAlign w:val="baseline"/>
      </w:rPr>
    </w:lvl>
    <w:lvl w:ilvl="2">
      <w:start w:val="1"/>
      <w:numFmt w:val="decimal"/>
      <w:pStyle w:val="GPSDefinitionL3"/>
      <w:lvlText w:val="%1.%2.%3"/>
      <w:lvlJc w:val="left"/>
      <w:pPr>
        <w:ind w:left="1440" w:hanging="720"/>
      </w:pPr>
      <w:rPr>
        <w:i w:val="0"/>
        <w:smallCaps w:val="0"/>
        <w:strike w:val="0"/>
        <w:color w:val="000000"/>
        <w:u w:val="none"/>
        <w:vertAlign w:val="baseline"/>
      </w:rPr>
    </w:lvl>
    <w:lvl w:ilvl="3">
      <w:start w:val="1"/>
      <w:numFmt w:val="lowerLetter"/>
      <w:pStyle w:val="GPSDefinitionL4"/>
      <w:lvlText w:val="(%4)"/>
      <w:lvlJc w:val="left"/>
      <w:pPr>
        <w:ind w:left="1440" w:hanging="720"/>
      </w:pPr>
      <w:rPr>
        <w:rFonts w:ascii="Arial" w:eastAsia="Arial" w:hAnsi="Arial" w:cs="Arial"/>
        <w:i w:val="0"/>
        <w:smallCaps w:val="0"/>
        <w:strike w:val="0"/>
        <w:color w:val="000000"/>
        <w:u w:val="none"/>
        <w:vertAlign w:val="baseline"/>
      </w:rPr>
    </w:lvl>
    <w:lvl w:ilvl="4">
      <w:start w:val="1"/>
      <w:numFmt w:val="lowerRoman"/>
      <w:lvlText w:val="(%5)"/>
      <w:lvlJc w:val="left"/>
      <w:pPr>
        <w:ind w:left="3207" w:hanging="1080"/>
      </w:pPr>
      <w:rPr>
        <w:b w:val="0"/>
        <w:i w:val="0"/>
        <w:smallCaps w:val="0"/>
        <w:strike w:val="0"/>
        <w:color w:val="000000"/>
        <w:u w:val="none"/>
        <w:vertAlign w:val="baseline"/>
      </w:rPr>
    </w:lvl>
    <w:lvl w:ilvl="5">
      <w:start w:val="1"/>
      <w:numFmt w:val="upperLetter"/>
      <w:lvlText w:val="(%6)"/>
      <w:lvlJc w:val="left"/>
      <w:pPr>
        <w:ind w:left="1298" w:hanging="1080"/>
      </w:pPr>
      <w:rPr>
        <w:b w:val="0"/>
        <w:i w:val="0"/>
        <w:smallCaps w:val="0"/>
        <w:strike w:val="0"/>
        <w:color w:val="000000"/>
        <w:u w:val="none"/>
        <w:vertAlign w:val="baseline"/>
      </w:rPr>
    </w:lvl>
    <w:lvl w:ilvl="6">
      <w:start w:val="1"/>
      <w:numFmt w:val="decimal"/>
      <w:lvlText w:val="%1.%2.%3.%4.%5.%6.%7"/>
      <w:lvlJc w:val="left"/>
      <w:pPr>
        <w:ind w:left="1658" w:hanging="1440"/>
      </w:pPr>
    </w:lvl>
    <w:lvl w:ilvl="7">
      <w:start w:val="1"/>
      <w:numFmt w:val="decimal"/>
      <w:lvlText w:val="%1.%2.%3.%4.%5.%6.%7.%8"/>
      <w:lvlJc w:val="left"/>
      <w:pPr>
        <w:ind w:left="1658" w:hanging="1440"/>
      </w:pPr>
    </w:lvl>
    <w:lvl w:ilvl="8">
      <w:start w:val="1"/>
      <w:numFmt w:val="decimal"/>
      <w:lvlText w:val="%1.%2.%3.%4.%5.%6.%7.%8.%9"/>
      <w:lvlJc w:val="left"/>
      <w:pPr>
        <w:ind w:left="2018" w:hanging="1800"/>
      </w:pPr>
    </w:lvl>
  </w:abstractNum>
  <w:abstractNum w:abstractNumId="2" w15:restartNumberingAfterBreak="0">
    <w:nsid w:val="322C04A0"/>
    <w:multiLevelType w:val="multilevel"/>
    <w:tmpl w:val="2EA00418"/>
    <w:lvl w:ilvl="0">
      <w:start w:val="1"/>
      <w:numFmt w:val="decimal"/>
      <w:lvlText w:val="%1."/>
      <w:lvlJc w:val="left"/>
      <w:pPr>
        <w:ind w:left="720" w:hanging="720"/>
      </w:pPr>
      <w:rPr>
        <w:smallCaps w:val="0"/>
        <w:strike w:val="0"/>
        <w:color w:val="000000"/>
        <w:u w:val="none"/>
        <w:vertAlign w:val="baseline"/>
      </w:rPr>
    </w:lvl>
    <w:lvl w:ilvl="1">
      <w:start w:val="1"/>
      <w:numFmt w:val="decimal"/>
      <w:lvlText w:val="%1.%2"/>
      <w:lvlJc w:val="left"/>
      <w:pPr>
        <w:ind w:left="720" w:hanging="720"/>
      </w:pPr>
      <w:rPr>
        <w:rFonts w:ascii="Arial" w:eastAsia="Arial" w:hAnsi="Arial" w:cs="Arial"/>
        <w:i w:val="0"/>
        <w:smallCaps w:val="0"/>
        <w:strike w:val="0"/>
        <w:color w:val="000000"/>
        <w:u w:val="none"/>
        <w:vertAlign w:val="baseline"/>
      </w:rPr>
    </w:lvl>
    <w:lvl w:ilvl="2">
      <w:start w:val="1"/>
      <w:numFmt w:val="decimal"/>
      <w:lvlText w:val="%1.%2.%3"/>
      <w:lvlJc w:val="left"/>
      <w:pPr>
        <w:ind w:left="1440" w:hanging="720"/>
      </w:pPr>
      <w:rPr>
        <w:i w:val="0"/>
        <w:smallCaps w:val="0"/>
        <w:strike w:val="0"/>
        <w:color w:val="000000"/>
        <w:u w:val="none"/>
        <w:vertAlign w:val="baseline"/>
      </w:rPr>
    </w:lvl>
    <w:lvl w:ilvl="3">
      <w:start w:val="1"/>
      <w:numFmt w:val="lowerLetter"/>
      <w:lvlText w:val="(%4)"/>
      <w:lvlJc w:val="left"/>
      <w:pPr>
        <w:ind w:left="1440" w:hanging="720"/>
      </w:pPr>
      <w:rPr>
        <w:rFonts w:ascii="Arial" w:eastAsia="Arial" w:hAnsi="Arial" w:cs="Arial"/>
        <w:i w:val="0"/>
        <w:smallCaps w:val="0"/>
        <w:strike w:val="0"/>
        <w:color w:val="000000"/>
        <w:u w:val="none"/>
        <w:vertAlign w:val="baseline"/>
      </w:rPr>
    </w:lvl>
    <w:lvl w:ilvl="4">
      <w:start w:val="1"/>
      <w:numFmt w:val="lowerRoman"/>
      <w:lvlText w:val="(%5)"/>
      <w:lvlJc w:val="left"/>
      <w:pPr>
        <w:ind w:left="3207" w:hanging="1080"/>
      </w:pPr>
      <w:rPr>
        <w:b w:val="0"/>
        <w:i w:val="0"/>
        <w:smallCaps w:val="0"/>
        <w:strike w:val="0"/>
        <w:color w:val="000000"/>
        <w:u w:val="none"/>
        <w:vertAlign w:val="baseline"/>
      </w:rPr>
    </w:lvl>
    <w:lvl w:ilvl="5">
      <w:start w:val="1"/>
      <w:numFmt w:val="upperLetter"/>
      <w:lvlText w:val="(%6)"/>
      <w:lvlJc w:val="left"/>
      <w:pPr>
        <w:ind w:left="1298" w:hanging="1080"/>
      </w:pPr>
      <w:rPr>
        <w:b w:val="0"/>
        <w:i w:val="0"/>
        <w:smallCaps w:val="0"/>
        <w:strike w:val="0"/>
        <w:color w:val="000000"/>
        <w:u w:val="none"/>
        <w:vertAlign w:val="baseline"/>
      </w:rPr>
    </w:lvl>
    <w:lvl w:ilvl="6">
      <w:start w:val="1"/>
      <w:numFmt w:val="decimal"/>
      <w:lvlText w:val="%1.%2.%3.%4.%5.%6.%7"/>
      <w:lvlJc w:val="left"/>
      <w:pPr>
        <w:ind w:left="1658" w:hanging="1440"/>
      </w:pPr>
    </w:lvl>
    <w:lvl w:ilvl="7">
      <w:start w:val="1"/>
      <w:numFmt w:val="decimal"/>
      <w:lvlText w:val="%1.%2.%3.%4.%5.%6.%7.%8"/>
      <w:lvlJc w:val="left"/>
      <w:pPr>
        <w:ind w:left="1658" w:hanging="1440"/>
      </w:pPr>
    </w:lvl>
    <w:lvl w:ilvl="8">
      <w:start w:val="1"/>
      <w:numFmt w:val="decimal"/>
      <w:lvlText w:val="%1.%2.%3.%4.%5.%6.%7.%8.%9"/>
      <w:lvlJc w:val="left"/>
      <w:pPr>
        <w:ind w:left="2018" w:hanging="1800"/>
      </w:pPr>
    </w:lvl>
  </w:abstractNum>
  <w:abstractNum w:abstractNumId="3" w15:restartNumberingAfterBreak="0">
    <w:nsid w:val="56984834"/>
    <w:multiLevelType w:val="multilevel"/>
    <w:tmpl w:val="88BCF5AA"/>
    <w:lvl w:ilvl="0">
      <w:start w:val="2"/>
      <w:numFmt w:val="decimal"/>
      <w:lvlText w:val="%1"/>
      <w:lvlJc w:val="left"/>
      <w:pPr>
        <w:ind w:left="660" w:hanging="660"/>
      </w:pPr>
    </w:lvl>
    <w:lvl w:ilvl="1">
      <w:start w:val="1"/>
      <w:numFmt w:val="decimal"/>
      <w:lvlText w:val="%1.%2"/>
      <w:lvlJc w:val="left"/>
      <w:pPr>
        <w:ind w:left="1380" w:hanging="660"/>
      </w:pPr>
    </w:lvl>
    <w:lvl w:ilvl="2">
      <w:start w:val="15"/>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4" w15:restartNumberingAfterBreak="0">
    <w:nsid w:val="5F870B72"/>
    <w:multiLevelType w:val="multilevel"/>
    <w:tmpl w:val="8788D20E"/>
    <w:lvl w:ilvl="0">
      <w:start w:val="1"/>
      <w:numFmt w:val="decimal"/>
      <w:pStyle w:val="ScheduleText1"/>
      <w:lvlText w:val="%1."/>
      <w:lvlJc w:val="left"/>
      <w:pPr>
        <w:tabs>
          <w:tab w:val="num" w:pos="720"/>
        </w:tabs>
        <w:ind w:left="720" w:hanging="720"/>
      </w:pPr>
    </w:lvl>
    <w:lvl w:ilvl="1">
      <w:start w:val="1"/>
      <w:numFmt w:val="decimal"/>
      <w:pStyle w:val="ScheduleText2"/>
      <w:lvlText w:val="%2."/>
      <w:lvlJc w:val="left"/>
      <w:pPr>
        <w:tabs>
          <w:tab w:val="num" w:pos="1440"/>
        </w:tabs>
        <w:ind w:left="1440" w:hanging="720"/>
      </w:pPr>
    </w:lvl>
    <w:lvl w:ilvl="2">
      <w:start w:val="1"/>
      <w:numFmt w:val="decimal"/>
      <w:pStyle w:val="ScheduleText3"/>
      <w:lvlText w:val="%3."/>
      <w:lvlJc w:val="left"/>
      <w:pPr>
        <w:tabs>
          <w:tab w:val="num" w:pos="2160"/>
        </w:tabs>
        <w:ind w:left="2160" w:hanging="720"/>
      </w:pPr>
    </w:lvl>
    <w:lvl w:ilvl="3">
      <w:start w:val="1"/>
      <w:numFmt w:val="decimal"/>
      <w:pStyle w:val="ScheduleText4"/>
      <w:lvlText w:val="%4."/>
      <w:lvlJc w:val="left"/>
      <w:pPr>
        <w:tabs>
          <w:tab w:val="num" w:pos="2880"/>
        </w:tabs>
        <w:ind w:left="2880" w:hanging="720"/>
      </w:pPr>
    </w:lvl>
    <w:lvl w:ilvl="4">
      <w:start w:val="1"/>
      <w:numFmt w:val="decimal"/>
      <w:pStyle w:val="ScheduleText5"/>
      <w:lvlText w:val="%5."/>
      <w:lvlJc w:val="left"/>
      <w:pPr>
        <w:tabs>
          <w:tab w:val="num" w:pos="3600"/>
        </w:tabs>
        <w:ind w:left="3600" w:hanging="720"/>
      </w:pPr>
    </w:lvl>
    <w:lvl w:ilvl="5">
      <w:start w:val="1"/>
      <w:numFmt w:val="decimal"/>
      <w:pStyle w:val="ScheduleText6"/>
      <w:lvlText w:val="%6."/>
      <w:lvlJc w:val="left"/>
      <w:pPr>
        <w:tabs>
          <w:tab w:val="num" w:pos="4320"/>
        </w:tabs>
        <w:ind w:left="4320" w:hanging="720"/>
      </w:pPr>
    </w:lvl>
    <w:lvl w:ilvl="6">
      <w:start w:val="1"/>
      <w:numFmt w:val="decimal"/>
      <w:pStyle w:val="ScheduleText7"/>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2"/>
  </w:num>
  <w:num w:numId="2">
    <w:abstractNumId w:val="1"/>
  </w:num>
  <w:num w:numId="3">
    <w:abstractNumId w:val="3"/>
  </w:num>
  <w:num w:numId="4">
    <w:abstractNumId w:val="0"/>
  </w:num>
  <w:num w:numId="5">
    <w:abstractNumId w:val="4"/>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15B3"/>
    <w:rsid w:val="002A2E64"/>
    <w:rsid w:val="005A17EA"/>
    <w:rsid w:val="007D15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413C3DF-C4A5-4B1D-96F7-34F5538F6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n-GB" w:bidi="ar-SA"/>
      </w:rPr>
    </w:rPrDefault>
    <w:pPrDefault>
      <w:pPr>
        <w:spacing w:after="240"/>
        <w:ind w:left="1418"/>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154C"/>
    <w:pPr>
      <w:overflowPunct w:val="0"/>
      <w:autoSpaceDE w:val="0"/>
      <w:autoSpaceDN w:val="0"/>
      <w:adjustRightInd w:val="0"/>
      <w:textAlignment w:val="baseline"/>
    </w:pPr>
    <w:rPr>
      <w:rFonts w:eastAsia="Times New Roman"/>
    </w:rPr>
  </w:style>
  <w:style w:type="paragraph" w:styleId="Heading1">
    <w:name w:val="heading 1"/>
    <w:basedOn w:val="Normal"/>
    <w:next w:val="Normal"/>
    <w:uiPriority w:val="9"/>
    <w:qFormat/>
    <w:rsid w:val="0052154C"/>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52154C"/>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52154C"/>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52154C"/>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52154C"/>
    <w:pPr>
      <w:keepNext/>
      <w:keepLines/>
      <w:spacing w:before="220" w:after="40"/>
      <w:outlineLvl w:val="4"/>
    </w:pPr>
    <w:rPr>
      <w:b/>
    </w:rPr>
  </w:style>
  <w:style w:type="paragraph" w:styleId="Heading6">
    <w:name w:val="heading 6"/>
    <w:basedOn w:val="Normal"/>
    <w:next w:val="Normal"/>
    <w:uiPriority w:val="9"/>
    <w:semiHidden/>
    <w:unhideWhenUsed/>
    <w:qFormat/>
    <w:rsid w:val="0052154C"/>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basedOn w:val="DefaultParagraphFont"/>
    <w:link w:val="Footer"/>
    <w:uiPriority w:val="99"/>
  </w:style>
  <w:style w:type="paragraph" w:customStyle="1" w:styleId="GPSmacrorestart">
    <w:name w:val="GPS macro restart"/>
    <w:basedOn w:val="Normal"/>
    <w:qFormat/>
    <w:pPr>
      <w:spacing w:after="0"/>
      <w:ind w:left="0"/>
    </w:pPr>
    <w:rPr>
      <w:color w:val="FFFFFF"/>
      <w:sz w:val="16"/>
      <w:szCs w:val="16"/>
    </w:rPr>
  </w:style>
  <w:style w:type="paragraph" w:customStyle="1" w:styleId="GPSL1CLAUSEHEADING">
    <w:name w:val="GPS L1 CLAUSE HEADING"/>
    <w:basedOn w:val="Normal"/>
    <w:next w:val="Normal"/>
    <w:qFormat/>
    <w:rsid w:val="0052154C"/>
    <w:pPr>
      <w:numPr>
        <w:numId w:val="4"/>
      </w:numPr>
      <w:tabs>
        <w:tab w:val="left" w:pos="0"/>
      </w:tabs>
      <w:overflowPunct/>
      <w:autoSpaceDE/>
      <w:autoSpaceDN/>
      <w:spacing w:before="240"/>
      <w:textAlignment w:val="auto"/>
      <w:outlineLvl w:val="1"/>
    </w:pPr>
    <w:rPr>
      <w:rFonts w:ascii="Arial Bold" w:eastAsia="STZhongsong" w:hAnsi="Arial Bold"/>
      <w:b/>
      <w:caps/>
      <w:lang w:eastAsia="zh-CN"/>
    </w:rPr>
  </w:style>
  <w:style w:type="paragraph" w:customStyle="1" w:styleId="GPSL2numberedclause">
    <w:name w:val="GPS L2 numbered clause"/>
    <w:basedOn w:val="Normal"/>
    <w:link w:val="GPSL2numberedclauseChar1"/>
    <w:qFormat/>
    <w:rsid w:val="0052154C"/>
    <w:pPr>
      <w:numPr>
        <w:ilvl w:val="1"/>
        <w:numId w:val="4"/>
      </w:numPr>
      <w:overflowPunct/>
      <w:autoSpaceDE/>
      <w:autoSpaceDN/>
      <w:spacing w:before="120" w:after="120"/>
      <w:textAlignment w:val="auto"/>
    </w:pPr>
    <w:rPr>
      <w:rFonts w:ascii="Calibri" w:hAnsi="Calibri"/>
      <w:lang w:eastAsia="zh-CN"/>
    </w:rPr>
  </w:style>
  <w:style w:type="paragraph" w:customStyle="1" w:styleId="GPSL3numberedclause">
    <w:name w:val="GPS L3 numbered clause"/>
    <w:basedOn w:val="GPSL2numberedclause"/>
    <w:link w:val="GPSL3numberedclauseChar"/>
    <w:qFormat/>
    <w:rsid w:val="0052154C"/>
    <w:pPr>
      <w:numPr>
        <w:ilvl w:val="2"/>
      </w:numPr>
      <w:tabs>
        <w:tab w:val="left" w:pos="1985"/>
        <w:tab w:val="left" w:pos="2127"/>
      </w:tabs>
    </w:pPr>
  </w:style>
  <w:style w:type="paragraph" w:customStyle="1" w:styleId="GPSL4numberedclause">
    <w:name w:val="GPS L4 numbered clause"/>
    <w:basedOn w:val="GPSL3numberedclause"/>
    <w:link w:val="GPSL4numberedclauseChar"/>
    <w:qFormat/>
    <w:rsid w:val="0052154C"/>
    <w:pPr>
      <w:numPr>
        <w:ilvl w:val="3"/>
      </w:numPr>
      <w:tabs>
        <w:tab w:val="clear" w:pos="1985"/>
        <w:tab w:val="clear" w:pos="2127"/>
      </w:tabs>
    </w:pPr>
    <w:rPr>
      <w:szCs w:val="20"/>
    </w:rPr>
  </w:style>
  <w:style w:type="character" w:customStyle="1" w:styleId="GPSL2numberedclauseChar1">
    <w:name w:val="GPS L2 numbered clause Char1"/>
    <w:link w:val="GPSL2numberedclause"/>
    <w:rPr>
      <w:rFonts w:ascii="Calibri" w:eastAsia="Times New Roman" w:hAnsi="Calibri"/>
      <w:lang w:eastAsia="zh-CN"/>
    </w:rPr>
  </w:style>
  <w:style w:type="character" w:customStyle="1" w:styleId="GPSL3numberedclauseChar">
    <w:name w:val="GPS L3 numbered clause Char"/>
    <w:link w:val="GPSL3numberedclause"/>
    <w:rPr>
      <w:rFonts w:ascii="Calibri" w:eastAsia="Times New Roman" w:hAnsi="Calibri"/>
      <w:lang w:eastAsia="zh-CN"/>
    </w:rPr>
  </w:style>
  <w:style w:type="character" w:customStyle="1" w:styleId="GPSL4numberedclauseChar">
    <w:name w:val="GPS L4 numbered clause Char"/>
    <w:link w:val="GPSL4numberedclause"/>
    <w:rPr>
      <w:rFonts w:ascii="Calibri" w:eastAsia="Times New Roman" w:hAnsi="Calibri"/>
      <w:szCs w:val="20"/>
      <w:lang w:eastAsia="zh-CN"/>
    </w:rPr>
  </w:style>
  <w:style w:type="paragraph" w:customStyle="1" w:styleId="GPSL5numberedclause">
    <w:name w:val="GPS L5 numbered clause"/>
    <w:basedOn w:val="GPSL4numberedclause"/>
    <w:qFormat/>
    <w:rsid w:val="0052154C"/>
    <w:pPr>
      <w:numPr>
        <w:ilvl w:val="4"/>
      </w:numPr>
      <w:tabs>
        <w:tab w:val="num" w:pos="360"/>
        <w:tab w:val="left" w:pos="3402"/>
      </w:tabs>
    </w:pPr>
  </w:style>
  <w:style w:type="paragraph" w:customStyle="1" w:styleId="GPSL6numbered">
    <w:name w:val="GPS L6 numbered"/>
    <w:basedOn w:val="GPSL5numberedclause"/>
    <w:qFormat/>
    <w:rsid w:val="0052154C"/>
    <w:pPr>
      <w:numPr>
        <w:ilvl w:val="5"/>
      </w:numPr>
      <w:tabs>
        <w:tab w:val="num" w:pos="360"/>
        <w:tab w:val="left" w:pos="4253"/>
      </w:tabs>
    </w:pPr>
  </w:style>
  <w:style w:type="paragraph" w:customStyle="1" w:styleId="GPSSchTitleandNumber">
    <w:name w:val="GPS Sch Title and Number"/>
    <w:basedOn w:val="Normal"/>
    <w:link w:val="GPSSchTitleandNumberChar"/>
    <w:qFormat/>
    <w:pPr>
      <w:keepNext/>
      <w:overflowPunct/>
      <w:autoSpaceDE/>
      <w:autoSpaceDN/>
      <w:ind w:left="0"/>
      <w:jc w:val="center"/>
      <w:textAlignment w:val="auto"/>
      <w:outlineLvl w:val="0"/>
    </w:pPr>
    <w:rPr>
      <w:rFonts w:ascii="Arial Bold" w:eastAsia="STZhongsong" w:hAnsi="Arial Bold" w:cs="Times New Roman"/>
      <w:b/>
      <w:caps/>
      <w:lang w:eastAsia="zh-CN"/>
    </w:rPr>
  </w:style>
  <w:style w:type="character" w:customStyle="1" w:styleId="GPSSchTitleandNumberChar">
    <w:name w:val="GPS Sch Title and Number Char"/>
    <w:link w:val="GPSSchTitleandNumber"/>
    <w:rPr>
      <w:rFonts w:ascii="Arial Bold" w:eastAsia="STZhongsong" w:hAnsi="Arial Bold" w:cs="Times New Roman"/>
      <w:b/>
      <w:caps/>
      <w:lang w:eastAsia="zh-CN"/>
    </w:rPr>
  </w:style>
  <w:style w:type="paragraph" w:customStyle="1" w:styleId="GPSDefinitionTerm">
    <w:name w:val="GPS Definition Term"/>
    <w:basedOn w:val="Normal"/>
    <w:qFormat/>
    <w:pPr>
      <w:spacing w:after="120"/>
      <w:ind w:left="-108"/>
      <w:jc w:val="left"/>
    </w:pPr>
    <w:rPr>
      <w:b/>
    </w:rPr>
  </w:style>
  <w:style w:type="paragraph" w:customStyle="1" w:styleId="GPsDefinition">
    <w:name w:val="GPs Definition"/>
    <w:basedOn w:val="Normal"/>
    <w:qFormat/>
    <w:rsid w:val="0052154C"/>
    <w:pPr>
      <w:numPr>
        <w:numId w:val="2"/>
      </w:numPr>
      <w:tabs>
        <w:tab w:val="left" w:pos="-9"/>
      </w:tabs>
      <w:spacing w:after="120"/>
    </w:pPr>
  </w:style>
  <w:style w:type="paragraph" w:customStyle="1" w:styleId="GPSDefinitionL2">
    <w:name w:val="GPS Definition L2"/>
    <w:basedOn w:val="GPsDefinition"/>
    <w:qFormat/>
    <w:pPr>
      <w:numPr>
        <w:ilvl w:val="1"/>
      </w:numPr>
      <w:tabs>
        <w:tab w:val="clear" w:pos="-9"/>
        <w:tab w:val="left" w:pos="144"/>
      </w:tabs>
      <w:ind w:hanging="545"/>
    </w:pPr>
  </w:style>
  <w:style w:type="paragraph" w:customStyle="1" w:styleId="GPSDefinitionL3">
    <w:name w:val="GPS Definition L3"/>
    <w:basedOn w:val="GPSDefinitionL2"/>
    <w:qFormat/>
    <w:pPr>
      <w:numPr>
        <w:ilvl w:val="2"/>
      </w:numPr>
    </w:pPr>
  </w:style>
  <w:style w:type="paragraph" w:customStyle="1" w:styleId="GPSDefinitionL4">
    <w:name w:val="GPS Definition L4"/>
    <w:basedOn w:val="GPSDefinitionL3"/>
    <w:qFormat/>
    <w:pPr>
      <w:numPr>
        <w:ilvl w:val="3"/>
      </w:numPr>
    </w:pPr>
  </w:style>
  <w:style w:type="paragraph" w:customStyle="1" w:styleId="GPSL1SCHEDULEHeading">
    <w:name w:val="GPS L1 SCHEDULE Heading"/>
    <w:basedOn w:val="GPSL1CLAUSEHEADING"/>
    <w:link w:val="GPSL1SCHEDULEHeadingChar"/>
    <w:qFormat/>
    <w:pPr>
      <w:outlineLvl w:val="9"/>
    </w:pPr>
    <w:rPr>
      <w:rFonts w:ascii="Calibri" w:hAnsi="Calibri"/>
    </w:rPr>
  </w:style>
  <w:style w:type="character" w:customStyle="1" w:styleId="GPSL1SCHEDULEHeadingChar">
    <w:name w:val="GPS L1 SCHEDULE Heading Char"/>
    <w:link w:val="GPSL1SCHEDULEHeading"/>
    <w:rPr>
      <w:rFonts w:ascii="Calibri" w:eastAsia="STZhongsong" w:hAnsi="Calibri" w:cs="Arial"/>
      <w:b/>
      <w:caps/>
      <w:lang w:eastAsia="zh-CN"/>
    </w:r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Arial" w:eastAsia="Times New Roman" w:hAnsi="Arial" w:cs="Arial"/>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Arial" w:eastAsia="Times New Roman" w:hAnsi="Arial" w:cs="Arial"/>
      <w:b/>
      <w:bCs/>
      <w:sz w:val="20"/>
      <w:szCs w:val="20"/>
    </w:rPr>
  </w:style>
  <w:style w:type="character" w:styleId="Hyperlink">
    <w:name w:val="Hyperlink"/>
    <w:basedOn w:val="DefaultParagraphFont"/>
    <w:uiPriority w:val="99"/>
    <w:unhideWhenUsed/>
    <w:rPr>
      <w:color w:val="0000FF" w:themeColor="hyperlink"/>
      <w:u w:val="single"/>
    </w:rPr>
  </w:style>
  <w:style w:type="character" w:styleId="FollowedHyperlink">
    <w:name w:val="FollowedHyperlink"/>
    <w:basedOn w:val="DefaultParagraphFont"/>
    <w:uiPriority w:val="99"/>
    <w:semiHidden/>
    <w:unhideWhenUsed/>
    <w:rPr>
      <w:color w:val="800080" w:themeColor="followedHyperlink"/>
      <w:u w:val="single"/>
    </w:rPr>
  </w:style>
  <w:style w:type="paragraph" w:styleId="Revision">
    <w:name w:val="Revision"/>
    <w:hidden/>
    <w:uiPriority w:val="99"/>
    <w:semiHidden/>
    <w:rsid w:val="0052154C"/>
    <w:pPr>
      <w:spacing w:after="0"/>
    </w:pPr>
    <w:rPr>
      <w:rFonts w:eastAsia="Times New Roman"/>
    </w:rPr>
  </w:style>
  <w:style w:type="table" w:styleId="TableGrid">
    <w:name w:val="Table Grid"/>
    <w:basedOn w:val="TableNormal"/>
    <w:uiPriority w:val="59"/>
    <w:pPr>
      <w:spacing w:after="0"/>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3">
    <w:name w:val="3"/>
    <w:basedOn w:val="TableNormal"/>
    <w:tblPr>
      <w:tblStyleRowBandSize w:val="1"/>
      <w:tblStyleColBandSize w:val="1"/>
      <w:tblCellMar>
        <w:left w:w="115" w:type="dxa"/>
        <w:right w:w="115" w:type="dxa"/>
      </w:tblCellMar>
    </w:tblPr>
  </w:style>
  <w:style w:type="paragraph" w:customStyle="1" w:styleId="GPSL2NumberedBoldHeading">
    <w:name w:val="GPS L2 Numbered Bold Heading"/>
    <w:basedOn w:val="Normal"/>
    <w:qFormat/>
    <w:rsid w:val="00831E6E"/>
    <w:pPr>
      <w:tabs>
        <w:tab w:val="left" w:pos="1134"/>
      </w:tabs>
      <w:overflowPunct/>
      <w:autoSpaceDE/>
      <w:autoSpaceDN/>
      <w:spacing w:before="120" w:after="120"/>
      <w:ind w:left="644" w:hanging="218"/>
      <w:textAlignment w:val="auto"/>
    </w:pPr>
    <w:rPr>
      <w:rFonts w:ascii="Calibri" w:hAnsi="Calibri"/>
      <w:b/>
      <w:lang w:eastAsia="zh-CN"/>
    </w:rPr>
  </w:style>
  <w:style w:type="paragraph" w:customStyle="1" w:styleId="GPSL2Numbered">
    <w:name w:val="GPS L2 Numbered"/>
    <w:basedOn w:val="GPSL2NumberedBoldHeading"/>
    <w:link w:val="GPSL2NumberedChar"/>
    <w:qFormat/>
    <w:rsid w:val="00831E6E"/>
    <w:pPr>
      <w:tabs>
        <w:tab w:val="clear" w:pos="1134"/>
      </w:tabs>
      <w:ind w:hanging="360"/>
    </w:pPr>
    <w:rPr>
      <w:b w:val="0"/>
    </w:rPr>
  </w:style>
  <w:style w:type="character" w:customStyle="1" w:styleId="GPSL2NumberedChar">
    <w:name w:val="GPS L2 Numbered Char"/>
    <w:link w:val="GPSL2Numbered"/>
    <w:locked/>
    <w:rsid w:val="00831E6E"/>
    <w:rPr>
      <w:rFonts w:ascii="Calibri" w:eastAsia="Times New Roman" w:hAnsi="Calibri"/>
      <w:lang w:eastAsia="zh-CN"/>
    </w:rPr>
  </w:style>
  <w:style w:type="paragraph" w:customStyle="1" w:styleId="ScheduleText1">
    <w:name w:val="Schedule Text 1"/>
    <w:basedOn w:val="Normal"/>
    <w:next w:val="Normal"/>
    <w:rsid w:val="003C22E1"/>
    <w:pPr>
      <w:numPr>
        <w:numId w:val="5"/>
      </w:numPr>
      <w:overflowPunct/>
      <w:autoSpaceDE/>
      <w:autoSpaceDN/>
      <w:adjustRightInd/>
      <w:spacing w:before="100" w:after="200"/>
      <w:jc w:val="left"/>
      <w:textAlignment w:val="auto"/>
    </w:pPr>
    <w:rPr>
      <w:rFonts w:cs="Times New Roman"/>
      <w:b/>
      <w:sz w:val="24"/>
      <w:szCs w:val="24"/>
    </w:rPr>
  </w:style>
  <w:style w:type="paragraph" w:customStyle="1" w:styleId="ScheduleText2">
    <w:name w:val="Schedule Text 2"/>
    <w:basedOn w:val="ScheduleText1"/>
    <w:next w:val="Normal"/>
    <w:rsid w:val="003C22E1"/>
    <w:pPr>
      <w:numPr>
        <w:ilvl w:val="1"/>
      </w:numPr>
    </w:pPr>
    <w:rPr>
      <w:b w:val="0"/>
    </w:rPr>
  </w:style>
  <w:style w:type="paragraph" w:customStyle="1" w:styleId="ScheduleText3">
    <w:name w:val="Schedule Text 3"/>
    <w:basedOn w:val="Normal"/>
    <w:next w:val="Normal"/>
    <w:rsid w:val="003C22E1"/>
    <w:pPr>
      <w:numPr>
        <w:ilvl w:val="2"/>
        <w:numId w:val="5"/>
      </w:numPr>
      <w:tabs>
        <w:tab w:val="left" w:pos="720"/>
        <w:tab w:val="left" w:pos="1803"/>
      </w:tabs>
      <w:overflowPunct/>
      <w:autoSpaceDE/>
      <w:autoSpaceDN/>
      <w:adjustRightInd/>
      <w:spacing w:before="100" w:after="200"/>
      <w:jc w:val="left"/>
      <w:textAlignment w:val="auto"/>
    </w:pPr>
    <w:rPr>
      <w:rFonts w:cs="Times New Roman"/>
      <w:sz w:val="24"/>
      <w:szCs w:val="24"/>
    </w:rPr>
  </w:style>
  <w:style w:type="paragraph" w:customStyle="1" w:styleId="ScheduleText4">
    <w:name w:val="Schedule Text 4"/>
    <w:basedOn w:val="Normal"/>
    <w:next w:val="Normal"/>
    <w:rsid w:val="003C22E1"/>
    <w:pPr>
      <w:numPr>
        <w:ilvl w:val="3"/>
        <w:numId w:val="5"/>
      </w:numPr>
      <w:tabs>
        <w:tab w:val="left" w:pos="720"/>
        <w:tab w:val="left" w:pos="1803"/>
      </w:tabs>
      <w:overflowPunct/>
      <w:autoSpaceDE/>
      <w:autoSpaceDN/>
      <w:adjustRightInd/>
      <w:spacing w:before="100" w:after="200"/>
      <w:jc w:val="left"/>
      <w:textAlignment w:val="auto"/>
    </w:pPr>
    <w:rPr>
      <w:rFonts w:cs="Times New Roman"/>
      <w:sz w:val="24"/>
      <w:szCs w:val="24"/>
    </w:rPr>
  </w:style>
  <w:style w:type="paragraph" w:customStyle="1" w:styleId="ScheduleText5">
    <w:name w:val="Schedule Text 5"/>
    <w:basedOn w:val="Normal"/>
    <w:next w:val="Normal"/>
    <w:rsid w:val="003C22E1"/>
    <w:pPr>
      <w:numPr>
        <w:ilvl w:val="4"/>
        <w:numId w:val="5"/>
      </w:numPr>
      <w:tabs>
        <w:tab w:val="left" w:pos="720"/>
        <w:tab w:val="left" w:pos="2523"/>
      </w:tabs>
      <w:overflowPunct/>
      <w:autoSpaceDE/>
      <w:autoSpaceDN/>
      <w:adjustRightInd/>
      <w:spacing w:before="100" w:after="200"/>
      <w:jc w:val="left"/>
      <w:textAlignment w:val="auto"/>
    </w:pPr>
    <w:rPr>
      <w:rFonts w:cs="Times New Roman"/>
      <w:sz w:val="24"/>
      <w:szCs w:val="24"/>
    </w:rPr>
  </w:style>
  <w:style w:type="paragraph" w:customStyle="1" w:styleId="ScheduleText6">
    <w:name w:val="Schedule Text 6"/>
    <w:basedOn w:val="ScheduleText5"/>
    <w:rsid w:val="003C22E1"/>
    <w:pPr>
      <w:numPr>
        <w:ilvl w:val="5"/>
      </w:numPr>
    </w:pPr>
  </w:style>
  <w:style w:type="paragraph" w:customStyle="1" w:styleId="ScheduleText7">
    <w:name w:val="Schedule Text 7"/>
    <w:basedOn w:val="ScheduleText6"/>
    <w:rsid w:val="003C22E1"/>
    <w:pPr>
      <w:numPr>
        <w:ilvl w:val="6"/>
      </w:numPr>
    </w:pPr>
  </w:style>
  <w:style w:type="paragraph" w:customStyle="1" w:styleId="BulletsBody">
    <w:name w:val="Bullets Body"/>
    <w:basedOn w:val="Normal"/>
    <w:rsid w:val="009009FB"/>
    <w:pPr>
      <w:tabs>
        <w:tab w:val="num" w:pos="720"/>
      </w:tabs>
      <w:overflowPunct/>
      <w:autoSpaceDE/>
      <w:autoSpaceDN/>
      <w:adjustRightInd/>
      <w:spacing w:before="100" w:after="200"/>
      <w:ind w:left="720" w:hanging="720"/>
      <w:jc w:val="left"/>
      <w:textAlignment w:val="auto"/>
    </w:pPr>
    <w:rPr>
      <w:rFonts w:cs="Times New Roman"/>
      <w:sz w:val="24"/>
      <w:szCs w:val="24"/>
    </w:rPr>
  </w:style>
  <w:style w:type="paragraph" w:customStyle="1" w:styleId="BulletsLevel1">
    <w:name w:val="Bullets Level 1"/>
    <w:basedOn w:val="Normal"/>
    <w:rsid w:val="009009FB"/>
    <w:pPr>
      <w:tabs>
        <w:tab w:val="num" w:pos="1440"/>
        <w:tab w:val="left" w:pos="1797"/>
      </w:tabs>
      <w:overflowPunct/>
      <w:autoSpaceDE/>
      <w:autoSpaceDN/>
      <w:adjustRightInd/>
      <w:spacing w:before="100" w:after="200"/>
      <w:ind w:left="1440" w:hanging="720"/>
      <w:jc w:val="left"/>
      <w:textAlignment w:val="auto"/>
    </w:pPr>
    <w:rPr>
      <w:rFonts w:cs="Times New Roman"/>
      <w:sz w:val="24"/>
      <w:szCs w:val="24"/>
    </w:rPr>
  </w:style>
  <w:style w:type="paragraph" w:customStyle="1" w:styleId="BulletsLevel2">
    <w:name w:val="Bullets Level 2"/>
    <w:basedOn w:val="BulletsLevel1"/>
    <w:rsid w:val="009009FB"/>
    <w:pPr>
      <w:numPr>
        <w:ilvl w:val="2"/>
      </w:numPr>
      <w:tabs>
        <w:tab w:val="clear" w:pos="1797"/>
        <w:tab w:val="num" w:pos="1440"/>
      </w:tabs>
      <w:ind w:left="1440" w:hanging="720"/>
    </w:pPr>
  </w:style>
  <w:style w:type="numbering" w:customStyle="1" w:styleId="Scheduleheading">
    <w:name w:val="Schedule heading"/>
    <w:uiPriority w:val="99"/>
    <w:rsid w:val="004E1995"/>
  </w:style>
  <w:style w:type="paragraph" w:customStyle="1" w:styleId="AnnexHeading">
    <w:name w:val="Annex Heading"/>
    <w:basedOn w:val="Normal"/>
    <w:next w:val="Normal"/>
    <w:rsid w:val="004E1995"/>
    <w:pPr>
      <w:tabs>
        <w:tab w:val="num" w:pos="720"/>
      </w:tabs>
      <w:overflowPunct/>
      <w:autoSpaceDE/>
      <w:autoSpaceDN/>
      <w:adjustRightInd/>
      <w:spacing w:before="100" w:after="300"/>
      <w:ind w:left="720" w:hanging="720"/>
      <w:jc w:val="center"/>
      <w:textAlignment w:val="auto"/>
    </w:pPr>
    <w:rPr>
      <w:rFonts w:ascii="Arial Bold" w:hAnsi="Arial Bold" w:cs="Times New Roman"/>
      <w:b/>
      <w:caps/>
      <w:sz w:val="24"/>
      <w:szCs w:val="24"/>
    </w:rPr>
  </w:style>
  <w:style w:type="paragraph" w:customStyle="1" w:styleId="StdBodyText">
    <w:name w:val="Std Body Text"/>
    <w:basedOn w:val="Normal"/>
    <w:qFormat/>
    <w:rsid w:val="004E1995"/>
    <w:pPr>
      <w:overflowPunct/>
      <w:autoSpaceDE/>
      <w:autoSpaceDN/>
      <w:adjustRightInd/>
      <w:spacing w:before="100" w:after="200"/>
      <w:ind w:left="0"/>
      <w:jc w:val="left"/>
      <w:textAlignment w:val="auto"/>
    </w:pPr>
    <w:rPr>
      <w:rFonts w:cs="Times New Roman"/>
      <w:sz w:val="24"/>
      <w:szCs w:val="24"/>
    </w:rPr>
  </w:style>
  <w:style w:type="paragraph" w:customStyle="1" w:styleId="DefinitionList">
    <w:name w:val="Definition List"/>
    <w:basedOn w:val="Normal"/>
    <w:rsid w:val="004E1995"/>
    <w:pPr>
      <w:overflowPunct/>
      <w:autoSpaceDE/>
      <w:autoSpaceDN/>
      <w:adjustRightInd/>
      <w:spacing w:before="100" w:after="200"/>
      <w:ind w:left="0"/>
      <w:jc w:val="left"/>
      <w:textAlignment w:val="auto"/>
    </w:pPr>
    <w:rPr>
      <w:rFonts w:cs="Times New Roman"/>
      <w:sz w:val="24"/>
      <w:szCs w:val="24"/>
    </w:rPr>
  </w:style>
  <w:style w:type="paragraph" w:customStyle="1" w:styleId="DefinitionListLevel1">
    <w:name w:val="Definition List Level 1"/>
    <w:basedOn w:val="DefinitionList"/>
    <w:rsid w:val="004E1995"/>
  </w:style>
  <w:style w:type="paragraph" w:customStyle="1" w:styleId="DefinitionListLevel2">
    <w:name w:val="Definition List Level 2"/>
    <w:basedOn w:val="DefinitionListLevel1"/>
    <w:rsid w:val="004E1995"/>
  </w:style>
  <w:style w:type="paragraph" w:customStyle="1" w:styleId="StdBodyTextBold">
    <w:name w:val="Std Body Text Bold"/>
    <w:basedOn w:val="Normal"/>
    <w:next w:val="StdBodyText"/>
    <w:link w:val="StdBodyTextBoldChar"/>
    <w:qFormat/>
    <w:rsid w:val="00B74DBD"/>
    <w:pPr>
      <w:overflowPunct/>
      <w:autoSpaceDE/>
      <w:autoSpaceDN/>
      <w:adjustRightInd/>
      <w:spacing w:before="100" w:after="200"/>
      <w:ind w:left="0"/>
      <w:jc w:val="left"/>
      <w:textAlignment w:val="auto"/>
    </w:pPr>
    <w:rPr>
      <w:rFonts w:cs="Times New Roman"/>
      <w:b/>
      <w:sz w:val="24"/>
      <w:szCs w:val="24"/>
    </w:rPr>
  </w:style>
  <w:style w:type="character" w:customStyle="1" w:styleId="StdBodyTextBoldChar">
    <w:name w:val="Std Body Text Bold Char"/>
    <w:basedOn w:val="DefaultParagraphFont"/>
    <w:link w:val="StdBodyTextBold"/>
    <w:rsid w:val="00B74DBD"/>
    <w:rPr>
      <w:rFonts w:eastAsia="Times New Roman" w:cs="Times New Roman"/>
      <w:b/>
      <w:sz w:val="24"/>
      <w:szCs w:val="24"/>
    </w:rPr>
  </w:style>
  <w:style w:type="paragraph" w:customStyle="1" w:styleId="AppendixText1">
    <w:name w:val="Appendix Text 1"/>
    <w:basedOn w:val="Normal"/>
    <w:rsid w:val="00666034"/>
    <w:pPr>
      <w:tabs>
        <w:tab w:val="num" w:pos="720"/>
      </w:tabs>
      <w:ind w:left="720" w:hanging="720"/>
    </w:pPr>
  </w:style>
  <w:style w:type="paragraph" w:customStyle="1" w:styleId="AppendixText2">
    <w:name w:val="Appendix Text 2"/>
    <w:basedOn w:val="Normal"/>
    <w:rsid w:val="00666034"/>
    <w:pPr>
      <w:tabs>
        <w:tab w:val="num" w:pos="1440"/>
      </w:tabs>
      <w:ind w:left="1440" w:hanging="720"/>
    </w:pPr>
  </w:style>
  <w:style w:type="paragraph" w:customStyle="1" w:styleId="AppendixText3">
    <w:name w:val="Appendix Text 3"/>
    <w:basedOn w:val="Normal"/>
    <w:rsid w:val="00666034"/>
    <w:pPr>
      <w:tabs>
        <w:tab w:val="num" w:pos="2160"/>
      </w:tabs>
      <w:ind w:left="2160" w:hanging="720"/>
    </w:pPr>
  </w:style>
  <w:style w:type="paragraph" w:customStyle="1" w:styleId="AppendixText4">
    <w:name w:val="Appendix Text 4"/>
    <w:basedOn w:val="Normal"/>
    <w:rsid w:val="00666034"/>
    <w:pPr>
      <w:tabs>
        <w:tab w:val="num" w:pos="2880"/>
      </w:tabs>
      <w:ind w:left="2880" w:hanging="720"/>
    </w:pPr>
  </w:style>
  <w:style w:type="paragraph" w:customStyle="1" w:styleId="AppendixText5">
    <w:name w:val="Appendix Text 5"/>
    <w:basedOn w:val="Normal"/>
    <w:rsid w:val="00666034"/>
    <w:pPr>
      <w:tabs>
        <w:tab w:val="num" w:pos="3600"/>
      </w:tabs>
      <w:ind w:left="3600" w:hanging="720"/>
    </w:pPr>
  </w:style>
  <w:style w:type="table" w:customStyle="1" w:styleId="2">
    <w:name w:val="2"/>
    <w:basedOn w:val="TableNormal"/>
    <w:pPr>
      <w:spacing w:after="0"/>
    </w:pPr>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1">
    <w:name w:val="1"/>
    <w:basedOn w:val="TableNormal"/>
    <w:pPr>
      <w:spacing w:after="0"/>
    </w:pPr>
    <w:rPr>
      <w:rFonts w:ascii="Calibri" w:eastAsia="Calibri" w:hAnsi="Calibri" w:cs="Calibri"/>
      <w:sz w:val="20"/>
      <w:szCs w:val="20"/>
    </w:rPr>
    <w:tblPr>
      <w:tblStyleRowBandSize w:val="1"/>
      <w:tblStyleColBandSize w:val="1"/>
      <w:tblCellMar>
        <w:left w:w="115" w:type="dxa"/>
        <w:right w:w="115" w:type="dxa"/>
      </w:tblCellMar>
    </w:tblPr>
  </w:style>
  <w:style w:type="paragraph" w:styleId="ListParagraph">
    <w:name w:val="List Paragraph"/>
    <w:basedOn w:val="Normal"/>
    <w:uiPriority w:val="34"/>
    <w:qFormat/>
    <w:rsid w:val="00A203BD"/>
    <w:pPr>
      <w:ind w:left="720"/>
      <w:contextualSpacing/>
    </w:pPr>
  </w:style>
  <w:style w:type="table" w:customStyle="1" w:styleId="a">
    <w:basedOn w:val="TableNormal"/>
    <w:pPr>
      <w:spacing w:after="0"/>
    </w:pPr>
    <w:rPr>
      <w:rFonts w:ascii="Calibri" w:eastAsia="Calibri" w:hAnsi="Calibri" w:cs="Calibri"/>
      <w:sz w:val="20"/>
      <w:szCs w:val="20"/>
    </w:r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RHmAL10bJu4Yma6b0IDAvn5Z+vA==">CgMxLjAyCGguZ2pkZ3hzMgloLjMwajB6bGwyCWguMWZvYjl0ZTIJaC4zem55c2g3MgloLjJldDkycDAyCGgudHlqY3d0MgloLjNkeTZ2a20yCWguMXQzaDVzZjIIaC5paHY2MzYyCWguMWNpOTN4YjIJaC4zMmhpb3F6MgloLjRkMzRvZzgyCWguMnM4ZXlvMTIJaC4xN2RwOHZ1MgloLjNyZGNyam4yCWguMjZpbjFyZzIIaC5sbnhiejkyCWguMzVua3VuMjIJaC4xa3N2NHV2MgloLjQ0c2luaW8yCWguMmp4c3hxaDIIaC56MzM3eWEyCWguM2oycXFtMzIJaC4xeTgxMHR3MgloLjRpN29qaHAyCWguMnhjeXRwaTIJaC4xaG1zeXlzMgloLjIzY2t2dmQyCWguNDFtZ2htbDgAciExQUx5TmtZQUlWaXJ2MkdFQzhKWGVUVHhFajNTVlRtcS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2520</Words>
  <Characters>14368</Characters>
  <Application>Microsoft Office Word</Application>
  <DocSecurity>0</DocSecurity>
  <Lines>119</Lines>
  <Paragraphs>33</Paragraphs>
  <ScaleCrop>false</ScaleCrop>
  <Company/>
  <LinksUpToDate>false</LinksUpToDate>
  <CharactersWithSpaces>16855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Hannah Wright</dc:creator>
  <cp:lastModifiedBy>Mark Cunliffe</cp:lastModifiedBy>
  <cp:revision>2</cp:revision>
  <dcterms:created xsi:type="dcterms:W3CDTF">2023-06-22T11:13:00Z</dcterms:created>
  <dcterms:modified xsi:type="dcterms:W3CDTF">2023-07-12T07:37:00Z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D1V6</vt:lpwstr>
  </property>
</Properties>
</file>