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4 (Framework Management)</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14.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8"/>
        <w:gridCol w:w="5386"/>
        <w:tblGridChange w:id="0">
          <w:tblGrid>
            <w:gridCol w:w="2928"/>
            <w:gridCol w:w="5386"/>
          </w:tblGrid>
        </w:tblGridChange>
      </w:tblGrid>
      <w:tr>
        <w:trPr>
          <w:cantSplit w:val="0"/>
          <w:tblHeader w:val="0"/>
        </w:trPr>
        <w:tc>
          <w:tcPr>
            <w:shd w:fill="auto"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Framework Manager"</w:t>
            </w:r>
          </w:p>
        </w:tc>
        <w:tc>
          <w:tcPr>
            <w:shd w:fill="auto" w:val="clear"/>
          </w:tcPr>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3.1 of this Schedule; and</w:t>
            </w:r>
          </w:p>
        </w:tc>
      </w:tr>
      <w:tr>
        <w:trPr>
          <w:cantSplit w:val="0"/>
          <w:tblHeader w:val="0"/>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Review Meetings"</w:t>
            </w:r>
          </w:p>
        </w:tc>
        <w:tc>
          <w:tcPr>
            <w:shd w:fill="auto" w:val="clear"/>
          </w:tcPr>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5"/>
              </w:tabs>
              <w:spacing w:after="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3.9 of this Schedule.</w:t>
            </w:r>
          </w:p>
        </w:tc>
      </w:tr>
    </w:tbl>
    <w:p w:rsidR="00000000" w:rsidDel="00000000" w:rsidP="00000000" w:rsidRDefault="00000000" w:rsidRPr="00000000" w14:paraId="0000000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CCS and the Supplier will work together</w:t>
      </w:r>
    </w:p>
    <w:p w:rsidR="00000000" w:rsidDel="00000000" w:rsidP="00000000" w:rsidRDefault="00000000" w:rsidRPr="00000000" w14:paraId="000000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achieve this strategic relationship, there will be a requirement to adopt proactive framework management activities which will be informed by quality Management Information, and the sharing of information between the Supplier and CCS.</w:t>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outlines the general structures and management activities that the Parties shall follow during the Framework Period.</w:t>
      </w:r>
    </w:p>
    <w:p w:rsidR="00000000" w:rsidDel="00000000" w:rsidP="00000000" w:rsidRDefault="00000000" w:rsidRPr="00000000" w14:paraId="0000000C">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Management</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Management Structure</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 suitably qualified nominated contact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Framework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will take overall responsibility for delivering the Goods and/or Services required within this Contract, as well as a suitably qualified deputy to act in their absence.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put in place a structure to manage this Contract in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accordance with Framework Schedule 1 (Specification) and the Performance Indicators.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governance structure will be agreed between the Parties as soon as reasonably practicable following the Framework Start Date.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discussions between the Parties following the Framework Start Date, where requested by CCS the Supplier shall produce and issue to CCS a draft supplier action plan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r w:rsidDel="00000000" w:rsidR="00000000" w:rsidRPr="00000000">
        <w:rPr>
          <w:rtl w:val="0"/>
        </w:rPr>
      </w:r>
    </w:p>
    <w:p w:rsidR="00000000" w:rsidDel="00000000" w:rsidP="00000000" w:rsidRDefault="00000000" w:rsidRPr="00000000" w14:paraId="00000012">
      <w:pPr>
        <w:pageBreakBefore w:val="0"/>
        <w:rPr>
          <w:rFonts w:ascii="Arial" w:cs="Arial" w:eastAsia="Arial" w:hAnsi="Arial"/>
          <w:sz w:val="24"/>
          <w:szCs w:val="24"/>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 within two weeks from receipt by the Supplier of CCS’s notification.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comply with its obligations in the Supplier Action Plan as updated from time to time.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requests from CCS in regard to compliance requirements as required including:</w:t>
      </w:r>
    </w:p>
    <w:p w:rsidR="00000000" w:rsidDel="00000000" w:rsidP="00000000" w:rsidRDefault="00000000" w:rsidRPr="00000000" w14:paraId="0000001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Dun and Bradstreet risk failure score monitoring;</w:t>
      </w:r>
    </w:p>
    <w:p w:rsidR="00000000" w:rsidDel="00000000" w:rsidP="00000000" w:rsidRDefault="00000000" w:rsidRPr="00000000" w14:paraId="0000001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evidence that the Required Insurances and Additional Insurances have been renewed and maintained;</w:t>
      </w:r>
    </w:p>
    <w:p w:rsidR="00000000" w:rsidDel="00000000" w:rsidP="00000000" w:rsidRDefault="00000000" w:rsidRPr="00000000" w14:paraId="0000001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invoice payment performance; and</w:t>
      </w:r>
    </w:p>
    <w:p w:rsidR="00000000" w:rsidDel="00000000" w:rsidP="00000000" w:rsidRDefault="00000000" w:rsidRPr="00000000" w14:paraId="000000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 of required accreditations &amp; certifications.</w:t>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Suppliers should participate in further competitions when identified as part of the final bidder list. Failure to bid on further competitions without an acceptable reason may result in the Supplier being suspended from the Framework, in accordance with Clause 10.7 </w:t>
      </w:r>
      <w:r w:rsidDel="00000000" w:rsidR="00000000" w:rsidRPr="00000000">
        <w:rPr>
          <w:rFonts w:ascii="Arial" w:cs="Arial" w:eastAsia="Arial" w:hAnsi="Arial"/>
          <w:sz w:val="24"/>
          <w:szCs w:val="24"/>
          <w:rtl w:val="0"/>
        </w:rPr>
        <w:t xml:space="preserve">of the Core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(Partially ending and suspending the contract), for a period as decided by CCS. </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Review Meetings</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performance review meetings will take place at CCS’s premises throughout the Framework Contract Period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("Supplier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such times and frequencies as CCS determine from time to time (which are anticipated to be once every Month or less)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shall be flexible about the timings of these meetings.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Review Meetings will review the Supplier’s performance under this Contract and, where applicable, the Supplier’s adherence to the Supplier Action Plan. The agenda for each Supplier Review Meeting shall be set by CCS and sent to the Supplier in advance.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CCS may ask the Supplier to discuss any instances known to the Supplier where any Other Contracting Authority decided not to use this Framework Contract for their order.</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Review Meetings shall be attended, as a minimum, by CCS Representative(s) and the Supplier Framework Manager.</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Supplier’s Performance will be measured</w:t>
      </w:r>
    </w:p>
    <w:p w:rsidR="00000000" w:rsidDel="00000000" w:rsidP="00000000" w:rsidRDefault="00000000" w:rsidRPr="00000000" w14:paraId="00000023">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performance will be measured by the following Performance Indicators (“PI”):</w:t>
      </w:r>
    </w:p>
    <w:tbl>
      <w:tblPr>
        <w:tblStyle w:val="Table2"/>
        <w:tblW w:w="80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3"/>
        <w:gridCol w:w="1476"/>
        <w:gridCol w:w="2234"/>
        <w:tblGridChange w:id="0">
          <w:tblGrid>
            <w:gridCol w:w="4293"/>
            <w:gridCol w:w="1476"/>
            <w:gridCol w:w="22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Indicator (PI)</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5">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 Target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6">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Measured by</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80" w:before="80" w:line="276" w:lineRule="auto"/>
              <w:ind w:left="720" w:right="0" w:hanging="36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Management </w:t>
            </w:r>
            <w:r w:rsidDel="00000000" w:rsidR="00000000" w:rsidRPr="00000000">
              <w:rPr>
                <w:rtl w:val="0"/>
              </w:rPr>
            </w:r>
          </w:p>
        </w:tc>
      </w:tr>
      <w:tr>
        <w:trPr>
          <w:cantSplit w:val="0"/>
          <w:trHeight w:val="787"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MI returns: All MI returns to be returned to CCS by the 7th Working Day of each month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keepNext w:val="1"/>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and time of receipt by CCS (as evidenced within  CCS’s data warehouse (MISO) system)</w:t>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 All undisputed invoices to be paid within 30 calendar days of issue</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keepNext w:val="1"/>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and time of receipt by CCS (as evidenced within CCS’s CODA system)</w:t>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 Supplier self-audit certificate to be issued to CCS in accordance with the Framework Agreement</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keepNext w:val="1"/>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and time of receipt by CCS</w:t>
            </w:r>
          </w:p>
        </w:tc>
      </w:tr>
      <w:tr>
        <w:trPr>
          <w:cantSplit w:val="0"/>
          <w:trHeight w:val="787"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 Actions identified in an Audit Report to be delivered by the dates set out in the Audit Report</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keepNext w:val="1"/>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by CCS of completion of the actions by the dates identified in the Audit Report</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 Develop and deliver a Social Value plan within 3 months of Framework Contract Start Date. Detail how you will contribute to the overall achievement of CCS and Buyer(s) Social Value priorities at the Framework Contract level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 Framework Schedule 1 - Annex A Social Value Report to be submitted to CCS yearly on the anniversary of the contract commencement date.  This details how Social Value has been delivered under the Framework Agreement.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 Complete the Government’s Modern Slavery Assessment Template (MSAT) as requested in Joint Schedule 5 (Corporate Social Responsibility) within 3 months of the Framework Contract Start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1.8 Annual certification of the Government’s Modern Slavery Assessment Template (MSAT)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1"/>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and time of receipt by CCS</w:t>
            </w:r>
          </w:p>
        </w:tc>
      </w:tr>
      <w:tr>
        <w:trPr>
          <w:cantSplit w:val="0"/>
          <w:trHeight w:val="787"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 Supplier to ensure full and accurate catalogues, for each Framework Lot they are on, are available to Buyer(s) at Framework launch and throughout the period of the Framework Agreement in line with the requirement in the Framework specification.</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keepNext w:val="1"/>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by CCS at Framework launch.  Subsequent monthly audit spot checks by CCS on Supplier catalogues for the duration of the Framework period</w:t>
            </w:r>
          </w:p>
        </w:tc>
      </w:tr>
      <w:tr>
        <w:trPr>
          <w:cantSplit w:val="0"/>
          <w:trHeight w:val="787"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keepNext w:val="1"/>
              <w:numPr>
                <w:ilvl w:val="0"/>
                <w:numId w:val="1"/>
              </w:numPr>
              <w:spacing w:after="80" w:before="80" w:line="276"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Satisfaction</w:t>
            </w:r>
            <w:r w:rsidDel="00000000" w:rsidR="00000000" w:rsidRPr="00000000">
              <w:rPr>
                <w:rtl w:val="0"/>
              </w:rPr>
            </w:r>
          </w:p>
        </w:tc>
      </w:tr>
      <w:tr>
        <w:trPr>
          <w:cantSplit w:val="0"/>
          <w:trHeight w:val="787"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Goods and/or Services to be provided under Call Off Contracts to the satisfaction of the Buyer(s)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9">
            <w:pPr>
              <w:keepNext w:val="1"/>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95%</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by CCS of the Supplier’s performance against customer satisfaction surveys.  These are to be issued at the end of every project</w:t>
            </w:r>
          </w:p>
        </w:tc>
      </w:tr>
    </w:tbl>
    <w:p w:rsidR="00000000" w:rsidDel="00000000" w:rsidP="00000000" w:rsidRDefault="00000000" w:rsidRPr="00000000" w14:paraId="0000004B">
      <w:pPr>
        <w:pageBreakBefore w:val="0"/>
        <w:tabs>
          <w:tab w:val="left" w:leader="none" w:pos="1134"/>
        </w:tabs>
        <w:spacing w:after="120"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PIs and establish processes to monitor its performance against them and the Supplier’s achievement of PIs shall be reviewed during the Supplier Review Meetings. </w:t>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reserves the right to adjust, introduce new, or remove PIs throughout the Framework Contract Period, however any significant changes to PIs shall be agreed between CCS and the Supplier in accordance with the Variation Procedure.</w:t>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reserves the right to use and publish the performance of the Supplier against the PIs without restriction.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CCS reserves the right to adjust reporting mechanisms.</w:t>
      </w:r>
    </w:p>
    <w:p w:rsidR="00000000" w:rsidDel="00000000" w:rsidP="00000000" w:rsidRDefault="00000000" w:rsidRPr="00000000" w14:paraId="00000050">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the Supplier must do to measure their performance</w:t>
      </w:r>
    </w:p>
    <w:p w:rsidR="00000000" w:rsidDel="00000000" w:rsidP="00000000" w:rsidRDefault="00000000" w:rsidRPr="00000000" w14:paraId="00000051">
      <w:pPr>
        <w:keepNext w:val="1"/>
        <w:keepLines w:val="1"/>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000000" w:rsidDel="00000000" w:rsidP="00000000" w:rsidRDefault="00000000" w:rsidRPr="00000000" w14:paraId="0000005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tracking reductions in product volumes and product costs, in order to demonstrate that Buyers are consuming less and buying more smartly; </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metrics that are to be implemented to measure efficiency shall be developed and agreed between CCS and the Supplier. Such metrics shall be incorporated into the list of PIs set out in this Schedule.</w:t>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ongoing progress and development of the efficiency tracking performance measures shall be reported through framework management activities as outlined in this Schedule.</w:t>
      </w:r>
    </w:p>
    <w:p w:rsidR="00000000" w:rsidDel="00000000" w:rsidP="00000000" w:rsidRDefault="00000000" w:rsidRPr="00000000" w14:paraId="0000005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to do if CCS and the Supplier can’t agree about the performance </w:t>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cases where CCS Authorised Representative and the Supplier Authorised Representative fail to reach a solution within a reasonable period of time, the matter shall be referred to the Dispute Resolution Procedure.</w:t>
      </w:r>
    </w:p>
    <w:p w:rsidR="00000000" w:rsidDel="00000000" w:rsidP="00000000" w:rsidRDefault="00000000" w:rsidRPr="00000000" w14:paraId="0000005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Marketing</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 person is appointed as Supplier Marketing Contact who shall be responsible for the marketing obligations of the Supplier in relation to this Contract. </w:t>
      </w:r>
    </w:p>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must contribute to CCS publications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supply current information relating to the Goods and/or Services it offers for inclusion in CCS marketing materials when required by CCS from time to time.</w:t>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information shall be provided in such form and at such time as CCS may request.</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the provisions of Paragraphs 7.2 and 7.3 may result in the Supplier's exclusion from the use of such marketing materials.</w:t>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Suppliers can say in its own publications</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marketing materials produced by the Supplier in relation to this Framework shall at all times comply with the CCS branding guidance at</w:t>
        <w:tab/>
        <w:t xml:space="preserve">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https://www.gov.uk/government/publications/crown-commercial-service-supplier-logo-and-brand-guidelines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periodically update and revise its marketing materials to ensure ongoing compliance.</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regularly review the content of any information which appears on its website and which relates to each Contract and ensure that such information is up to date at all times.</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000000" w:rsidDel="00000000" w:rsidP="00000000" w:rsidRDefault="00000000" w:rsidRPr="00000000" w14:paraId="00000064">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Where CCS might oversee parts of the Call-Off Contracts</w:t>
      </w:r>
    </w:p>
    <w:p w:rsidR="00000000" w:rsidDel="00000000" w:rsidP="00000000" w:rsidRDefault="00000000" w:rsidRPr="00000000" w14:paraId="00000065">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have oversight of certain processes which are operated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Call-Off 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oversight shall be provided in relation to the operation of the following Schedules in each Call-Off  Contract:</w:t>
      </w:r>
    </w:p>
    <w:p w:rsidR="00000000" w:rsidDel="00000000" w:rsidP="00000000" w:rsidRDefault="00000000" w:rsidRPr="00000000" w14:paraId="0000006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3 (Continuous Improvement);</w:t>
      </w:r>
    </w:p>
    <w:p w:rsidR="00000000" w:rsidDel="00000000" w:rsidP="00000000" w:rsidRDefault="00000000" w:rsidRPr="00000000" w14:paraId="0000006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8 (Business Continuity and Disaster Recovery);</w:t>
      </w:r>
    </w:p>
    <w:p w:rsidR="00000000" w:rsidDel="00000000" w:rsidP="00000000" w:rsidRDefault="00000000" w:rsidRPr="00000000" w14:paraId="0000006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9 (Security); and</w:t>
      </w:r>
    </w:p>
    <w:p w:rsidR="00000000" w:rsidDel="00000000" w:rsidP="00000000" w:rsidRDefault="00000000" w:rsidRPr="00000000" w14:paraId="0000006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16 (Benchmarking).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16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"Supported Schedules"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must support CCS involvement</w:t>
      </w:r>
    </w:p>
    <w:p w:rsidR="00000000" w:rsidDel="00000000" w:rsidP="00000000" w:rsidRDefault="00000000" w:rsidRPr="00000000" w14:paraId="0000006C">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co-operate as reasonably required by CCS in relation to the Supported Schedules including:</w:t>
      </w:r>
    </w:p>
    <w:p w:rsidR="00000000" w:rsidDel="00000000" w:rsidP="00000000" w:rsidRDefault="00000000" w:rsidRPr="00000000" w14:paraId="0000006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 of information;</w:t>
      </w:r>
    </w:p>
    <w:p w:rsidR="00000000" w:rsidDel="00000000" w:rsidP="00000000" w:rsidRDefault="00000000" w:rsidRPr="00000000" w14:paraId="0000006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allowing CCS to act as agent for the Buyers under the Supported Schedules for such matters as CCS may notify to the Supplier from time to time; and</w:t>
      </w:r>
    </w:p>
    <w:p w:rsidR="00000000" w:rsidDel="00000000" w:rsidP="00000000" w:rsidRDefault="00000000" w:rsidRPr="00000000" w14:paraId="0000006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matters as CCS may notify to the Supplier from time to time.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CCS might manage the process for Buyers collectively </w:t>
      </w:r>
    </w:p>
    <w:p w:rsidR="00000000" w:rsidDel="00000000" w:rsidP="00000000" w:rsidRDefault="00000000" w:rsidRPr="00000000" w14:paraId="00000071">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general oversight as referred to above the following specific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oversight shall apply to the individual Supported Schedules:</w:t>
      </w:r>
    </w:p>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1"/>
          <w:i w:val="0"/>
          <w:smallCaps w:val="0"/>
          <w:strike w:val="0"/>
          <w:color w:val="000000"/>
          <w:sz w:val="24"/>
          <w:szCs w:val="24"/>
          <w:u w:val="none"/>
          <w:shd w:fill="ead1dc"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3 (Continuous Improvement) - the Supplier shall:</w:t>
      </w:r>
    </w:p>
    <w:p w:rsidR="00000000" w:rsidDel="00000000" w:rsidP="00000000" w:rsidRDefault="00000000" w:rsidRPr="00000000" w14:paraId="0000007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 a policy of continuous improvement in relation to the Deliverables;</w:t>
      </w:r>
    </w:p>
    <w:p w:rsidR="00000000" w:rsidDel="00000000" w:rsidP="00000000" w:rsidRDefault="00000000" w:rsidRPr="00000000" w14:paraId="0000007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maintain and update a continuous improvement plan for improving the provision of the Deliverables and/or reducing the Charges and, where requested by CCS, incorporate any improvement identified in accordance with the Variation Procedure.</w:t>
      </w:r>
    </w:p>
    <w:p w:rsidR="00000000" w:rsidDel="00000000" w:rsidP="00000000" w:rsidRDefault="00000000" w:rsidRPr="00000000" w14:paraId="0000007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8 (Business Continuity and Disaster Recovery) - the Supplier shall:</w:t>
      </w:r>
    </w:p>
    <w:p w:rsidR="00000000" w:rsidDel="00000000" w:rsidP="00000000" w:rsidRDefault="00000000" w:rsidRPr="00000000" w14:paraId="0000007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hold a template BCDR plan that can be used by each Buyer and shall make it available to CCS so that it can be published to potential Buyers; and</w:t>
      </w:r>
    </w:p>
    <w:p w:rsidR="00000000" w:rsidDel="00000000" w:rsidP="00000000" w:rsidRDefault="00000000" w:rsidRPr="00000000" w14:paraId="00000078">
      <w:pPr>
        <w:pageBreakBefore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CCS in the event of the invocation or potential invocation of any BCDR plan and the Supplier shall provide such support as CCS may reasonably require to coordinate the application of BCDR plans across all Call Off Contracts.</w:t>
      </w:r>
    </w:p>
    <w:p w:rsidR="00000000" w:rsidDel="00000000" w:rsidP="00000000" w:rsidRDefault="00000000" w:rsidRPr="00000000" w14:paraId="0000007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9 (Security) - the Supplier shall:</w:t>
      </w:r>
    </w:p>
    <w:p w:rsidR="00000000" w:rsidDel="00000000" w:rsidP="00000000" w:rsidRDefault="00000000" w:rsidRPr="00000000" w14:paraId="0000007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hold a template Security Plan that can be used by each Buyer and shall make it available to CCS so that it can be published to potential Buyers; and</w:t>
      </w:r>
    </w:p>
    <w:p w:rsidR="00000000" w:rsidDel="00000000" w:rsidP="00000000" w:rsidRDefault="00000000" w:rsidRPr="00000000" w14:paraId="0000007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CCS in the event of breach of any Security Plan and the Supplier shall provide such support as CCS may reasonably require to coordinate the application of Security Plans across all Call Off Contracts.</w:t>
      </w:r>
    </w:p>
    <w:p w:rsidR="00000000" w:rsidDel="00000000" w:rsidP="00000000" w:rsidRDefault="00000000" w:rsidRPr="00000000" w14:paraId="0000007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16 (Benchmarking) - the Supplier:</w:t>
      </w:r>
    </w:p>
    <w:p w:rsidR="00000000" w:rsidDel="00000000" w:rsidP="00000000" w:rsidRDefault="00000000" w:rsidRPr="00000000" w14:paraId="0000007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notify CCS in the event that any benchmarker is appoint in respect of any Call Off Contract and the Supplier recognises that CCS may want to co-ordinate how benchmarking is conducted across multiple Call Off Contracts;</w:t>
      </w:r>
    </w:p>
    <w:p w:rsidR="00000000" w:rsidDel="00000000" w:rsidP="00000000" w:rsidRDefault="00000000" w:rsidRPr="00000000" w14:paraId="0000008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where CCS is appointed as agent by Buyers in respect of benchmarking, co-operate with CCS in order to operate the benchmarking as efficiently as possible;</w:t>
      </w:r>
    </w:p>
    <w:p w:rsidR="00000000" w:rsidDel="00000000" w:rsidP="00000000" w:rsidRDefault="00000000" w:rsidRPr="00000000" w14:paraId="0000008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tab/>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rFonts w:ascii="Arial" w:cs="Arial" w:eastAsia="Arial" w:hAnsi="Arial"/>
        <w:sz w:val="20"/>
        <w:szCs w:val="20"/>
        <w:rtl w:val="0"/>
      </w:rPr>
      <w:t xml:space="preserve">Model Version: v3.4</w:t>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4 (Framework Management)</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4 (Framework Management)</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2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tabs>
        <w:tab w:val="left" w:pos="-5585"/>
      </w:tabs>
      <w:spacing w:after="120" w:line="240" w:lineRule="auto"/>
      <w:ind w:left="2665" w:hanging="964"/>
      <w:jc w:val="both"/>
    </w:pPr>
    <w:rPr>
      <w:rFonts w:ascii="Arial" w:cs="Arial" w:eastAsia="Arial" w:hAnsi="Arial"/>
    </w:rPr>
  </w:style>
  <w:style w:type="paragraph" w:styleId="Heading6">
    <w:name w:val="heading 6"/>
    <w:basedOn w:val="Normal"/>
    <w:next w:val="Normal"/>
    <w:pPr>
      <w:pageBreakBefore w:val="0"/>
      <w:tabs>
        <w:tab w:val="left" w:pos="-8987"/>
        <w:tab w:val="left"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5">
    <w:name w:val="heading 5"/>
    <w:basedOn w:val="Normal"/>
    <w:link w:val="Heading5Char"/>
    <w:pPr>
      <w:tabs>
        <w:tab w:val="left" w:pos="-5585"/>
      </w:tabs>
      <w:overflowPunct w:val="0"/>
      <w:autoSpaceDE w:val="0"/>
      <w:autoSpaceDN w:val="0"/>
      <w:spacing w:after="120" w:line="240" w:lineRule="auto"/>
      <w:ind w:left="2665" w:hanging="964"/>
      <w:jc w:val="both"/>
      <w:textAlignment w:val="baseline"/>
      <w:outlineLvl w:val="4"/>
    </w:pPr>
    <w:rPr>
      <w:rFonts w:ascii="Arial" w:cs="Times New Roman" w:eastAsia="Times New Roman" w:hAnsi="Arial"/>
    </w:rPr>
  </w:style>
  <w:style w:type="paragraph" w:styleId="Heading6">
    <w:name w:val="heading 6"/>
    <w:basedOn w:val="Heading5"/>
    <w:link w:val="Heading6Char"/>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val="1"/>
    <w:qFormat w:val="1"/>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2"/>
      </w:numPr>
      <w:tabs>
        <w:tab w:val="left" w:pos="142"/>
      </w:tabs>
      <w:adjustRightInd w:val="0"/>
      <w:spacing w:after="240" w:before="120" w:line="240" w:lineRule="auto"/>
      <w:ind w:left="426" w:hanging="426"/>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adjustRightInd w:val="0"/>
      <w:spacing w:after="120" w:before="120" w:line="240" w:lineRule="auto"/>
      <w:ind w:left="1656"/>
      <w:jc w:val="both"/>
    </w:pPr>
    <w:rPr>
      <w:rFonts w:ascii="Calibri" w:cs="Arial" w:eastAsia="Times New Roman" w:hAnsi="Calibri"/>
      <w:lang w:eastAsia="zh-CN"/>
    </w:rPr>
  </w:style>
  <w:style w:type="paragraph" w:styleId="GPSL4numberedclause" w:customStyle="1">
    <w:name w:val="GPS L4 numbered clause"/>
    <w:basedOn w:val="GPSL3numberedclause"/>
    <w:qFormat w:val="1"/>
    <w:pPr>
      <w:numPr>
        <w:ilvl w:val="3"/>
      </w:numPr>
      <w:tabs>
        <w:tab w:val="clear" w:pos="1985"/>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overflowPunct w:val="0"/>
      <w:autoSpaceDE w:val="0"/>
      <w:autoSpaceDN w:val="0"/>
      <w:adjustRightInd w:val="0"/>
      <w:spacing w:after="120" w:line="240" w:lineRule="auto"/>
      <w:jc w:val="both"/>
      <w:textAlignment w:val="baseline"/>
    </w:pPr>
    <w:rPr>
      <w:rFonts w:ascii="Calibri" w:cs="Arial" w:eastAsia="Times New Roman" w:hAnsi="Calibri"/>
    </w:r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Calibri" w:cs="Arial" w:eastAsia="Times New Roman" w:hAnsi="Calibri"/>
      <w:b w:val="1"/>
    </w:rPr>
  </w:style>
  <w:style w:type="paragraph" w:styleId="GPSL1SCHEDULEHeading" w:customStyle="1">
    <w:name w:val="GPS L1 SCHEDULE Heading"/>
    <w:basedOn w:val="GPSL1CLAUSEHEADING"/>
    <w:link w:val="GPSL1SCHEDULEHeadingChar"/>
    <w:qFormat w:val="1"/>
    <w:rsid w:val="005C6957"/>
    <w:pPr>
      <w:ind w:left="360" w:hanging="360"/>
      <w:outlineLvl w:val="9"/>
    </w:pPr>
    <w:rPr>
      <w:caps w:val="0"/>
    </w:rPr>
  </w:style>
  <w:style w:type="paragraph" w:styleId="GPSL3Guidance" w:customStyle="1">
    <w:name w:val="GPS L3 Guidance"/>
    <w:basedOn w:val="GPSL3numberedclause"/>
    <w:link w:val="GPSL3GuidanceChar"/>
    <w:qFormat w:val="1"/>
    <w:pPr>
      <w:numPr>
        <w:ilvl w:val="0"/>
        <w:numId w:val="0"/>
      </w:numPr>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Calibri" w:cs="Arial" w:eastAsia="Times New Roman" w:hAnsi="Calibri"/>
      <w:color w:val="ffffff"/>
      <w:sz w:val="16"/>
      <w:szCs w:val="16"/>
    </w:rPr>
  </w:style>
  <w:style w:type="paragraph" w:styleId="GPSL2Numbered" w:customStyle="1">
    <w:name w:val="GPS L2 Numbered"/>
    <w:basedOn w:val="GPSL2NumberedBoldHeading"/>
    <w:link w:val="GPSL2NumberedChar"/>
    <w:qFormat w:val="1"/>
    <w:pPr>
      <w:tabs>
        <w:tab w:val="clear" w:pos="1134"/>
      </w:tabs>
      <w:ind w:left="720"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5C6957"/>
    <w:rPr>
      <w:rFonts w:ascii="Calibri" w:cs="Arial" w:eastAsia="STZhongsong" w:hAnsi="Calibri"/>
      <w:b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Heading8Char" w:customStyle="1">
    <w:name w:val="Heading 8 Char"/>
    <w:basedOn w:val="DefaultParagraphFont"/>
    <w:link w:val="Heading8"/>
    <w:rPr>
      <w:rFonts w:asciiTheme="majorHAnsi" w:cstheme="majorBidi" w:eastAsiaTheme="majorEastAsia" w:hAnsiTheme="majorHAnsi"/>
      <w:color w:val="404040" w:themeColor="text1" w:themeTint="0000BF"/>
      <w:sz w:val="20"/>
      <w:szCs w:val="20"/>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numbering" w:styleId="WWOutlineListStyle8" w:customStyle="1">
    <w:name w:val="WW_OutlineListStyle_8"/>
    <w:basedOn w:val="NoList"/>
    <w:pPr>
      <w:numPr>
        <w:numId w:val="4"/>
      </w:numPr>
    </w:pPr>
  </w:style>
  <w:style w:type="character" w:styleId="Hyperlink">
    <w:name w:val="Hyperlink"/>
    <w:basedOn w:val="DefaultParagraphFont"/>
    <w:uiPriority w:val="99"/>
    <w:unhideWhenUsed w:val="1"/>
    <w:rPr>
      <w:color w:val="0000ff" w:themeColor="hyperlink"/>
      <w:u w:val="single"/>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line="240" w:lineRule="auto"/>
    </w:pPr>
  </w:style>
  <w:style w:type="paragraph" w:styleId="GPSL2numberedclause" w:customStyle="1">
    <w:name w:val="GPS L2 numbered clause"/>
    <w:basedOn w:val="Normal"/>
    <w:link w:val="GPSL2numberedclauseChar1"/>
    <w:qFormat w:val="1"/>
    <w:pPr>
      <w:tabs>
        <w:tab w:val="num" w:pos="720"/>
        <w:tab w:val="left" w:pos="1134"/>
      </w:tabs>
      <w:adjustRightInd w:val="0"/>
      <w:spacing w:after="120" w:before="120" w:line="240" w:lineRule="auto"/>
      <w:ind w:left="720" w:hanging="720"/>
      <w:jc w:val="both"/>
    </w:pPr>
    <w:rPr>
      <w:rFonts w:ascii="Calibri" w:cs="Arial" w:eastAsia="Times New Roman" w:hAnsi="Calibri"/>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crown-commercial-service-supplier-logo-and-brand-guideline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O0Tzv8IlLcpYdJE9QAv61Zsjhw==">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2020-10-06T15:38:00Z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