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pBdr>
          <w:top w:space="0" w:sz="0" w:val="nil"/>
          <w:left w:space="0" w:sz="0" w:val="nil"/>
          <w:bottom w:space="0" w:sz="0" w:val="nil"/>
          <w:right w:space="0" w:sz="0" w:val="nil"/>
          <w:between w:space="0" w:sz="0" w:val="nil"/>
        </w:pBdr>
        <w:spacing w:after="120" w:befor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Framework Schedule 7 (Call-Off Award Procedure</w:t>
      </w:r>
      <w:bookmarkStart w:colFirst="0" w:colLast="0" w:name="bookmark=id.gjdgxs" w:id="0"/>
      <w:bookmarkEnd w:id="0"/>
      <w:r w:rsidDel="00000000" w:rsidR="00000000" w:rsidRPr="00000000">
        <w:rPr>
          <w:rFonts w:ascii="Arial" w:cs="Arial" w:eastAsia="Arial" w:hAnsi="Arial"/>
          <w:b w:val="1"/>
          <w:color w:val="000000"/>
          <w:sz w:val="36"/>
          <w:szCs w:val="36"/>
          <w:rtl w:val="0"/>
        </w:rPr>
        <w:t xml:space="preserve">) </w:t>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pacing w:after="120" w:befor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Part 1: Order Procedure</w:t>
      </w:r>
    </w:p>
    <w:p w:rsidR="00000000" w:rsidDel="00000000" w:rsidP="00000000" w:rsidRDefault="00000000" w:rsidRPr="00000000" w14:paraId="00000003">
      <w:pPr>
        <w:keepNext w:val="1"/>
        <w:widowControl w:val="1"/>
        <w:numPr>
          <w:ilvl w:val="0"/>
          <w:numId w:val="4"/>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a Call-Off Contract is awarded</w:t>
      </w:r>
    </w:p>
    <w:p w:rsidR="00000000" w:rsidDel="00000000" w:rsidP="00000000" w:rsidRDefault="00000000" w:rsidRPr="00000000" w14:paraId="00000004">
      <w:pPr>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If a potential Buyer decides to source Deliverables through this Contract then it will award its Deliverables in accordance with the procedure in this Schedule and the requirements of the Regulations.</w:t>
      </w:r>
    </w:p>
    <w:p w:rsidR="00000000" w:rsidDel="00000000" w:rsidP="00000000" w:rsidRDefault="00000000" w:rsidRPr="00000000" w14:paraId="00000005">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If the potential Buyer can determine that:</w:t>
      </w:r>
    </w:p>
    <w:p w:rsidR="00000000" w:rsidDel="00000000" w:rsidP="00000000" w:rsidRDefault="00000000" w:rsidRPr="00000000" w14:paraId="00000006">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Deliverables can be met by the Suppliers’ catalogues and description of the Deliverables as set out in Framework Schedule 1 (Specification) and Framework Schedule 2 (Framework Tender); and</w:t>
      </w:r>
    </w:p>
    <w:p w:rsidR="00000000" w:rsidDel="00000000" w:rsidP="00000000" w:rsidRDefault="00000000" w:rsidRPr="00000000" w14:paraId="00000007">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of the terms of the proposed Call-Off Contract are laid down in this Contract and do not require amendment or any supplementary terms and conditions;</w:t>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tabs>
          <w:tab w:val="left" w:leader="none" w:pos="4536"/>
        </w:tabs>
        <w:spacing w:after="2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the Buyer may award a Call-Off Contract in accordance with the procedure set out in Paragraph 2 below.</w:t>
      </w:r>
    </w:p>
    <w:p w:rsidR="00000000" w:rsidDel="00000000" w:rsidP="00000000" w:rsidRDefault="00000000" w:rsidRPr="00000000" w14:paraId="00000009">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all of the terms of the proposed Call-Off Contract are not laid down in this Contract and the potential Buyer:</w:t>
      </w:r>
    </w:p>
    <w:p w:rsidR="00000000" w:rsidDel="00000000" w:rsidP="00000000" w:rsidRDefault="00000000" w:rsidRPr="00000000" w14:paraId="0000000A">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requires the Supplier to develop proposals or a solution in respect of such Deliverables; and/or</w:t>
      </w:r>
    </w:p>
    <w:p w:rsidR="00000000" w:rsidDel="00000000" w:rsidP="00000000" w:rsidRDefault="00000000" w:rsidRPr="00000000" w14:paraId="0000000B">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needs to amend or refine the terms of the Framework Contract to reflect its Deliverables to the extent permitted by and in accordance with the Regulations;</w:t>
      </w:r>
    </w:p>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tabs>
          <w:tab w:val="left" w:leader="none" w:pos="4536"/>
        </w:tabs>
        <w:spacing w:after="220" w:lineRule="auto"/>
        <w:ind w:left="9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the Buyer may award a Call-Off Contract in accordance with the Further Competition Procedure set out in Paragraph 3 below.</w:t>
      </w:r>
    </w:p>
    <w:p w:rsidR="00000000" w:rsidDel="00000000" w:rsidP="00000000" w:rsidRDefault="00000000" w:rsidRPr="00000000" w14:paraId="0000000D">
      <w:pPr>
        <w:keepNext w:val="1"/>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a direct award works</w:t>
      </w:r>
    </w:p>
    <w:p w:rsidR="00000000" w:rsidDel="00000000" w:rsidP="00000000" w:rsidRDefault="00000000" w:rsidRPr="00000000" w14:paraId="0000000E">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1.2 above the Buyer awarding a Call-Off Contract under this Contract without holding a further competition shall:</w:t>
      </w:r>
    </w:p>
    <w:p w:rsidR="00000000" w:rsidDel="00000000" w:rsidP="00000000" w:rsidRDefault="00000000" w:rsidRPr="00000000" w14:paraId="0000000F">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develop a clear Statement of Requirements;</w:t>
      </w:r>
    </w:p>
    <w:p w:rsidR="00000000" w:rsidDel="00000000" w:rsidP="00000000" w:rsidRDefault="00000000" w:rsidRPr="00000000" w14:paraId="00000010">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apply the direct award criteria to the Suppliers’ catalogues</w:t>
      </w:r>
      <w:r w:rsidDel="00000000" w:rsidR="00000000" w:rsidRPr="00000000">
        <w:rPr>
          <w:rFonts w:ascii="Arial" w:cs="Arial" w:eastAsia="Arial" w:hAnsi="Arial"/>
          <w:sz w:val="24"/>
          <w:szCs w:val="24"/>
          <w:rtl w:val="0"/>
        </w:rPr>
        <w:t xml:space="preserve">, price matrices and</w:t>
      </w:r>
      <w:r w:rsidDel="00000000" w:rsidR="00000000" w:rsidRPr="00000000">
        <w:rPr>
          <w:rFonts w:ascii="Arial" w:cs="Arial" w:eastAsia="Arial" w:hAnsi="Arial"/>
          <w:color w:val="000000"/>
          <w:sz w:val="24"/>
          <w:szCs w:val="24"/>
          <w:rtl w:val="0"/>
        </w:rPr>
        <w:t xml:space="preserve"> description of the Deliverables as set out in Framework Schedule 1 (Specification) and Framework Schedule 2 (Framework Tender) for all Suppliers capable of meeting the Statement of Requirements in order to establish which Supplier provides the most economically advantageous solution; and</w:t>
      </w:r>
    </w:p>
    <w:p w:rsidR="00000000" w:rsidDel="00000000" w:rsidP="00000000" w:rsidRDefault="00000000" w:rsidRPr="00000000" w14:paraId="00000011">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the basis set out above, award the Call-Off Contract with the successful Supplier in accordance with Paragraph 6 below.</w:t>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tabs>
          <w:tab w:val="left" w:leader="none" w:pos="3641"/>
        </w:tabs>
        <w:spacing w:after="120" w:before="12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tabs>
          <w:tab w:val="left" w:leader="none" w:pos="3641"/>
        </w:tabs>
        <w:spacing w:after="120" w:before="12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1"/>
        <w:numPr>
          <w:ilvl w:val="1"/>
          <w:numId w:val="1"/>
        </w:numPr>
        <w:pBdr>
          <w:top w:space="0" w:sz="0" w:val="nil"/>
          <w:left w:space="0" w:sz="0" w:val="nil"/>
          <w:bottom w:space="0" w:sz="0" w:val="nil"/>
          <w:right w:space="0" w:sz="0" w:val="nil"/>
          <w:between w:space="0" w:sz="0" w:val="nil"/>
        </w:pBdr>
        <w:tabs>
          <w:tab w:val="left" w:leader="none" w:pos="3641"/>
        </w:tabs>
        <w:spacing w:after="120" w:before="12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Subject to Paragraph 2.1, where the Buyer is the Ministry of Defence (“MOD”), which shall include any MOD Central Government Body, such a Buyer may award a Call-Off Contract without holding a further competition and the following provisions shall apply:</w:t>
      </w:r>
    </w:p>
    <w:p w:rsidR="00000000" w:rsidDel="00000000" w:rsidP="00000000" w:rsidRDefault="00000000" w:rsidRPr="00000000" w14:paraId="00000015">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may place direct order (“Purchase Order”) via the MOD’s electronic Contracting, Purchasing and Finance (“CP&amp;F”) system that shall be used to host suppliers’ online catalogues under the Framework Contract.</w:t>
      </w:r>
    </w:p>
    <w:p w:rsidR="00000000" w:rsidDel="00000000" w:rsidP="00000000" w:rsidRDefault="00000000" w:rsidRPr="00000000" w14:paraId="00000016">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MOD’s Call Off Contract with the Supplier shall incorporate Schedule 17 (MOD Terms) which shall apply to each Call Off Contract entered into between the MOD and a Supplier when the MOD as Buyer orders in accordance with Paragraph 2.2.1 above.</w:t>
      </w:r>
    </w:p>
    <w:p w:rsidR="00000000" w:rsidDel="00000000" w:rsidP="00000000" w:rsidRDefault="00000000" w:rsidRPr="00000000" w14:paraId="00000017">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upon receipt of a Purchase Order via the CP &amp; F system under Paragraph 2.2.1 above, send an order acknowledgement to the Buyer within two (2) Working Days and a Call Off Contract shall then be formed in accordance with 2.2.2 above.</w:t>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tabs>
          <w:tab w:val="left" w:leader="none" w:pos="3641"/>
        </w:tabs>
        <w:spacing w:after="120" w:before="120" w:lineRule="auto"/>
        <w:ind w:left="261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the Buyer agree that Schedule 7 (Call-Off Award Procedure) and in particular its Paragraph 6 (Awarding and creating a Call-Off Contract), shall be amended accordingly.</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tabs>
          <w:tab w:val="left" w:leader="none" w:pos="3641"/>
        </w:tabs>
        <w:spacing w:after="120" w:before="120" w:lineRule="auto"/>
        <w:ind w:left="1985"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keepNext w:val="1"/>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a further competition works</w:t>
      </w:r>
    </w:p>
    <w:p w:rsidR="00000000" w:rsidDel="00000000" w:rsidP="00000000" w:rsidRDefault="00000000" w:rsidRPr="00000000" w14:paraId="0000001B">
      <w:pPr>
        <w:keepNext w:val="1"/>
        <w:widowControl w:val="1"/>
        <w:pBdr>
          <w:top w:space="0" w:sz="0" w:val="nil"/>
          <w:left w:space="0" w:sz="0" w:val="nil"/>
          <w:bottom w:space="0" w:sz="0" w:val="nil"/>
          <w:right w:space="0" w:sz="0" w:val="nil"/>
          <w:between w:space="0" w:sz="0" w:val="nil"/>
        </w:pBdr>
        <w:tabs>
          <w:tab w:val="left" w:leader="none" w:pos="3054"/>
        </w:tabs>
        <w:spacing w:after="120" w:before="120" w:lineRule="auto"/>
        <w:ind w:left="1134" w:hanging="774"/>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the Buyer has to do</w:t>
      </w:r>
    </w:p>
    <w:p w:rsidR="00000000" w:rsidDel="00000000" w:rsidP="00000000" w:rsidRDefault="00000000" w:rsidRPr="00000000" w14:paraId="0000001C">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awarding a Call-Off Contract under this Contract through a Further Competition Procedure shall:</w:t>
      </w:r>
    </w:p>
    <w:p w:rsidR="00000000" w:rsidDel="00000000" w:rsidP="00000000" w:rsidRDefault="00000000" w:rsidRPr="00000000" w14:paraId="0000001D">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develop a Statement of Requirements setting out its requirements for the Deliverables and identify the Suppliers capable of supplying the them;</w:t>
      </w:r>
    </w:p>
    <w:p w:rsidR="00000000" w:rsidDel="00000000" w:rsidP="00000000" w:rsidRDefault="00000000" w:rsidRPr="00000000" w14:paraId="0000001E">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amend or refine the Deliverables to reflect its requirements by using the Order Form only to the extent permitted by and in accordance with the requirements of the Regulations;</w:t>
      </w:r>
    </w:p>
    <w:p w:rsidR="00000000" w:rsidDel="00000000" w:rsidP="00000000" w:rsidRDefault="00000000" w:rsidRPr="00000000" w14:paraId="0000001F">
      <w:pPr>
        <w:keepNext w:val="1"/>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invite tenders by conducting a Further Competition Procedure for its Deliverables in accordance with the Regulations and in particular:</w:t>
      </w:r>
    </w:p>
    <w:p w:rsidR="00000000" w:rsidDel="00000000" w:rsidP="00000000" w:rsidRDefault="00000000" w:rsidRPr="00000000" w14:paraId="00000020">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 Electronic Reverse Auction (as defined in Paragraph 7 below) is to be held, the Buyer shall notify the Suppliers identified in accordance with Paragraph 3.1.1 and shall conduct the Further Competition Procedure in accordance with the procedures set out in Paragraph 3; or</w:t>
      </w:r>
    </w:p>
    <w:p w:rsidR="00000000" w:rsidDel="00000000" w:rsidP="00000000" w:rsidRDefault="00000000" w:rsidRPr="00000000" w14:paraId="00000021">
      <w:pPr>
        <w:keepNext w:val="1"/>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 Electronic Reverse Auction is not used, the Buyer shall:</w:t>
      </w:r>
    </w:p>
    <w:p w:rsidR="00000000" w:rsidDel="00000000" w:rsidP="00000000" w:rsidRDefault="00000000" w:rsidRPr="00000000" w14:paraId="00000022">
      <w:pPr>
        <w:widowControl w:val="1"/>
        <w:numPr>
          <w:ilvl w:val="4"/>
          <w:numId w:val="3"/>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invite the Suppliers identified in accordance with Paragraph 3.1.1 to submit a tender in writing for each proposed Call-Off Contract to be awarded by giving written notice by email to the relevant Supplier Representative of each Supplier;</w:t>
      </w:r>
    </w:p>
    <w:p w:rsidR="00000000" w:rsidDel="00000000" w:rsidP="00000000" w:rsidRDefault="00000000" w:rsidRPr="00000000" w14:paraId="00000023">
      <w:pPr>
        <w:widowControl w:val="1"/>
        <w:numPr>
          <w:ilvl w:val="4"/>
          <w:numId w:val="3"/>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set a time limit for the receipt by it of the tenders which takes into account factors such as the complexity of the subject matter of the proposed Call-Off Contract and the time needed to submit tenders; and</w:t>
      </w:r>
    </w:p>
    <w:p w:rsidR="00000000" w:rsidDel="00000000" w:rsidP="00000000" w:rsidRDefault="00000000" w:rsidRPr="00000000" w14:paraId="00000024">
      <w:pPr>
        <w:widowControl w:val="1"/>
        <w:numPr>
          <w:ilvl w:val="4"/>
          <w:numId w:val="3"/>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keep each tender confidential until the time limit set out for the return of tenders has expired.</w:t>
      </w:r>
    </w:p>
    <w:p w:rsidR="00000000" w:rsidDel="00000000" w:rsidP="00000000" w:rsidRDefault="00000000" w:rsidRPr="00000000" w14:paraId="00000025">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apply the further competition award criteria to the Suppliers' compliant tenders submitted through the Further Competition Procedure as the basis of its decision to award a Call-Off Contract for its Deliverables;</w:t>
      </w:r>
    </w:p>
    <w:p w:rsidR="00000000" w:rsidDel="00000000" w:rsidP="00000000" w:rsidRDefault="00000000" w:rsidRPr="00000000" w14:paraId="00000026">
      <w:pPr>
        <w:keepNext w:val="1"/>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the basis set out above, award its Call-Off Contract to the successful Supplier in accordance with Paragraph 6. The Call-Off Contract shall:</w:t>
      </w:r>
    </w:p>
    <w:p w:rsidR="00000000" w:rsidDel="00000000" w:rsidP="00000000" w:rsidRDefault="00000000" w:rsidRPr="00000000" w14:paraId="00000027">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the Deliverables;</w:t>
      </w:r>
    </w:p>
    <w:p w:rsidR="00000000" w:rsidDel="00000000" w:rsidP="00000000" w:rsidRDefault="00000000" w:rsidRPr="00000000" w14:paraId="00000028">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the tender submitted by the successful Supplier;</w:t>
      </w:r>
    </w:p>
    <w:p w:rsidR="00000000" w:rsidDel="00000000" w:rsidP="00000000" w:rsidRDefault="00000000" w:rsidRPr="00000000" w14:paraId="00000029">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the Charges payable for the Deliverables in accordance with the tender submitted by the successful Supplier; and</w:t>
      </w:r>
    </w:p>
    <w:p w:rsidR="00000000" w:rsidDel="00000000" w:rsidP="00000000" w:rsidRDefault="00000000" w:rsidRPr="00000000" w14:paraId="0000002A">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incorporate the terms [of the Order Form and Contract] (as may be amended or refined by the Buyer in accordance with Paragraph 3.1.2. above) applicable to the Deliverables,</w:t>
      </w:r>
    </w:p>
    <w:p w:rsidR="00000000" w:rsidDel="00000000" w:rsidP="00000000" w:rsidRDefault="00000000" w:rsidRPr="00000000" w14:paraId="0000002B">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unsuccessful Suppliers with written feedback in relation to the reasons why their tenders were unsuccessful.</w:t>
      </w:r>
    </w:p>
    <w:p w:rsidR="00000000" w:rsidDel="00000000" w:rsidP="00000000" w:rsidRDefault="00000000" w:rsidRPr="00000000" w14:paraId="0000002C">
      <w:pPr>
        <w:keepNext w:val="1"/>
        <w:widowControl w:val="1"/>
        <w:pBdr>
          <w:top w:space="0" w:sz="0" w:val="nil"/>
          <w:left w:space="0" w:sz="0" w:val="nil"/>
          <w:bottom w:space="0" w:sz="0" w:val="nil"/>
          <w:right w:space="0" w:sz="0" w:val="nil"/>
          <w:between w:space="0" w:sz="0" w:val="nil"/>
        </w:pBdr>
        <w:tabs>
          <w:tab w:val="left" w:leader="none" w:pos="3054"/>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the Supplier has to do</w:t>
      </w:r>
    </w:p>
    <w:p w:rsidR="00000000" w:rsidDel="00000000" w:rsidP="00000000" w:rsidRDefault="00000000" w:rsidRPr="00000000" w14:paraId="0000002D">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Supplier shall in writing, by the time and date specified by the Buyer following an invitation to tender pursuant to Paragraph 3.1.3 above, provide CCS and the Buyer with either:</w:t>
      </w:r>
      <w:r w:rsidDel="00000000" w:rsidR="00000000" w:rsidRPr="00000000">
        <w:rPr>
          <w:rtl w:val="0"/>
        </w:rPr>
      </w:r>
    </w:p>
    <w:p w:rsidR="00000000" w:rsidDel="00000000" w:rsidP="00000000" w:rsidRDefault="00000000" w:rsidRPr="00000000" w14:paraId="0000002E">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statement to the effect that it does not wish to tender in relation to the Deliverables; or</w:t>
      </w:r>
    </w:p>
    <w:p w:rsidR="00000000" w:rsidDel="00000000" w:rsidP="00000000" w:rsidRDefault="00000000" w:rsidRPr="00000000" w14:paraId="0000002F">
      <w:pPr>
        <w:keepNext w:val="1"/>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full details of its tender made in respect of the relevant Statement of Requirements. In the event that the Supplier submits such a tender, it should include, as a minimum:</w:t>
      </w:r>
    </w:p>
    <w:p w:rsidR="00000000" w:rsidDel="00000000" w:rsidP="00000000" w:rsidRDefault="00000000" w:rsidRPr="00000000" w14:paraId="00000030">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email response subject line to comprise unique reference number and Supplier name, so as to clearly identify the Supplier;</w:t>
      </w:r>
    </w:p>
    <w:p w:rsidR="00000000" w:rsidDel="00000000" w:rsidP="00000000" w:rsidRDefault="00000000" w:rsidRPr="00000000" w14:paraId="00000031">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brief summary, in the email (followed by a confirmation letter), stating that the Supplier is bidding for the Statement of Requirements;</w:t>
      </w:r>
    </w:p>
    <w:p w:rsidR="00000000" w:rsidDel="00000000" w:rsidP="00000000" w:rsidRDefault="00000000" w:rsidRPr="00000000" w14:paraId="00000032">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proposal covering the Deliverables;</w:t>
      </w:r>
    </w:p>
    <w:p w:rsidR="00000000" w:rsidDel="00000000" w:rsidP="00000000" w:rsidRDefault="00000000" w:rsidRPr="00000000" w14:paraId="00000033">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CVs of key staff – as a minimum any lead consultant, with others, as considered appropriate along with required staff levels (if necessary); and</w:t>
      </w:r>
    </w:p>
    <w:p w:rsidR="00000000" w:rsidDel="00000000" w:rsidP="00000000" w:rsidRDefault="00000000" w:rsidRPr="00000000" w14:paraId="00000034">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confirmation of discounts applicable to the Deliverables, as referenced in Framework Schedule 3 (Framework Prices) (if applicable).</w:t>
      </w:r>
    </w:p>
    <w:p w:rsidR="00000000" w:rsidDel="00000000" w:rsidP="00000000" w:rsidRDefault="00000000" w:rsidRPr="00000000" w14:paraId="00000035">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w:t>
      </w:r>
    </w:p>
    <w:p w:rsidR="00000000" w:rsidDel="00000000" w:rsidP="00000000" w:rsidRDefault="00000000" w:rsidRPr="00000000" w14:paraId="00000036">
      <w:pPr>
        <w:keepNext w:val="1"/>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agrees that:</w:t>
      </w:r>
    </w:p>
    <w:p w:rsidR="00000000" w:rsidDel="00000000" w:rsidP="00000000" w:rsidRDefault="00000000" w:rsidRPr="00000000" w14:paraId="00000037">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rsidR="00000000" w:rsidDel="00000000" w:rsidP="00000000" w:rsidRDefault="00000000" w:rsidRPr="00000000" w14:paraId="00000038">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039">
      <w:pPr>
        <w:widowControl w:val="1"/>
        <w:numPr>
          <w:ilvl w:val="4"/>
          <w:numId w:val="3"/>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000000" w:rsidDel="00000000" w:rsidP="00000000" w:rsidRDefault="00000000" w:rsidRPr="00000000" w14:paraId="0000003A">
      <w:pPr>
        <w:widowControl w:val="1"/>
        <w:numPr>
          <w:ilvl w:val="4"/>
          <w:numId w:val="3"/>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03B">
      <w:pPr>
        <w:keepNext w:val="1"/>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No requirement to award</w:t>
      </w:r>
      <w:r w:rsidDel="00000000" w:rsidR="00000000" w:rsidRPr="00000000">
        <w:rPr>
          <w:rtl w:val="0"/>
        </w:rPr>
      </w:r>
    </w:p>
    <w:p w:rsidR="00000000" w:rsidDel="00000000" w:rsidP="00000000" w:rsidRDefault="00000000" w:rsidRPr="00000000" w14:paraId="0000003C">
      <w:pPr>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Notwithstanding the fact that the Buyer has followed a procedure as set out above in Paragraph 2 or 3 (as applicable), the Supplier acknowledges and agrees that the Buyer shall be entitled at all times to decline to make an award for its Deliverables and that nothing in this Contract shall oblige the Buyer to award any Call-Off Contract.</w:t>
      </w:r>
    </w:p>
    <w:p w:rsidR="00000000" w:rsidDel="00000000" w:rsidP="00000000" w:rsidRDefault="00000000" w:rsidRPr="00000000" w14:paraId="0000003D">
      <w:pPr>
        <w:keepNext w:val="1"/>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Who is responsible for the award</w:t>
      </w:r>
    </w:p>
    <w:p w:rsidR="00000000" w:rsidDel="00000000" w:rsidP="00000000" w:rsidRDefault="00000000" w:rsidRPr="00000000" w14:paraId="0000003E">
      <w:pPr>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rsidR="00000000" w:rsidDel="00000000" w:rsidP="00000000" w:rsidRDefault="00000000" w:rsidRPr="00000000" w14:paraId="0000003F">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conduct of Buyer in relation to this Contract; or</w:t>
      </w:r>
    </w:p>
    <w:p w:rsidR="00000000" w:rsidDel="00000000" w:rsidP="00000000" w:rsidRDefault="00000000" w:rsidRPr="00000000" w14:paraId="00000040">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or non-performance of any Call-Off Contracts between the Supplier and Buyer entered into pursuant to this Contract.</w:t>
      </w:r>
    </w:p>
    <w:p w:rsidR="00000000" w:rsidDel="00000000" w:rsidP="00000000" w:rsidRDefault="00000000" w:rsidRPr="00000000" w14:paraId="00000041">
      <w:pPr>
        <w:keepNext w:val="1"/>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Awarding and creating a Call-Off Contract</w:t>
      </w:r>
      <w:r w:rsidDel="00000000" w:rsidR="00000000" w:rsidRPr="00000000">
        <w:rPr>
          <w:rtl w:val="0"/>
        </w:rPr>
      </w:r>
    </w:p>
    <w:p w:rsidR="00000000" w:rsidDel="00000000" w:rsidP="00000000" w:rsidRDefault="00000000" w:rsidRPr="00000000" w14:paraId="00000042">
      <w:pPr>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Subject to Paragraphs 1 to 5 above and 7, a Buyer may award a Call-Off Contract with the Supplier by sending (including electronically) a signed order form substantially in the form (as may be amended or refined by the Buyer in accordance with Paragraph 3.1.2 above) of the Order Form Template set out in Framework Schedule 6 (Order Form Template and Call-Off Schedules).</w:t>
      </w:r>
    </w:p>
    <w:p w:rsidR="00000000" w:rsidDel="00000000" w:rsidP="00000000" w:rsidRDefault="00000000" w:rsidRPr="00000000" w14:paraId="00000043">
      <w:pPr>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agree that any document or communication (including any document or communication in the apparent form of a Call-Off Contract) which is not as described in this Paragraph 6 shall not constitute a Call-Off Contract under this Contract.</w:t>
      </w:r>
    </w:p>
    <w:p w:rsidR="00000000" w:rsidDel="00000000" w:rsidP="00000000" w:rsidRDefault="00000000" w:rsidRPr="00000000" w14:paraId="00000044">
      <w:pPr>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1t3h5sf" w:id="7"/>
      <w:bookmarkEnd w:id="7"/>
      <w:r w:rsidDel="00000000" w:rsidR="00000000" w:rsidRPr="00000000">
        <w:rPr>
          <w:rFonts w:ascii="Arial" w:cs="Arial" w:eastAsia="Arial" w:hAnsi="Arial"/>
          <w:color w:val="000000"/>
          <w:sz w:val="24"/>
          <w:szCs w:val="24"/>
          <w:rtl w:val="0"/>
        </w:rPr>
        <w:t xml:space="preserve">On receipt of an order form as described in Paragraph 6.1 from a Buyer the Supplier shall accept the Call-Off Contract by promptly signing and returning (including by electronic means) a copy of the order form to the Buyer concerned.</w:t>
      </w:r>
    </w:p>
    <w:p w:rsidR="00000000" w:rsidDel="00000000" w:rsidP="00000000" w:rsidRDefault="00000000" w:rsidRPr="00000000" w14:paraId="00000045">
      <w:pPr>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p w:rsidR="00000000" w:rsidDel="00000000" w:rsidP="00000000" w:rsidRDefault="00000000" w:rsidRPr="00000000" w14:paraId="00000046">
      <w:pPr>
        <w:keepNext w:val="1"/>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e-auctions work</w:t>
      </w:r>
      <w:r w:rsidDel="00000000" w:rsidR="00000000" w:rsidRPr="00000000">
        <w:rPr>
          <w:rtl w:val="0"/>
        </w:rPr>
      </w:r>
    </w:p>
    <w:p w:rsidR="00000000" w:rsidDel="00000000" w:rsidP="00000000" w:rsidRDefault="00000000" w:rsidRPr="00000000" w14:paraId="00000047">
      <w:pPr>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be entitled to include a reverse auction in the Further Competition Procedure in accordance with the rules laid down by the Buyer and the Regulations.</w:t>
      </w:r>
    </w:p>
    <w:p w:rsidR="00000000" w:rsidDel="00000000" w:rsidP="00000000" w:rsidRDefault="00000000" w:rsidRPr="00000000" w14:paraId="00000048">
      <w:pPr>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4d34og8" w:id="8"/>
      <w:bookmarkEnd w:id="8"/>
      <w:r w:rsidDel="00000000" w:rsidR="00000000" w:rsidRPr="00000000">
        <w:rPr>
          <w:rFonts w:ascii="Arial" w:cs="Arial" w:eastAsia="Arial" w:hAnsi="Arial"/>
          <w:color w:val="000000"/>
          <w:sz w:val="24"/>
          <w:szCs w:val="24"/>
          <w:rtl w:val="0"/>
        </w:rPr>
        <w:t xml:space="preserve">Where the Buyer wishes to undertake an electronic reverse auction, where Suppliers compete in real time by bidding as the auction unfolds (</w:t>
      </w:r>
      <w:r w:rsidDel="00000000" w:rsidR="00000000" w:rsidRPr="00000000">
        <w:rPr>
          <w:rFonts w:ascii="Arial" w:cs="Arial" w:eastAsia="Arial" w:hAnsi="Arial"/>
          <w:b w:val="1"/>
          <w:color w:val="000000"/>
          <w:sz w:val="24"/>
          <w:szCs w:val="24"/>
          <w:rtl w:val="0"/>
        </w:rPr>
        <w:t xml:space="preserve">"Electronic Reverse Auction"</w:t>
      </w:r>
      <w:r w:rsidDel="00000000" w:rsidR="00000000" w:rsidRPr="00000000">
        <w:rPr>
          <w:rFonts w:ascii="Arial" w:cs="Arial" w:eastAsia="Arial" w:hAnsi="Arial"/>
          <w:color w:val="000000"/>
          <w:sz w:val="24"/>
          <w:szCs w:val="24"/>
          <w:rtl w:val="0"/>
        </w:rPr>
        <w:t xml:space="preserve">) then before undertaking it, the Buyer will make an initial full evaluation of all tenders received in response to its Statement of Requirements. The Buyer will then invite to the Electronic Reverse Auction only those tenders that are admissible in accordance with the Regulations. The invitation shall be accompanied by the outcome of the full initial evaluation of the relevant tenders.</w:t>
      </w:r>
    </w:p>
    <w:p w:rsidR="00000000" w:rsidDel="00000000" w:rsidP="00000000" w:rsidRDefault="00000000" w:rsidRPr="00000000" w14:paraId="00000049">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will inform the Suppliers of the specification for the Electronic Reverse Auction which shall include:</w:t>
      </w:r>
    </w:p>
    <w:p w:rsidR="00000000" w:rsidDel="00000000" w:rsidP="00000000" w:rsidRDefault="00000000" w:rsidRPr="00000000" w14:paraId="0000004A">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to be provided at auction, which must be expressed in figures or percentages of the specified quantifiable features;</w:t>
      </w:r>
    </w:p>
    <w:p w:rsidR="00000000" w:rsidDel="00000000" w:rsidP="00000000" w:rsidRDefault="00000000" w:rsidRPr="00000000" w14:paraId="0000004B">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mathematical formula to be used to determine automatic ranking of bids on the basis of new prices and/or new values submitted;  </w:t>
      </w:r>
    </w:p>
    <w:p w:rsidR="00000000" w:rsidDel="00000000" w:rsidP="00000000" w:rsidRDefault="00000000" w:rsidRPr="00000000" w14:paraId="0000004C">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limits on the values which may be submitted;</w:t>
      </w:r>
    </w:p>
    <w:p w:rsidR="00000000" w:rsidDel="00000000" w:rsidP="00000000" w:rsidRDefault="00000000" w:rsidRPr="00000000" w14:paraId="0000004D">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description of any information which will be made available to Suppliers in the course of the Electronic Reverse Auction, and when it will be made available to them;</w:t>
      </w:r>
    </w:p>
    <w:p w:rsidR="00000000" w:rsidDel="00000000" w:rsidP="00000000" w:rsidRDefault="00000000" w:rsidRPr="00000000" w14:paraId="0000004E">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bookmarkStart w:colFirst="0" w:colLast="0" w:name="_heading=h.2s8eyo1" w:id="9"/>
      <w:bookmarkEnd w:id="9"/>
      <w:r w:rsidDel="00000000" w:rsidR="00000000" w:rsidRPr="00000000">
        <w:rPr>
          <w:rFonts w:ascii="Arial" w:cs="Arial" w:eastAsia="Arial" w:hAnsi="Arial"/>
          <w:color w:val="000000"/>
          <w:sz w:val="24"/>
          <w:szCs w:val="24"/>
          <w:rtl w:val="0"/>
        </w:rPr>
        <w:t xml:space="preserve">the conditions under which Suppliers will be able to bid and, in particular, the minimum differences which will, where appropriate, be required when bidding;</w:t>
      </w:r>
    </w:p>
    <w:p w:rsidR="00000000" w:rsidDel="00000000" w:rsidP="00000000" w:rsidRDefault="00000000" w:rsidRPr="00000000" w14:paraId="0000004F">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relevant information concerning the electronic equipment used and the arrangements and technical specification for connection;</w:t>
      </w:r>
    </w:p>
    <w:p w:rsidR="00000000" w:rsidDel="00000000" w:rsidP="00000000" w:rsidRDefault="00000000" w:rsidRPr="00000000" w14:paraId="00000050">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7.5, the date and time of the start of the Electronic Reverse Auction; and</w:t>
      </w:r>
    </w:p>
    <w:p w:rsidR="00000000" w:rsidDel="00000000" w:rsidP="00000000" w:rsidRDefault="00000000" w:rsidRPr="00000000" w14:paraId="00000051">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when and how the Electronic Reverse Auction will close.</w:t>
      </w:r>
    </w:p>
    <w:p w:rsidR="00000000" w:rsidDel="00000000" w:rsidP="00000000" w:rsidRDefault="00000000" w:rsidRPr="00000000" w14:paraId="00000052">
      <w:pPr>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The Electronic Reverse Auction may not start sooner than two (2) Working Days after the date on which the specification for the Electronic Reverse Auction has been issued.</w:t>
      </w:r>
    </w:p>
    <w:p w:rsidR="00000000" w:rsidDel="00000000" w:rsidP="00000000" w:rsidRDefault="00000000" w:rsidRPr="00000000" w14:paraId="00000053">
      <w:pPr>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Throughout each phase of the Electronic Reverse Auction the Buyer will communicate to all Suppliers sufficient information to enable them to ascertain their relative ranking.</w:t>
      </w:r>
    </w:p>
    <w:p w:rsidR="00000000" w:rsidDel="00000000" w:rsidP="00000000" w:rsidRDefault="00000000" w:rsidRPr="00000000" w14:paraId="00000054">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acknowledges and agrees that:</w:t>
      </w:r>
    </w:p>
    <w:p w:rsidR="00000000" w:rsidDel="00000000" w:rsidP="00000000" w:rsidRDefault="00000000" w:rsidRPr="00000000" w14:paraId="00000055">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and its officers, servants, agents, group companies, assignees and customers (including CCS) do not guarantee that its access to the Electronic Reverse Auction will be uninterrupted or error-free;</w:t>
      </w:r>
    </w:p>
    <w:p w:rsidR="00000000" w:rsidDel="00000000" w:rsidP="00000000" w:rsidRDefault="00000000" w:rsidRPr="00000000" w14:paraId="00000056">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access to the Electronic Reverse Auction may occasionally be restricted to allow for repairs or maintenance; and</w:t>
      </w:r>
    </w:p>
    <w:p w:rsidR="00000000" w:rsidDel="00000000" w:rsidP="00000000" w:rsidRDefault="00000000" w:rsidRPr="00000000" w14:paraId="00000057">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will comply with all such rules that may be imposed by the Buyer in relation to the operation of the Electronic Reverse Auction.</w:t>
      </w:r>
    </w:p>
    <w:p w:rsidR="00000000" w:rsidDel="00000000" w:rsidP="00000000" w:rsidRDefault="00000000" w:rsidRPr="00000000" w14:paraId="00000058">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will close the Electronic Reverse Auction on the basis of:</w:t>
      </w:r>
    </w:p>
    <w:p w:rsidR="00000000" w:rsidDel="00000000" w:rsidP="00000000" w:rsidRDefault="00000000" w:rsidRPr="00000000" w14:paraId="00000059">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date and time fixed in advance;</w:t>
      </w:r>
    </w:p>
    <w:p w:rsidR="00000000" w:rsidDel="00000000" w:rsidP="00000000" w:rsidRDefault="00000000" w:rsidRPr="00000000" w14:paraId="0000005A">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no new prices or values meeting the minimum differences required pursuant to Paragraph 7.3 have been received within the prescribed elapsed time period; or</w:t>
      </w:r>
    </w:p>
    <w:p w:rsidR="00000000" w:rsidDel="00000000" w:rsidP="00000000" w:rsidRDefault="00000000" w:rsidRPr="00000000" w14:paraId="0000005B">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all the phases have been completed.]</w:t>
      </w:r>
    </w:p>
    <w:p w:rsidR="00000000" w:rsidDel="00000000" w:rsidP="00000000" w:rsidRDefault="00000000" w:rsidRPr="00000000" w14:paraId="0000005C">
      <w:pPr>
        <w:keepNext w:val="1"/>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Awarding and creating an Exempt Call-off Contract</w:t>
      </w:r>
    </w:p>
    <w:p w:rsidR="00000000" w:rsidDel="00000000" w:rsidP="00000000" w:rsidRDefault="00000000" w:rsidRPr="00000000" w14:paraId="0000005D">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1 above shall not apply to an Exempt Buyer.</w:t>
      </w:r>
    </w:p>
    <w:p w:rsidR="00000000" w:rsidDel="00000000" w:rsidP="00000000" w:rsidRDefault="00000000" w:rsidRPr="00000000" w14:paraId="0000005E">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If a potential Exempt Buyer decides to source Deliverables through this Framework Contract, it will award an Exempt Call-off Contract for Deliverables in accordance with the procedure in this Schedule as modified by this Paragraph 8 and in accordance with any legal requirements applicable to that potential Exempt Buyer.</w:t>
      </w:r>
    </w:p>
    <w:p w:rsidR="00000000" w:rsidDel="00000000" w:rsidP="00000000" w:rsidRDefault="00000000" w:rsidRPr="00000000" w14:paraId="0000005F">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potential Exempt Buyer may award an Exempt Call-off Contract under this Framework Contract without holding a further competition in accordance with Paragraph 2 above as modified by Paragraph 8.4 below or through a Further Competition Procedure in accordance with Paragraph 3 as modified by Paragraph 8.5 below.</w:t>
      </w:r>
    </w:p>
    <w:p w:rsidR="00000000" w:rsidDel="00000000" w:rsidP="00000000" w:rsidRDefault="00000000" w:rsidRPr="00000000" w14:paraId="00000060">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Notwithstanding the procedure set out in Paragraph 2 above, if the potential Exempt Buyer can determine that:</w:t>
      </w:r>
    </w:p>
    <w:p w:rsidR="00000000" w:rsidDel="00000000" w:rsidP="00000000" w:rsidRDefault="00000000" w:rsidRPr="00000000" w14:paraId="00000061">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Deliverables can be met by the Supplier’s catalogues and description of the Deliverables as set out in Framework Schedule 1 (Specification) and Framework Schedule 2 (Framework Tender); and</w:t>
      </w:r>
    </w:p>
    <w:p w:rsidR="00000000" w:rsidDel="00000000" w:rsidP="00000000" w:rsidRDefault="00000000" w:rsidRPr="00000000" w14:paraId="00000062">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will accept any required Exempt Procurement Amendments,</w:t>
      </w:r>
    </w:p>
    <w:p w:rsidR="00000000" w:rsidDel="00000000" w:rsidP="00000000" w:rsidRDefault="00000000" w:rsidRPr="00000000" w14:paraId="00000063">
      <w:pPr>
        <w:widowControl w:val="1"/>
        <w:pBdr>
          <w:top w:space="0" w:sz="0" w:val="nil"/>
          <w:left w:space="0" w:sz="0" w:val="nil"/>
          <w:bottom w:space="0" w:sz="0" w:val="nil"/>
          <w:right w:space="0" w:sz="0" w:val="nil"/>
          <w:between w:space="0" w:sz="0" w:val="nil"/>
        </w:pBdr>
        <w:tabs>
          <w:tab w:val="left" w:leader="none" w:pos="3641"/>
        </w:tabs>
        <w:spacing w:after="120" w:before="120" w:lineRule="auto"/>
        <w:ind w:left="18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the Exempt Buyer may award an Exempt Call-off Contract to that Supplier in accordance with Paragraph 6 above.</w:t>
      </w:r>
    </w:p>
    <w:p w:rsidR="00000000" w:rsidDel="00000000" w:rsidP="00000000" w:rsidRDefault="00000000" w:rsidRPr="00000000" w14:paraId="00000064">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potential Exempt Buyer requires the Supplier to develop proposals or a solution in respect of Deliverables, then the potential Exempt Buyer may at its discretion use the procedure set out in Paragraph 3 above as modified by this Paragraph 8.5. In that case, references to “the Regulations” in Paragraph 3 above shall be read as references to “any legal requirements applicable to that potential Exempt Buyer”, and the Exempt Buyer shall be permitted to modify the Further Competition Procedure in accordance with any legal requirements applicable to the Exempt Buyer.</w:t>
      </w:r>
    </w:p>
    <w:p w:rsidR="00000000" w:rsidDel="00000000" w:rsidP="00000000" w:rsidRDefault="00000000" w:rsidRPr="00000000" w14:paraId="00000065">
      <w:pPr>
        <w:keepNext w:val="1"/>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3rdcrjn" w:id="11"/>
      <w:bookmarkEnd w:id="11"/>
      <w:r w:rsidDel="00000000" w:rsidR="00000000" w:rsidRPr="00000000">
        <w:rPr>
          <w:rFonts w:ascii="Arial" w:cs="Arial" w:eastAsia="Arial" w:hAnsi="Arial"/>
          <w:color w:val="000000"/>
          <w:sz w:val="24"/>
          <w:szCs w:val="24"/>
          <w:rtl w:val="0"/>
        </w:rPr>
        <w:t xml:space="preserve">Paragraphs 8.1 to 8.5 above are without prejudice to an Exempt Buyer’s ability to make such further modifications to the Call-Off Procedure as it considers necessary and in accordance with any legal requirements applicable to that potential Exempt Buyer.</w:t>
      </w:r>
    </w:p>
    <w:p w:rsidR="00000000" w:rsidDel="00000000" w:rsidP="00000000" w:rsidRDefault="00000000" w:rsidRPr="00000000" w14:paraId="00000066">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7">
      <w:pPr>
        <w:widowControl w:val="1"/>
        <w:pBdr>
          <w:top w:space="0" w:sz="0" w:val="nil"/>
          <w:left w:space="0" w:sz="0" w:val="nil"/>
          <w:bottom w:space="0" w:sz="0" w:val="nil"/>
          <w:right w:space="0" w:sz="0" w:val="nil"/>
          <w:between w:space="0" w:sz="0" w:val="nil"/>
        </w:pBdr>
        <w:tabs>
          <w:tab w:val="left" w:leader="none" w:pos="3054"/>
        </w:tabs>
        <w:spacing w:after="120" w:before="120" w:lineRule="auto"/>
        <w:ind w:left="936" w:hanging="57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widowControl w:val="1"/>
        <w:pBdr>
          <w:top w:space="0" w:sz="0" w:val="nil"/>
          <w:left w:space="0" w:sz="0" w:val="nil"/>
          <w:bottom w:space="0" w:sz="0" w:val="nil"/>
          <w:right w:space="0" w:sz="0" w:val="nil"/>
          <w:between w:space="0" w:sz="0" w:val="nil"/>
        </w:pBdr>
        <w:tabs>
          <w:tab w:val="left" w:leader="none" w:pos="3054"/>
        </w:tabs>
        <w:spacing w:after="120" w:before="120" w:lineRule="auto"/>
        <w:ind w:left="936" w:hanging="576"/>
        <w:rPr>
          <w:rFonts w:ascii="Arial" w:cs="Arial" w:eastAsia="Arial" w:hAnsi="Arial"/>
          <w:color w:val="000000"/>
          <w:sz w:val="36"/>
          <w:szCs w:val="36"/>
        </w:rPr>
      </w:pPr>
      <w:r w:rsidDel="00000000" w:rsidR="00000000" w:rsidRPr="00000000">
        <w:rPr>
          <w:rFonts w:ascii="Arial" w:cs="Arial" w:eastAsia="Arial" w:hAnsi="Arial"/>
          <w:b w:val="1"/>
          <w:color w:val="000000"/>
          <w:sz w:val="36"/>
          <w:szCs w:val="36"/>
          <w:rtl w:val="0"/>
        </w:rPr>
        <w:t xml:space="preserve">Part 2: Award Criteria</w:t>
      </w:r>
      <w:r w:rsidDel="00000000" w:rsidR="00000000" w:rsidRPr="00000000">
        <w:rPr>
          <w:rtl w:val="0"/>
        </w:rPr>
      </w:r>
    </w:p>
    <w:p w:rsidR="00000000" w:rsidDel="00000000" w:rsidP="00000000" w:rsidRDefault="00000000" w:rsidRPr="00000000" w14:paraId="00000069">
      <w:pPr>
        <w:widowControl w:val="1"/>
        <w:numPr>
          <w:ilvl w:val="0"/>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Part 2 lays out award criteria for direct award (Annex A) and for further competition (Annex B) in accordance with the Call-Off Procedure.</w:t>
      </w:r>
    </w:p>
    <w:p w:rsidR="00000000" w:rsidDel="00000000" w:rsidP="00000000" w:rsidRDefault="00000000" w:rsidRPr="00000000" w14:paraId="0000006A">
      <w:pPr>
        <w:widowControl w:val="1"/>
        <w:numPr>
          <w:ilvl w:val="0"/>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Call-Off Contract may be awarded on the basis of most economically advantageous tender ("MEAT").</w:t>
      </w:r>
    </w:p>
    <w:p w:rsidR="00000000" w:rsidDel="00000000" w:rsidP="00000000" w:rsidRDefault="00000000" w:rsidRPr="00000000" w14:paraId="0000006B">
      <w:pPr>
        <w:rPr>
          <w:rFonts w:ascii="Arial" w:cs="Arial" w:eastAsia="Arial" w:hAnsi="Arial"/>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C">
      <w:pPr>
        <w:keepNext w:val="1"/>
        <w:widowControl w:val="1"/>
        <w:pBdr>
          <w:top w:space="0" w:sz="0" w:val="nil"/>
          <w:left w:space="0" w:sz="0" w:val="nil"/>
          <w:bottom w:space="0" w:sz="0" w:val="nil"/>
          <w:right w:space="0" w:sz="0" w:val="nil"/>
          <w:between w:space="0" w:sz="0" w:val="nil"/>
        </w:pBdr>
        <w:spacing w:after="240" w:before="240" w:lineRule="auto"/>
        <w:ind w:firstLine="426"/>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Annex A: Direct award criteria</w:t>
      </w:r>
    </w:p>
    <w:p w:rsidR="00000000" w:rsidDel="00000000" w:rsidP="00000000" w:rsidRDefault="00000000" w:rsidRPr="00000000" w14:paraId="0000006D">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criteria and weightings shall apply to the evaluation for direct award of each Call-Off.</w:t>
      </w:r>
    </w:p>
    <w:p w:rsidR="00000000" w:rsidDel="00000000" w:rsidP="00000000" w:rsidRDefault="00000000" w:rsidRPr="00000000" w14:paraId="0000006E">
      <w:pPr>
        <w:widowControl w:val="1"/>
        <w:pBdr>
          <w:top w:space="0" w:sz="0" w:val="nil"/>
          <w:left w:space="0" w:sz="0" w:val="nil"/>
          <w:bottom w:space="0" w:sz="0" w:val="nil"/>
          <w:right w:space="0" w:sz="0" w:val="nil"/>
          <w:between w:space="0" w:sz="0" w:val="nil"/>
        </w:pBdr>
        <w:ind w:left="1080" w:firstLine="0"/>
        <w:jc w:val="both"/>
        <w:rPr>
          <w:rFonts w:ascii="Arial" w:cs="Arial" w:eastAsia="Arial" w:hAnsi="Arial"/>
          <w:color w:val="ffffff"/>
          <w:sz w:val="24"/>
          <w:szCs w:val="24"/>
        </w:rPr>
      </w:pPr>
      <w:r w:rsidDel="00000000" w:rsidR="00000000" w:rsidRPr="00000000">
        <w:rPr>
          <w:rtl w:val="0"/>
        </w:rPr>
      </w:r>
    </w:p>
    <w:tbl>
      <w:tblPr>
        <w:tblStyle w:val="Table1"/>
        <w:tblW w:w="921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4"/>
        <w:gridCol w:w="5670"/>
        <w:tblGridChange w:id="0">
          <w:tblGrid>
            <w:gridCol w:w="3544"/>
            <w:gridCol w:w="5670"/>
          </w:tblGrid>
        </w:tblGridChange>
      </w:tblGrid>
      <w:tr>
        <w:trPr>
          <w:cantSplit w:val="0"/>
          <w:tblHeader w:val="0"/>
        </w:trPr>
        <w:tc>
          <w:tcPr>
            <w:shd w:fill="e7e6e6" w:val="clear"/>
          </w:tcPr>
          <w:p w:rsidR="00000000" w:rsidDel="00000000" w:rsidP="00000000" w:rsidRDefault="00000000" w:rsidRPr="00000000" w14:paraId="0000006F">
            <w:pPr>
              <w:keepNext w:val="1"/>
              <w:widowControl w:val="1"/>
              <w:pBdr>
                <w:top w:space="0" w:sz="0" w:val="nil"/>
                <w:left w:space="0" w:sz="0" w:val="nil"/>
                <w:bottom w:space="0" w:sz="0" w:val="nil"/>
                <w:right w:space="0" w:sz="0" w:val="nil"/>
                <w:between w:space="0" w:sz="0" w:val="nil"/>
              </w:pBdr>
              <w:spacing w:after="120" w:before="120" w:lineRule="auto"/>
              <w:ind w:left="142"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Criteria </w:t>
            </w:r>
          </w:p>
        </w:tc>
        <w:tc>
          <w:tcPr>
            <w:shd w:fill="e7e6e6" w:val="clear"/>
          </w:tcPr>
          <w:p w:rsidR="00000000" w:rsidDel="00000000" w:rsidP="00000000" w:rsidRDefault="00000000" w:rsidRPr="00000000" w14:paraId="00000070">
            <w:pPr>
              <w:widowControl w:val="1"/>
              <w:spacing w:after="200" w:before="12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Relative weighting percentage </w:t>
            </w:r>
          </w:p>
        </w:tc>
      </w:tr>
      <w:tr>
        <w:trPr>
          <w:cantSplit w:val="0"/>
          <w:tblHeader w:val="0"/>
        </w:trPr>
        <w:tc>
          <w:tcPr/>
          <w:p w:rsidR="00000000" w:rsidDel="00000000" w:rsidP="00000000" w:rsidRDefault="00000000" w:rsidRPr="00000000" w14:paraId="00000071">
            <w:pPr>
              <w:keepNext w:val="1"/>
              <w:widowControl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Price</w:t>
            </w:r>
          </w:p>
        </w:tc>
        <w:tc>
          <w:tcPr/>
          <w:p w:rsidR="00000000" w:rsidDel="00000000" w:rsidP="00000000" w:rsidRDefault="00000000" w:rsidRPr="00000000" w14:paraId="00000072">
            <w:pPr>
              <w:keepNext w:val="1"/>
              <w:widowControl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yellow"/>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3">
            <w:pPr>
              <w:keepNext w:val="1"/>
              <w:widowControl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yellow"/>
                <w:rtl w:val="0"/>
              </w:rPr>
              <w:t xml:space="preserve">Carbon Miles</w:t>
            </w:r>
            <w:r w:rsidDel="00000000" w:rsidR="00000000" w:rsidRPr="00000000">
              <w:rPr>
                <w:rtl w:val="0"/>
              </w:rPr>
            </w:r>
          </w:p>
        </w:tc>
        <w:tc>
          <w:tcPr/>
          <w:p w:rsidR="00000000" w:rsidDel="00000000" w:rsidP="00000000" w:rsidRDefault="00000000" w:rsidRPr="00000000" w14:paraId="00000074">
            <w:pPr>
              <w:keepNext w:val="1"/>
              <w:widowControl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yellow"/>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5">
            <w:pPr>
              <w:keepNext w:val="1"/>
              <w:widowControl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yellow"/>
                <w:rtl w:val="0"/>
              </w:rPr>
              <w:t xml:space="preserve">AQ  2.4 Social Value: Fighting Climate Change (Supplier AQ Score)</w:t>
            </w:r>
            <w:r w:rsidDel="00000000" w:rsidR="00000000" w:rsidRPr="00000000">
              <w:rPr>
                <w:rtl w:val="0"/>
              </w:rPr>
            </w:r>
          </w:p>
        </w:tc>
        <w:tc>
          <w:tcPr/>
          <w:p w:rsidR="00000000" w:rsidDel="00000000" w:rsidP="00000000" w:rsidRDefault="00000000" w:rsidRPr="00000000" w14:paraId="00000076">
            <w:pPr>
              <w:keepNext w:val="1"/>
              <w:widowControl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yellow"/>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7">
            <w:pPr>
              <w:keepNext w:val="1"/>
              <w:widowControl w:val="1"/>
              <w:spacing w:after="120" w:before="240" w:lineRule="auto"/>
              <w:ind w:left="142" w:firstLine="0"/>
              <w:jc w:val="both"/>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yellow"/>
                <w:rtl w:val="0"/>
              </w:rPr>
              <w:t xml:space="preserve">AQ 2.5 Social Value: Tackling Economic Inequality and Modern Slavery Risks (Supplier AQ Score)</w:t>
            </w:r>
            <w:r w:rsidDel="00000000" w:rsidR="00000000" w:rsidRPr="00000000">
              <w:rPr>
                <w:rtl w:val="0"/>
              </w:rPr>
            </w:r>
          </w:p>
        </w:tc>
        <w:tc>
          <w:tcPr/>
          <w:p w:rsidR="00000000" w:rsidDel="00000000" w:rsidP="00000000" w:rsidRDefault="00000000" w:rsidRPr="00000000" w14:paraId="00000078">
            <w:pPr>
              <w:keepNext w:val="1"/>
              <w:widowControl w:val="1"/>
              <w:spacing w:after="120" w:before="240" w:lineRule="auto"/>
              <w:ind w:left="142" w:firstLine="0"/>
              <w:jc w:val="both"/>
              <w:rPr>
                <w:rFonts w:ascii="Arial" w:cs="Arial" w:eastAsia="Arial" w:hAnsi="Arial"/>
                <w:color w:val="000000"/>
                <w:sz w:val="24"/>
                <w:szCs w:val="24"/>
                <w:highlight w:val="yellow"/>
              </w:rPr>
            </w:pPr>
            <w:r w:rsidDel="00000000" w:rsidR="00000000" w:rsidRPr="00000000">
              <w:rPr>
                <w:highlight w:val="yellow"/>
                <w:rtl w:val="0"/>
              </w:rPr>
              <w:t xml:space="preserve">[</w:t>
            </w:r>
            <w:r w:rsidDel="00000000" w:rsidR="00000000" w:rsidRPr="00000000">
              <w:rPr>
                <w:rFonts w:ascii="Arial" w:cs="Arial" w:eastAsia="Arial" w:hAnsi="Arial"/>
                <w:sz w:val="24"/>
                <w:szCs w:val="24"/>
                <w:highlight w:val="yellow"/>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9">
            <w:pPr>
              <w:keepNext w:val="1"/>
              <w:widowControl w:val="1"/>
              <w:spacing w:after="120" w:before="240" w:lineRule="auto"/>
              <w:ind w:left="142" w:firstLine="0"/>
              <w:jc w:val="both"/>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yellow"/>
                <w:rtl w:val="0"/>
              </w:rPr>
              <w:t xml:space="preserve">AQ 2.2 Account Management (Supplier AQ Score)</w:t>
            </w:r>
            <w:r w:rsidDel="00000000" w:rsidR="00000000" w:rsidRPr="00000000">
              <w:rPr>
                <w:rtl w:val="0"/>
              </w:rPr>
            </w:r>
          </w:p>
        </w:tc>
        <w:tc>
          <w:tcPr/>
          <w:p w:rsidR="00000000" w:rsidDel="00000000" w:rsidP="00000000" w:rsidRDefault="00000000" w:rsidRPr="00000000" w14:paraId="0000007A">
            <w:pPr>
              <w:keepNext w:val="1"/>
              <w:widowControl w:val="1"/>
              <w:spacing w:after="120" w:before="240" w:lineRule="auto"/>
              <w:ind w:left="142" w:firstLine="0"/>
              <w:jc w:val="both"/>
              <w:rPr>
                <w:rFonts w:ascii="Arial" w:cs="Arial" w:eastAsia="Arial" w:hAnsi="Arial"/>
                <w:color w:val="000000"/>
                <w:sz w:val="24"/>
                <w:szCs w:val="24"/>
                <w:highlight w:val="yellow"/>
              </w:rPr>
            </w:pPr>
            <w:r w:rsidDel="00000000" w:rsidR="00000000" w:rsidRPr="00000000">
              <w:rPr>
                <w:highlight w:val="yellow"/>
                <w:rtl w:val="0"/>
              </w:rPr>
              <w:t xml:space="preserve">[</w:t>
            </w:r>
            <w:r w:rsidDel="00000000" w:rsidR="00000000" w:rsidRPr="00000000">
              <w:rPr>
                <w:rFonts w:ascii="Arial" w:cs="Arial" w:eastAsia="Arial" w:hAnsi="Arial"/>
                <w:sz w:val="24"/>
                <w:szCs w:val="24"/>
                <w:highlight w:val="yellow"/>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B">
            <w:pPr>
              <w:keepNext w:val="1"/>
              <w:widowControl w:val="1"/>
              <w:spacing w:after="120" w:before="240" w:lineRule="auto"/>
              <w:ind w:left="142" w:firstLine="0"/>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AQ 2.3 Supply Chain Management (Supplier AQ Score)</w:t>
            </w:r>
            <w:r w:rsidDel="00000000" w:rsidR="00000000" w:rsidRPr="00000000">
              <w:rPr>
                <w:highlight w:val="yellow"/>
                <w:rtl w:val="0"/>
              </w:rPr>
              <w:t xml:space="preserve">     </w:t>
            </w:r>
            <w:r w:rsidDel="00000000" w:rsidR="00000000" w:rsidRPr="00000000">
              <w:rPr>
                <w:rtl w:val="0"/>
              </w:rPr>
            </w:r>
          </w:p>
        </w:tc>
        <w:tc>
          <w:tcPr/>
          <w:p w:rsidR="00000000" w:rsidDel="00000000" w:rsidP="00000000" w:rsidRDefault="00000000" w:rsidRPr="00000000" w14:paraId="0000007C">
            <w:pPr>
              <w:keepNext w:val="1"/>
              <w:widowControl w:val="1"/>
              <w:spacing w:after="120" w:before="240" w:lineRule="auto"/>
              <w:ind w:left="142" w:firstLine="0"/>
              <w:jc w:val="both"/>
              <w:rPr>
                <w:rFonts w:ascii="Arial" w:cs="Arial" w:eastAsia="Arial" w:hAnsi="Arial"/>
                <w:color w:val="000000"/>
                <w:sz w:val="24"/>
                <w:szCs w:val="24"/>
                <w:highlight w:val="yellow"/>
              </w:rPr>
            </w:pPr>
            <w:r w:rsidDel="00000000" w:rsidR="00000000" w:rsidRPr="00000000">
              <w:rPr>
                <w:highlight w:val="yellow"/>
                <w:rtl w:val="0"/>
              </w:rPr>
              <w:t xml:space="preserve">[</w:t>
            </w:r>
            <w:r w:rsidDel="00000000" w:rsidR="00000000" w:rsidRPr="00000000">
              <w:rPr>
                <w:rFonts w:ascii="Arial" w:cs="Arial" w:eastAsia="Arial" w:hAnsi="Arial"/>
                <w:color w:val="000000"/>
                <w:sz w:val="24"/>
                <w:szCs w:val="24"/>
                <w:highlight w:val="yellow"/>
                <w:rtl w:val="0"/>
              </w:rPr>
              <w:t xml:space="preserve">0-100%</w:t>
            </w:r>
            <w:r w:rsidDel="00000000" w:rsidR="00000000" w:rsidRPr="00000000">
              <w:rPr>
                <w:highlight w:val="yellow"/>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D">
            <w:pPr>
              <w:keepNext w:val="1"/>
              <w:widowControl w:val="1"/>
              <w:spacing w:after="120" w:before="240" w:lineRule="auto"/>
              <w:ind w:left="142" w:firstLine="0"/>
              <w:jc w:val="both"/>
              <w:rPr>
                <w:rFonts w:ascii="Arial" w:cs="Arial" w:eastAsia="Arial" w:hAnsi="Arial"/>
                <w:highlight w:val="yellow"/>
              </w:rPr>
            </w:pPr>
            <w:r w:rsidDel="00000000" w:rsidR="00000000" w:rsidRPr="00000000">
              <w:rPr>
                <w:rFonts w:ascii="Arial" w:cs="Arial" w:eastAsia="Arial" w:hAnsi="Arial"/>
                <w:sz w:val="24"/>
                <w:szCs w:val="24"/>
                <w:highlight w:val="yellow"/>
                <w:rtl w:val="0"/>
              </w:rPr>
              <w:t xml:space="preserve">AQ 2.6 Lot 5 Sustainability, Repair and Renovation (Supplier AQ Score)</w:t>
            </w:r>
            <w:r w:rsidDel="00000000" w:rsidR="00000000" w:rsidRPr="00000000">
              <w:rPr>
                <w:rtl w:val="0"/>
              </w:rPr>
            </w:r>
          </w:p>
        </w:tc>
        <w:tc>
          <w:tcPr/>
          <w:p w:rsidR="00000000" w:rsidDel="00000000" w:rsidP="00000000" w:rsidRDefault="00000000" w:rsidRPr="00000000" w14:paraId="0000007E">
            <w:pPr>
              <w:keepNext w:val="1"/>
              <w:widowControl w:val="1"/>
              <w:spacing w:after="120" w:before="240" w:lineRule="auto"/>
              <w:ind w:left="142" w:firstLine="0"/>
              <w:jc w:val="both"/>
              <w:rPr>
                <w:rFonts w:ascii="Arial" w:cs="Arial" w:eastAsia="Arial" w:hAnsi="Arial"/>
                <w:highlight w:val="yellow"/>
              </w:rPr>
            </w:pPr>
            <w:r w:rsidDel="00000000" w:rsidR="00000000" w:rsidRPr="00000000">
              <w:rPr>
                <w:rFonts w:ascii="Arial" w:cs="Arial" w:eastAsia="Arial" w:hAnsi="Arial"/>
                <w:sz w:val="24"/>
                <w:szCs w:val="24"/>
                <w:highlight w:val="yellow"/>
                <w:rtl w:val="0"/>
              </w:rPr>
              <w:t xml:space="preserve">[0-100%]</w:t>
            </w:r>
            <w:r w:rsidDel="00000000" w:rsidR="00000000" w:rsidRPr="00000000">
              <w:rPr>
                <w:rtl w:val="0"/>
              </w:rPr>
            </w:r>
          </w:p>
        </w:tc>
      </w:tr>
    </w:tbl>
    <w:p w:rsidR="00000000" w:rsidDel="00000000" w:rsidP="00000000" w:rsidRDefault="00000000" w:rsidRPr="00000000" w14:paraId="0000007F">
      <w:pPr>
        <w:keepNext w:val="1"/>
        <w:widowControl w:val="1"/>
        <w:pBdr>
          <w:top w:space="0" w:sz="0" w:val="nil"/>
          <w:left w:space="0" w:sz="0" w:val="nil"/>
          <w:bottom w:space="0" w:sz="0" w:val="nil"/>
          <w:right w:space="0" w:sz="0" w:val="nil"/>
          <w:between w:space="0" w:sz="0" w:val="nil"/>
        </w:pBdr>
        <w:spacing w:after="240" w:before="240" w:lineRule="auto"/>
        <w:rPr>
          <w:rFonts w:ascii="Arial Bold" w:cs="Arial Bold" w:eastAsia="Arial Bold" w:hAnsi="Arial Bold"/>
          <w:b w:val="1"/>
          <w:color w:val="000000"/>
          <w:sz w:val="36"/>
          <w:szCs w:val="36"/>
        </w:rPr>
      </w:pPr>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Annex B: Further Competition Award Criteria</w:t>
      </w:r>
    </w:p>
    <w:p w:rsidR="00000000" w:rsidDel="00000000" w:rsidP="00000000" w:rsidRDefault="00000000" w:rsidRPr="00000000" w14:paraId="00000080">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criteria and weightings shall apply to the evaluation of tenders received through the Further Competition Procedure:</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shd w:fill="e7e6e6" w:val="clear"/>
          </w:tcPr>
          <w:p w:rsidR="00000000" w:rsidDel="00000000" w:rsidP="00000000" w:rsidRDefault="00000000" w:rsidRPr="00000000" w14:paraId="00000081">
            <w:pPr>
              <w:widowControl w:val="1"/>
              <w:pBdr>
                <w:top w:space="0" w:sz="0" w:val="nil"/>
                <w:left w:space="0" w:sz="0" w:val="nil"/>
                <w:bottom w:space="0" w:sz="0" w:val="nil"/>
                <w:right w:space="0" w:sz="0" w:val="nil"/>
                <w:between w:space="0" w:sz="0" w:val="nil"/>
              </w:pBdr>
              <w:tabs>
                <w:tab w:val="left" w:leader="none" w:pos="851"/>
              </w:tabs>
              <w:spacing w:after="120" w:before="12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Criteria</w:t>
            </w:r>
            <w:r w:rsidDel="00000000" w:rsidR="00000000" w:rsidRPr="00000000">
              <w:rPr>
                <w:rtl w:val="0"/>
              </w:rPr>
            </w:r>
          </w:p>
        </w:tc>
        <w:tc>
          <w:tcPr>
            <w:shd w:fill="e7e6e6" w:val="clear"/>
          </w:tcPr>
          <w:p w:rsidR="00000000" w:rsidDel="00000000" w:rsidP="00000000" w:rsidRDefault="00000000" w:rsidRPr="00000000" w14:paraId="00000082">
            <w:pPr>
              <w:widowControl w:val="1"/>
              <w:spacing w:after="200" w:before="120" w:line="276" w:lineRule="auto"/>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Relative weighting percentage </w:t>
            </w:r>
            <w:r w:rsidDel="00000000" w:rsidR="00000000" w:rsidRPr="00000000">
              <w:rPr>
                <w:rtl w:val="0"/>
              </w:rPr>
            </w:r>
          </w:p>
        </w:tc>
      </w:tr>
      <w:tr>
        <w:trPr>
          <w:cantSplit w:val="0"/>
          <w:tblHeader w:val="0"/>
        </w:trPr>
        <w:tc>
          <w:tcPr/>
          <w:p w:rsidR="00000000" w:rsidDel="00000000" w:rsidP="00000000" w:rsidRDefault="00000000" w:rsidRPr="00000000" w14:paraId="00000083">
            <w:pPr>
              <w:keepNext w:val="1"/>
              <w:widowControl w:val="1"/>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Quality</w:t>
            </w:r>
            <w:r w:rsidDel="00000000" w:rsidR="00000000" w:rsidRPr="00000000">
              <w:rPr>
                <w:rtl w:val="0"/>
              </w:rPr>
            </w:r>
          </w:p>
        </w:tc>
        <w:tc>
          <w:tcPr/>
          <w:p w:rsidR="00000000" w:rsidDel="00000000" w:rsidP="00000000" w:rsidRDefault="00000000" w:rsidRPr="00000000" w14:paraId="00000084">
            <w:pPr>
              <w:widowControl w:val="1"/>
              <w:pBdr>
                <w:top w:space="0" w:sz="0" w:val="nil"/>
                <w:left w:space="0" w:sz="0" w:val="nil"/>
                <w:bottom w:space="0" w:sz="0" w:val="nil"/>
                <w:right w:space="0" w:sz="0" w:val="nil"/>
                <w:between w:space="0" w:sz="0" w:val="nil"/>
              </w:pBdr>
              <w:tabs>
                <w:tab w:val="left" w:leader="none" w:pos="851"/>
              </w:tabs>
              <w:spacing w:after="120" w:before="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[0-90% at Buyer’s discretion]</w:t>
            </w:r>
            <w:r w:rsidDel="00000000" w:rsidR="00000000" w:rsidRPr="00000000">
              <w:rPr>
                <w:rtl w:val="0"/>
              </w:rPr>
            </w:r>
          </w:p>
        </w:tc>
      </w:tr>
      <w:tr>
        <w:trPr>
          <w:cantSplit w:val="0"/>
          <w:tblHeader w:val="0"/>
        </w:trPr>
        <w:tc>
          <w:tcPr/>
          <w:p w:rsidR="00000000" w:rsidDel="00000000" w:rsidP="00000000" w:rsidRDefault="00000000" w:rsidRPr="00000000" w14:paraId="00000085">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Price</w:t>
            </w:r>
            <w:r w:rsidDel="00000000" w:rsidR="00000000" w:rsidRPr="00000000">
              <w:rPr>
                <w:rtl w:val="0"/>
              </w:rPr>
            </w:r>
          </w:p>
        </w:tc>
        <w:tc>
          <w:tcPr/>
          <w:p w:rsidR="00000000" w:rsidDel="00000000" w:rsidP="00000000" w:rsidRDefault="00000000" w:rsidRPr="00000000" w14:paraId="00000086">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[10-100% at Buyer’s discretion]</w:t>
            </w:r>
            <w:r w:rsidDel="00000000" w:rsidR="00000000" w:rsidRPr="00000000">
              <w:rPr>
                <w:rtl w:val="0"/>
              </w:rPr>
            </w:r>
          </w:p>
        </w:tc>
      </w:tr>
      <w:tr>
        <w:trPr>
          <w:cantSplit w:val="0"/>
          <w:tblHeader w:val="0"/>
        </w:trPr>
        <w:tc>
          <w:tcPr/>
          <w:p w:rsidR="00000000" w:rsidDel="00000000" w:rsidP="00000000" w:rsidRDefault="00000000" w:rsidRPr="00000000" w14:paraId="00000087">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yellow"/>
                <w:rtl w:val="0"/>
              </w:rPr>
              <w:t xml:space="preserve">Social Value</w:t>
            </w:r>
            <w:r w:rsidDel="00000000" w:rsidR="00000000" w:rsidRPr="00000000">
              <w:rPr>
                <w:rtl w:val="0"/>
              </w:rPr>
            </w:r>
          </w:p>
        </w:tc>
        <w:tc>
          <w:tcPr/>
          <w:p w:rsidR="00000000" w:rsidDel="00000000" w:rsidP="00000000" w:rsidRDefault="00000000" w:rsidRPr="00000000" w14:paraId="00000088">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yellow"/>
                <w:rtl w:val="0"/>
              </w:rPr>
              <w:t xml:space="preserve">[10-100% at Buyer’s discretion]</w:t>
            </w:r>
            <w:r w:rsidDel="00000000" w:rsidR="00000000" w:rsidRPr="00000000">
              <w:rPr>
                <w:rtl w:val="0"/>
              </w:rPr>
            </w:r>
          </w:p>
        </w:tc>
      </w:tr>
      <w:tr>
        <w:trPr>
          <w:cantSplit w:val="0"/>
          <w:tblHeader w:val="0"/>
        </w:trPr>
        <w:tc>
          <w:tcPr/>
          <w:p w:rsidR="00000000" w:rsidDel="00000000" w:rsidP="00000000" w:rsidRDefault="00000000" w:rsidRPr="00000000" w14:paraId="00000089">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8A">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B">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highlight w:val="yellow"/>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8C">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highlight w:val="yellow"/>
              </w:rPr>
            </w:pPr>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D">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highlight w:val="yellow"/>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8E">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highlight w:val="yellow"/>
              </w:rPr>
            </w:pPr>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F">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highlight w:val="yellow"/>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90">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highlight w:val="yellow"/>
              </w:rPr>
            </w:pPr>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91">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highlight w:val="yellow"/>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92">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highlight w:val="yellow"/>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93">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94">
      <w:pPr>
        <w:widowControl w:val="1"/>
        <w:pBdr>
          <w:top w:space="0" w:sz="0" w:val="nil"/>
          <w:left w:space="0" w:sz="0" w:val="nil"/>
          <w:bottom w:space="0" w:sz="0" w:val="nil"/>
          <w:right w:space="0" w:sz="0" w:val="nil"/>
          <w:between w:space="0" w:sz="0" w:val="nil"/>
        </w:pBdr>
        <w:jc w:val="both"/>
        <w:rPr>
          <w:rFonts w:ascii="Arial" w:cs="Arial" w:eastAsia="Arial" w:hAnsi="Arial"/>
          <w:color w:val="ffffff"/>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p w:rsidR="00000000" w:rsidDel="00000000" w:rsidP="00000000" w:rsidRDefault="00000000" w:rsidRPr="00000000" w14:paraId="0000009D">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r>
  </w:p>
  <w:p w:rsidR="00000000" w:rsidDel="00000000" w:rsidP="00000000" w:rsidRDefault="00000000" w:rsidRPr="00000000" w14:paraId="0000009E">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tabs>
        <w:tab w:val="left" w:leader="none" w:pos="720"/>
        <w:tab w:val="left" w:leader="none" w:pos="1440"/>
        <w:tab w:val="left" w:leader="none" w:pos="2160"/>
        <w:tab w:val="left" w:leader="none" w:pos="2880"/>
        <w:tab w:val="left" w:leader="none" w:pos="3600"/>
        <w:tab w:val="center" w:leader="none" w:pos="4513"/>
      </w:tabs>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RM6308</w:t>
      <w:tab/>
      <w:t xml:space="preserve">                                           </w:t>
    </w:r>
  </w:p>
  <w:p w:rsidR="00000000" w:rsidDel="00000000" w:rsidP="00000000" w:rsidRDefault="00000000" w:rsidRPr="00000000" w14:paraId="000000A1">
    <w:pPr>
      <w:widowControl w:val="1"/>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tabs>
        <w:tab w:val="left" w:leader="none" w:pos="720"/>
        <w:tab w:val="left" w:leader="none" w:pos="1440"/>
        <w:tab w:val="left" w:leader="none" w:pos="2160"/>
        <w:tab w:val="left" w:leader="none" w:pos="2880"/>
        <w:tab w:val="left" w:leader="none" w:pos="3600"/>
        <w:tab w:val="center" w:leader="none" w:pos="4513"/>
      </w:tabs>
      <w:rPr>
        <w:rFonts w:ascii="Arial" w:cs="Arial" w:eastAsia="Arial" w:hAnsi="Arial"/>
        <w:sz w:val="20"/>
        <w:szCs w:val="20"/>
      </w:rPr>
    </w:pPr>
    <w:bookmarkStart w:colFirst="0" w:colLast="0" w:name="_heading=h.gjdgxs" w:id="12"/>
    <w:bookmarkEnd w:id="12"/>
    <w:r w:rsidDel="00000000" w:rsidR="00000000" w:rsidRPr="00000000">
      <w:rPr>
        <w:rFonts w:ascii="Arial" w:cs="Arial" w:eastAsia="Arial" w:hAnsi="Arial"/>
        <w:sz w:val="20"/>
        <w:szCs w:val="20"/>
        <w:rtl w:val="0"/>
      </w:rPr>
      <w:t xml:space="preserve">Model Version : v3.3</w:t>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7 (Call-Off Award Procedure)</w:t>
    </w:r>
  </w:p>
  <w:p w:rsidR="00000000" w:rsidDel="00000000" w:rsidP="00000000" w:rsidRDefault="00000000" w:rsidRPr="00000000" w14:paraId="00000096">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Framework Schedule 7 (Call-Off Award Procedure)</w:t>
    </w:r>
  </w:p>
  <w:p w:rsidR="00000000" w:rsidDel="00000000" w:rsidP="00000000" w:rsidRDefault="00000000" w:rsidRPr="00000000" w14:paraId="00000099">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2018</w:t>
    </w:r>
  </w:p>
  <w:p w:rsidR="00000000" w:rsidDel="00000000" w:rsidP="00000000" w:rsidRDefault="00000000" w:rsidRPr="00000000" w14:paraId="0000009A">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b w:val="1"/>
        <w:i w:val="0"/>
        <w:smallCaps w:val="0"/>
        <w:strike w:val="0"/>
        <w:color w:val="00000a"/>
        <w:sz w:val="24"/>
        <w:szCs w:val="24"/>
        <w:u w:val="none"/>
        <w:vertAlign w:val="baseline"/>
      </w:rPr>
    </w:lvl>
    <w:lvl w:ilvl="1">
      <w:start w:val="2"/>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rPr/>
    </w:lvl>
    <w:lvl w:ilvl="7">
      <w:start w:val="1"/>
      <w:numFmt w:val="decimal"/>
      <w:lvlText w:val="%1.%2.%3.%4.%5.%6.%7.%8"/>
      <w:lvlJc w:val="left"/>
      <w:pPr>
        <w:ind w:left="2520" w:hanging="1440"/>
      </w:pPr>
      <w:rPr/>
    </w:lvl>
    <w:lvl w:ilvl="8">
      <w:start w:val="1"/>
      <w:numFmt w:val="decimal"/>
      <w:lvlText w:val="%1.%2.%3.%4.%5.%6.%7.%8.%9"/>
      <w:lvlJc w:val="left"/>
      <w:pPr>
        <w:ind w:left="2880" w:hanging="1800"/>
      </w:pPr>
      <w:rPr/>
    </w:lvl>
  </w:abstractNum>
  <w:abstractNum w:abstractNumId="3">
    <w:lvl w:ilvl="0">
      <w:start w:val="1"/>
      <w:numFmt w:val="decimal"/>
      <w:lvlText w:val="%1."/>
      <w:lvlJc w:val="left"/>
      <w:pPr>
        <w:ind w:left="360" w:hanging="360"/>
      </w:pPr>
      <w:rPr>
        <w:b w:val="1"/>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360" w:hanging="360"/>
      </w:pPr>
      <w:rPr>
        <w:b w:val="1"/>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32FDD"/>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tandard" w:customStyle="1">
    <w:name w:val="Standard"/>
    <w:pPr>
      <w:widowControl w:val="1"/>
      <w:spacing w:after="240"/>
      <w:jc w:val="both"/>
    </w:pPr>
    <w:rPr>
      <w:rFonts w:cs="Arial" w:eastAsia="Times New Roman"/>
    </w:rPr>
  </w:style>
  <w:style w:type="paragraph" w:styleId="Heading" w:customStyle="1">
    <w:name w:val="Heading"/>
    <w:basedOn w:val="Standard"/>
    <w:next w:val="Textbody"/>
    <w:pPr>
      <w:keepNext w:val="1"/>
      <w:spacing w:after="120" w:before="240"/>
    </w:pPr>
    <w:rPr>
      <w:rFonts w:ascii="Liberation Sans" w:cs="Arial Unicode MS" w:eastAsia="Arial Unicode MS" w:hAnsi="Liberation Sans"/>
      <w:sz w:val="28"/>
      <w:szCs w:val="28"/>
    </w:rPr>
  </w:style>
  <w:style w:type="paragraph" w:styleId="Textbody" w:customStyle="1">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styleId="MarginText" w:customStyle="1">
    <w:name w:val="Margin Text"/>
    <w:basedOn w:val="Standard"/>
    <w:pPr>
      <w:keepNext w:val="1"/>
      <w:overflowPunct w:val="0"/>
      <w:spacing w:after="120" w:before="240"/>
      <w:ind w:left="142"/>
    </w:pPr>
    <w:rPr>
      <w:rFonts w:cs="Times New Roman" w:eastAsia="STZhongsong"/>
      <w:szCs w:val="18"/>
      <w:lang w:eastAsia="zh-CN"/>
    </w:rPr>
  </w:style>
  <w:style w:type="paragraph" w:styleId="GPSL1CLAUSEHEADING" w:customStyle="1">
    <w:name w:val="GPS L1 CLAUSE HEADING"/>
    <w:basedOn w:val="Standard"/>
    <w:next w:val="Standard"/>
    <w:pPr>
      <w:tabs>
        <w:tab w:val="left" w:pos="142"/>
      </w:tabs>
      <w:overflowPunct w:val="0"/>
      <w:spacing w:before="120"/>
      <w:outlineLvl w:val="1"/>
    </w:pPr>
    <w:rPr>
      <w:rFonts w:eastAsia="STZhongsong"/>
      <w:b w:val="1"/>
      <w:caps w:val="1"/>
      <w:lang w:eastAsia="zh-CN"/>
    </w:rPr>
  </w:style>
  <w:style w:type="paragraph" w:styleId="GPSL3numberedclause" w:customStyle="1">
    <w:name w:val="GPS L3 numbered clause"/>
    <w:basedOn w:val="Standard"/>
    <w:pPr>
      <w:tabs>
        <w:tab w:val="left" w:pos="3641"/>
      </w:tabs>
      <w:overflowPunct w:val="0"/>
      <w:spacing w:after="120" w:before="120"/>
      <w:ind w:left="1656"/>
    </w:pPr>
    <w:rPr>
      <w:lang w:eastAsia="zh-CN"/>
    </w:rPr>
  </w:style>
  <w:style w:type="paragraph" w:styleId="GPSL4numberedclause" w:customStyle="1">
    <w:name w:val="GPS L4 numbered clause"/>
    <w:basedOn w:val="GPSL3numberedclause"/>
    <w:pPr>
      <w:tabs>
        <w:tab w:val="clear" w:pos="3641"/>
      </w:tabs>
      <w:ind w:left="2592" w:hanging="936"/>
    </w:pPr>
  </w:style>
  <w:style w:type="paragraph" w:styleId="GPSL5numberedclause" w:customStyle="1">
    <w:name w:val="GPS L5 numbered clause"/>
    <w:basedOn w:val="GPSL4numberedclause"/>
    <w:pPr>
      <w:tabs>
        <w:tab w:val="left" w:pos="6238"/>
      </w:tabs>
      <w:ind w:left="3119" w:hanging="567"/>
    </w:pPr>
  </w:style>
  <w:style w:type="paragraph" w:styleId="GPSL2NumberedBoldHeading" w:customStyle="1">
    <w:name w:val="GPS L2 Numbered Bold Heading"/>
    <w:basedOn w:val="Standard"/>
    <w:pPr>
      <w:tabs>
        <w:tab w:val="left" w:pos="3054"/>
      </w:tabs>
      <w:overflowPunct w:val="0"/>
      <w:spacing w:after="120" w:before="120"/>
      <w:ind w:left="1920"/>
    </w:pPr>
    <w:rPr>
      <w:b w:val="1"/>
      <w:lang w:eastAsia="zh-CN"/>
    </w:rPr>
  </w:style>
  <w:style w:type="paragraph" w:styleId="GPSL6numbered" w:customStyle="1">
    <w:name w:val="GPS L6 numbered"/>
    <w:basedOn w:val="GPSL5numberedclause"/>
    <w:pPr>
      <w:tabs>
        <w:tab w:val="clear" w:pos="6238"/>
        <w:tab w:val="left" w:pos="4046"/>
        <w:tab w:val="left" w:pos="7372"/>
      </w:tabs>
      <w:ind w:left="3686"/>
    </w:pPr>
  </w:style>
  <w:style w:type="paragraph" w:styleId="GPSL1Guidance" w:customStyle="1">
    <w:name w:val="GPS L1 Guidance"/>
    <w:basedOn w:val="Standard"/>
    <w:pPr>
      <w:spacing w:after="120" w:before="240"/>
      <w:ind w:left="426"/>
    </w:pPr>
    <w:rPr>
      <w:b w:val="1"/>
      <w:i w:val="1"/>
    </w:rPr>
  </w:style>
  <w:style w:type="paragraph" w:styleId="GPSL1SCHEDULEHeading" w:customStyle="1">
    <w:name w:val="GPS L1 SCHEDULE Heading"/>
    <w:basedOn w:val="GPSL1CLAUSEHEADING"/>
    <w:pPr>
      <w:tabs>
        <w:tab w:val="clear" w:pos="142"/>
      </w:tabs>
    </w:pPr>
  </w:style>
  <w:style w:type="paragraph" w:styleId="GPSmacrorestart" w:customStyle="1">
    <w:name w:val="GPS macro restart"/>
    <w:basedOn w:val="Standard"/>
    <w:qFormat w:val="1"/>
    <w:pPr>
      <w:spacing w:after="0"/>
    </w:pPr>
    <w:rPr>
      <w:color w:val="ffffff"/>
      <w:sz w:val="16"/>
      <w:szCs w:val="16"/>
    </w:rPr>
  </w:style>
  <w:style w:type="paragraph" w:styleId="GPSSchTitleandNumber" w:customStyle="1">
    <w:name w:val="GPS Sch Title and Number"/>
    <w:basedOn w:val="Standard"/>
    <w:pPr>
      <w:keepNext w:val="1"/>
      <w:overflowPunct w:val="0"/>
      <w:ind w:firstLine="426"/>
      <w:jc w:val="center"/>
      <w:outlineLvl w:val="0"/>
    </w:pPr>
    <w:rPr>
      <w:rFonts w:ascii="Arial Bold" w:cs="Times New Roman" w:eastAsia="STZhongsong" w:hAnsi="Arial Bold"/>
      <w:b w:val="1"/>
      <w:caps w:val="1"/>
      <w:lang w:eastAsia="zh-CN"/>
    </w:rPr>
  </w:style>
  <w:style w:type="paragraph" w:styleId="GPSSchPart" w:customStyle="1">
    <w:name w:val="GPS Sch Part"/>
    <w:basedOn w:val="Standard"/>
    <w:qFormat w:val="1"/>
    <w:pPr>
      <w:keepNext w:val="1"/>
      <w:overflowPunct w:val="0"/>
      <w:spacing w:before="240"/>
      <w:ind w:firstLine="426"/>
      <w:jc w:val="center"/>
    </w:pPr>
    <w:rPr>
      <w:rFonts w:ascii="Arial Bold" w:cs="Times New Roman" w:eastAsia="STZhongsong" w:hAnsi="Arial Bold"/>
      <w:b w:val="1"/>
      <w:caps w:val="1"/>
      <w:lang w:eastAsia="zh-CN"/>
    </w:rPr>
  </w:style>
  <w:style w:type="paragraph" w:styleId="GPSL2Numbered" w:customStyle="1">
    <w:name w:val="GPS L2 Numbered"/>
    <w:basedOn w:val="GPSL2NumberedBoldHeading"/>
    <w:pPr>
      <w:tabs>
        <w:tab w:val="clear" w:pos="3054"/>
      </w:tabs>
      <w:ind w:left="936" w:hanging="576"/>
    </w:pPr>
    <w:rPr>
      <w:b w:val="0"/>
    </w:rPr>
  </w:style>
  <w:style w:type="paragraph" w:styleId="GPSL1Schedulenumbered" w:customStyle="1">
    <w:name w:val="GPS L1 Schedule numbered"/>
    <w:basedOn w:val="Standard"/>
    <w:qFormat w:val="1"/>
    <w:pPr>
      <w:tabs>
        <w:tab w:val="left" w:pos="851"/>
      </w:tabs>
    </w:pPr>
  </w:style>
  <w:style w:type="paragraph" w:styleId="BalloonText">
    <w:name w:val="Balloon Text"/>
    <w:basedOn w:val="Standard"/>
    <w:pPr>
      <w:spacing w:after="0"/>
    </w:pPr>
    <w:rPr>
      <w:rFonts w:ascii="Tahoma" w:cs="Tahoma" w:eastAsia="Tahoma" w:hAnsi="Tahoma"/>
      <w:sz w:val="16"/>
      <w:szCs w:val="16"/>
    </w:rPr>
  </w:style>
  <w:style w:type="paragraph" w:styleId="GPSL2Guidance" w:customStyle="1">
    <w:name w:val="GPS L2 Guidance"/>
    <w:basedOn w:val="Standard"/>
    <w:pPr>
      <w:tabs>
        <w:tab w:val="left" w:pos="2268"/>
      </w:tabs>
      <w:overflowPunct w:val="0"/>
      <w:spacing w:after="120" w:before="120"/>
      <w:ind w:left="1134"/>
    </w:pPr>
    <w:rPr>
      <w:b w:val="1"/>
      <w:i w:val="1"/>
      <w:lang w:eastAsia="zh-CN"/>
    </w:rPr>
  </w:style>
  <w:style w:type="paragraph" w:styleId="GPSL2Indent" w:customStyle="1">
    <w:name w:val="GPS L2 Indent"/>
    <w:basedOn w:val="Standard"/>
    <w:pPr>
      <w:tabs>
        <w:tab w:val="left" w:pos="4536"/>
      </w:tabs>
      <w:spacing w:after="220"/>
      <w:ind w:left="1134"/>
    </w:pPr>
    <w:rPr>
      <w:szCs w:val="24"/>
    </w:rPr>
  </w:style>
  <w:style w:type="paragraph" w:styleId="GPSL4Guidance" w:customStyle="1">
    <w:name w:val="GPS L4 Guidance"/>
    <w:basedOn w:val="Standard"/>
    <w:pPr>
      <w:tabs>
        <w:tab w:val="left" w:pos="3970"/>
      </w:tabs>
      <w:overflowPunct w:val="0"/>
      <w:spacing w:after="120" w:before="120"/>
      <w:ind w:left="1985"/>
    </w:pPr>
    <w:rPr>
      <w:b w:val="1"/>
      <w:i w:val="1"/>
      <w:lang w:eastAsia="zh-CN"/>
    </w:rPr>
  </w:style>
  <w:style w:type="paragraph" w:styleId="GPSL2non-numberboldheading" w:customStyle="1">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val="1"/>
      <w:bCs w:val="1"/>
    </w:rPr>
  </w:style>
  <w:style w:type="character" w:styleId="HeaderChar" w:customStyle="1">
    <w:name w:val="Header Char"/>
    <w:basedOn w:val="DefaultParagraphFont"/>
  </w:style>
  <w:style w:type="character" w:styleId="FooterChar" w:customStyle="1">
    <w:name w:val="Footer Char"/>
    <w:basedOn w:val="DefaultParagraphFont"/>
    <w:uiPriority w:val="99"/>
  </w:style>
  <w:style w:type="character" w:styleId="Emphasis">
    <w:name w:val="Emphasis"/>
    <w:basedOn w:val="DefaultParagraphFont"/>
    <w:rPr>
      <w:i w:val="1"/>
      <w:iCs w:val="1"/>
    </w:rPr>
  </w:style>
  <w:style w:type="character" w:styleId="MarginTextChar" w:customStyle="1">
    <w:name w:val="Margin Text Char"/>
    <w:rPr>
      <w:rFonts w:ascii="Calibri" w:cs="Times New Roman" w:eastAsia="STZhongsong" w:hAnsi="Calibri"/>
      <w:szCs w:val="18"/>
      <w:lang w:eastAsia="zh-CN"/>
    </w:rPr>
  </w:style>
  <w:style w:type="character" w:styleId="GPSL2NumberedChar" w:customStyle="1">
    <w:name w:val="GPS L2 Numbered Char"/>
    <w:rPr>
      <w:rFonts w:ascii="Calibri" w:cs="Arial" w:eastAsia="Times New Roman" w:hAnsi="Calibri"/>
      <w:lang w:eastAsia="zh-CN"/>
    </w:rPr>
  </w:style>
  <w:style w:type="character" w:styleId="GPSL1SCHEDULEHeadingChar" w:customStyle="1">
    <w:name w:val="GPS L1 SCHEDULE Heading Char"/>
    <w:rPr>
      <w:rFonts w:ascii="Calibri" w:cs="Arial" w:eastAsia="STZhongsong" w:hAnsi="Calibri"/>
      <w:b w:val="1"/>
      <w:caps w:val="1"/>
      <w:lang w:eastAsia="zh-CN"/>
    </w:rPr>
  </w:style>
  <w:style w:type="character" w:styleId="GPSL1SchedulenumberedChar1" w:customStyle="1">
    <w:name w:val="GPS L1 Schedule numbered Char1"/>
    <w:rPr>
      <w:rFonts w:ascii="Calibri" w:cs="Arial" w:eastAsia="Times New Roman" w:hAnsi="Calibri"/>
    </w:rPr>
  </w:style>
  <w:style w:type="character" w:styleId="GPSL1GuidanceChar" w:customStyle="1">
    <w:name w:val="GPS L1 Guidance Char"/>
    <w:rPr>
      <w:rFonts w:ascii="Calibri" w:cs="Arial" w:eastAsia="Times New Roman" w:hAnsi="Calibri"/>
      <w:b w:val="1"/>
      <w:i w:val="1"/>
    </w:rPr>
  </w:style>
  <w:style w:type="character" w:styleId="GPSSchTitleandNumberChar" w:customStyle="1">
    <w:name w:val="GPS Sch Title and Number Char"/>
    <w:rPr>
      <w:rFonts w:ascii="Arial Bold" w:cs="Times New Roman" w:eastAsia="STZhongsong" w:hAnsi="Arial Bold"/>
      <w:b w:val="1"/>
      <w:caps w:val="1"/>
      <w:lang w:eastAsia="zh-CN"/>
    </w:rPr>
  </w:style>
  <w:style w:type="character" w:styleId="GPSSchPartChar" w:customStyle="1">
    <w:name w:val="GPS Sch Part Char"/>
    <w:rPr>
      <w:rFonts w:ascii="Arial Bold" w:cs="Times New Roman" w:eastAsia="STZhongsong" w:hAnsi="Arial Bold"/>
      <w:b w:val="1"/>
      <w:caps w:val="1"/>
      <w:lang w:eastAsia="zh-CN"/>
    </w:rPr>
  </w:style>
  <w:style w:type="character" w:styleId="BalloonTextChar" w:customStyle="1">
    <w:name w:val="Balloon Text Char"/>
    <w:basedOn w:val="DefaultParagraphFont"/>
    <w:rPr>
      <w:rFonts w:ascii="Tahoma" w:cs="Tahoma" w:eastAsia="Times New Roman" w:hAnsi="Tahoma"/>
      <w:sz w:val="16"/>
      <w:szCs w:val="16"/>
    </w:rPr>
  </w:style>
  <w:style w:type="character" w:styleId="GPSL4numberedclauseChar" w:customStyle="1">
    <w:name w:val="GPS L4 numbered clause Char"/>
    <w:rPr>
      <w:rFonts w:ascii="Calibri" w:cs="Arial" w:eastAsia="Times New Roman" w:hAnsi="Calibri"/>
      <w:lang w:eastAsia="zh-CN"/>
    </w:rPr>
  </w:style>
  <w:style w:type="character" w:styleId="GPSL3numberedclauseChar" w:customStyle="1">
    <w:name w:val="GPS L3 numbered clause Char"/>
    <w:rPr>
      <w:rFonts w:ascii="Calibri" w:cs="Arial" w:eastAsia="Times New Roman" w:hAnsi="Calibri"/>
      <w:lang w:eastAsia="zh-CN"/>
    </w:rPr>
  </w:style>
  <w:style w:type="character" w:styleId="GPSL5numberedclauseChar" w:customStyle="1">
    <w:name w:val="GPS L5 numbered clause Char"/>
    <w:rPr>
      <w:rFonts w:ascii="Calibri" w:cs="Arial" w:eastAsia="Times New Roman" w:hAnsi="Calibri"/>
      <w:lang w:eastAsia="zh-CN"/>
    </w:rPr>
  </w:style>
  <w:style w:type="character" w:styleId="GPSL4GuidanceChar" w:customStyle="1">
    <w:name w:val="GPS L4 Guidance Char"/>
    <w:rPr>
      <w:rFonts w:ascii="Calibri" w:cs="Arial" w:eastAsia="Times New Roman" w:hAnsi="Calibri"/>
      <w:b w:val="1"/>
      <w:i w:val="1"/>
      <w:lang w:eastAsia="zh-CN"/>
    </w:rPr>
  </w:style>
  <w:style w:type="character" w:styleId="GPSL2non-numberboldheadingChar" w:customStyle="1">
    <w:name w:val="GPS L2 non-number bold heading Char"/>
    <w:rPr>
      <w:rFonts w:ascii="Calibri" w:cs="Arial" w:eastAsia="Times New Roman" w:hAnsi="Calibri"/>
      <w:b w:val="1"/>
      <w:lang w:eastAsia="zh-CN"/>
    </w:rPr>
  </w:style>
  <w:style w:type="character" w:styleId="GPSL2IndentChar" w:customStyle="1">
    <w:name w:val="GPS L2 Indent Char"/>
    <w:rPr>
      <w:rFonts w:ascii="Calibri" w:cs="Arial" w:eastAsia="Times New Roman" w:hAnsi="Calibri"/>
      <w:szCs w:val="24"/>
    </w:rPr>
  </w:style>
  <w:style w:type="character" w:styleId="GPSL2GuidanceChar" w:customStyle="1">
    <w:name w:val="GPS L2 Guidance Char"/>
    <w:rPr>
      <w:rFonts w:ascii="Calibri" w:cs="Arial" w:eastAsia="Times New Roman" w:hAnsi="Calibri"/>
      <w:b w:val="1"/>
      <w:i w:val="1"/>
      <w:lang w:eastAsia="zh-CN"/>
    </w:rPr>
  </w:style>
  <w:style w:type="character" w:styleId="CommentReference">
    <w:name w:val="annotation reference"/>
    <w:basedOn w:val="DefaultParagraphFont"/>
    <w:rPr>
      <w:sz w:val="16"/>
      <w:szCs w:val="16"/>
    </w:rPr>
  </w:style>
  <w:style w:type="character" w:styleId="CommentTextChar" w:customStyle="1">
    <w:name w:val="Comment Text Char"/>
    <w:basedOn w:val="DefaultParagraphFont"/>
    <w:rPr>
      <w:rFonts w:ascii="Calibri" w:cs="Arial" w:eastAsia="Times New Roman" w:hAnsi="Calibri"/>
      <w:sz w:val="20"/>
      <w:szCs w:val="20"/>
    </w:rPr>
  </w:style>
  <w:style w:type="character" w:styleId="CommentSubjectChar" w:customStyle="1">
    <w:name w:val="Comment Subject Char"/>
    <w:basedOn w:val="CommentTextChar"/>
    <w:rPr>
      <w:rFonts w:ascii="Calibri" w:cs="Arial" w:eastAsia="Times New Roman" w:hAnsi="Calibri"/>
      <w:b w:val="1"/>
      <w:bCs w:val="1"/>
      <w:sz w:val="20"/>
      <w:szCs w:val="20"/>
    </w:rPr>
  </w:style>
  <w:style w:type="character" w:styleId="ListLabel1" w:customStyle="1">
    <w:name w:val="ListLabel 1"/>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2" w:customStyle="1">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 w:customStyle="1">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 w:customStyle="1">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 w:customStyle="1">
    <w:name w:val="ListLabel 5"/>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6" w:customStyle="1">
    <w:name w:val="ListLabel 6"/>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7" w:customStyle="1">
    <w:name w:val="ListLabel 7"/>
    <w:rPr>
      <w:rFonts w:cs="Times New Roman"/>
    </w:rPr>
  </w:style>
  <w:style w:type="character" w:styleId="ListLabel8" w:customStyle="1">
    <w:name w:val="ListLabel 8"/>
    <w:rPr>
      <w:rFonts w:cs="Times New Roman"/>
    </w:rPr>
  </w:style>
  <w:style w:type="character" w:styleId="ListLabel9" w:customStyle="1">
    <w:name w:val="ListLabel 9"/>
    <w:rPr>
      <w:rFonts w:cs="Times New Roman"/>
    </w:rPr>
  </w:style>
  <w:style w:type="character" w:styleId="ListLabel10" w:customStyle="1">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11" w:customStyle="1">
    <w:name w:val="ListLabel 11"/>
    <w:rPr>
      <w:rFonts w:cs="Times New Roman"/>
    </w:rPr>
  </w:style>
  <w:style w:type="character" w:styleId="ListLabel12" w:customStyle="1">
    <w:name w:val="ListLabel 12"/>
    <w:rPr>
      <w:rFonts w:cs="Times New Roman"/>
    </w:rPr>
  </w:style>
  <w:style w:type="character" w:styleId="ListLabel13" w:customStyle="1">
    <w:name w:val="ListLabel 13"/>
    <w:rPr>
      <w:rFonts w:cs="Times New Roman"/>
    </w:rPr>
  </w:style>
  <w:style w:type="character" w:styleId="ListLabel14" w:customStyle="1">
    <w:name w:val="ListLabel 14"/>
    <w:rPr>
      <w:rFonts w:cs="Times New Roman"/>
    </w:rPr>
  </w:style>
  <w:style w:type="character" w:styleId="ListLabel15" w:customStyle="1">
    <w:name w:val="ListLabel 15"/>
    <w:rPr>
      <w:rFonts w:cs="Times New Roman"/>
    </w:rPr>
  </w:style>
  <w:style w:type="character" w:styleId="ListLabel16" w:customStyle="1">
    <w:name w:val="ListLabel 16"/>
    <w:rPr>
      <w:rFonts w:cs="Times New Roman"/>
    </w:rPr>
  </w:style>
  <w:style w:type="character" w:styleId="ListLabel17" w:customStyle="1">
    <w:name w:val="ListLabel 17"/>
    <w:rPr>
      <w:rFonts w:cs="Times New Roman"/>
    </w:rPr>
  </w:style>
  <w:style w:type="character" w:styleId="ListLabel18" w:customStyle="1">
    <w:name w:val="ListLabel 18"/>
    <w:rPr>
      <w:rFonts w:cs="Times New Roman"/>
    </w:rPr>
  </w:style>
  <w:style w:type="character" w:styleId="ListLabel19" w:customStyle="1">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20" w:customStyle="1">
    <w:name w:val="ListLabel 20"/>
    <w:rPr>
      <w:rFonts w:cs="Times New Roman"/>
    </w:rPr>
  </w:style>
  <w:style w:type="character" w:styleId="ListLabel21" w:customStyle="1">
    <w:name w:val="ListLabel 21"/>
    <w:rPr>
      <w:rFonts w:cs="Times New Roman"/>
    </w:rPr>
  </w:style>
  <w:style w:type="character" w:styleId="ListLabel22" w:customStyle="1">
    <w:name w:val="ListLabel 22"/>
    <w:rPr>
      <w:rFonts w:cs="Times New Roman"/>
    </w:rPr>
  </w:style>
  <w:style w:type="character" w:styleId="ListLabel23" w:customStyle="1">
    <w:name w:val="ListLabel 23"/>
    <w:rPr>
      <w:rFonts w:cs="Times New Roman"/>
    </w:rPr>
  </w:style>
  <w:style w:type="character" w:styleId="ListLabel24" w:customStyle="1">
    <w:name w:val="ListLabel 24"/>
    <w:rPr>
      <w:rFonts w:cs="Times New Roman"/>
    </w:rPr>
  </w:style>
  <w:style w:type="character" w:styleId="ListLabel25" w:customStyle="1">
    <w:name w:val="ListLabel 25"/>
    <w:rPr>
      <w:rFonts w:cs="Times New Roman"/>
    </w:rPr>
  </w:style>
  <w:style w:type="character" w:styleId="ListLabel26" w:customStyle="1">
    <w:name w:val="ListLabel 26"/>
    <w:rPr>
      <w:rFonts w:cs="Times New Roman"/>
    </w:rPr>
  </w:style>
  <w:style w:type="character" w:styleId="ListLabel27" w:customStyle="1">
    <w:name w:val="ListLabel 27"/>
    <w:rPr>
      <w:rFonts w:cs="Times New Roman"/>
    </w:rPr>
  </w:style>
  <w:style w:type="character" w:styleId="ListLabel28" w:customStyle="1">
    <w:name w:val="ListLabel 28"/>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29" w:customStyle="1">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0" w:customStyle="1">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1" w:customStyle="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2" w:customStyle="1">
    <w:name w:val="ListLabel 32"/>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33" w:customStyle="1">
    <w:name w:val="ListLabel 33"/>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34" w:customStyle="1">
    <w:name w:val="ListLabel 34"/>
    <w:rPr>
      <w:rFonts w:cs="Times New Roman"/>
    </w:rPr>
  </w:style>
  <w:style w:type="character" w:styleId="ListLabel35" w:customStyle="1">
    <w:name w:val="ListLabel 35"/>
    <w:rPr>
      <w:rFonts w:cs="Times New Roman"/>
    </w:rPr>
  </w:style>
  <w:style w:type="character" w:styleId="ListLabel36" w:customStyle="1">
    <w:name w:val="ListLabel 36"/>
    <w:rPr>
      <w:rFonts w:cs="Times New Roman"/>
    </w:rPr>
  </w:style>
  <w:style w:type="character" w:styleId="ListLabel37" w:customStyle="1">
    <w:name w:val="ListLabel 37"/>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8" w:customStyle="1">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9" w:customStyle="1">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0" w:customStyle="1">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1" w:customStyle="1">
    <w:name w:val="ListLabel 41"/>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42" w:customStyle="1">
    <w:name w:val="ListLabel 42"/>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43" w:customStyle="1">
    <w:name w:val="ListLabel 43"/>
    <w:rPr>
      <w:rFonts w:cs="Times New Roman"/>
    </w:rPr>
  </w:style>
  <w:style w:type="character" w:styleId="ListLabel44" w:customStyle="1">
    <w:name w:val="ListLabel 44"/>
    <w:rPr>
      <w:rFonts w:cs="Times New Roman"/>
    </w:rPr>
  </w:style>
  <w:style w:type="character" w:styleId="ListLabel45" w:customStyle="1">
    <w:name w:val="ListLabel 45"/>
    <w:rPr>
      <w:rFonts w:cs="Times New Roman"/>
    </w:rPr>
  </w:style>
  <w:style w:type="character" w:styleId="ListLabel46" w:customStyle="1">
    <w:name w:val="ListLabel 46"/>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7" w:customStyle="1">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8" w:customStyle="1">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9" w:customStyle="1">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0" w:customStyle="1">
    <w:name w:val="ListLabel 50"/>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51" w:customStyle="1">
    <w:name w:val="ListLabel 51"/>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52" w:customStyle="1">
    <w:name w:val="ListLabel 52"/>
    <w:rPr>
      <w:rFonts w:cs="Times New Roman"/>
    </w:rPr>
  </w:style>
  <w:style w:type="character" w:styleId="ListLabel53" w:customStyle="1">
    <w:name w:val="ListLabel 53"/>
    <w:rPr>
      <w:rFonts w:cs="Times New Roman"/>
    </w:rPr>
  </w:style>
  <w:style w:type="character" w:styleId="ListLabel54" w:customStyle="1">
    <w:name w:val="ListLabel 54"/>
    <w:rPr>
      <w:rFonts w:cs="Times New Roman"/>
    </w:rPr>
  </w:style>
  <w:style w:type="character" w:styleId="ListLabel55" w:customStyle="1">
    <w:name w:val="ListLabel 55"/>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6" w:customStyle="1">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7" w:customStyle="1">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8" w:customStyle="1">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9" w:customStyle="1">
    <w:name w:val="ListLabel 59"/>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60" w:customStyle="1">
    <w:name w:val="ListLabel 60"/>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61" w:customStyle="1">
    <w:name w:val="ListLabel 61"/>
    <w:rPr>
      <w:rFonts w:cs="Times New Roman"/>
    </w:rPr>
  </w:style>
  <w:style w:type="character" w:styleId="ListLabel62" w:customStyle="1">
    <w:name w:val="ListLabel 62"/>
    <w:rPr>
      <w:rFonts w:cs="Times New Roman"/>
    </w:rPr>
  </w:style>
  <w:style w:type="character" w:styleId="ListLabel63" w:customStyle="1">
    <w:name w:val="ListLabel 63"/>
    <w:rPr>
      <w:rFonts w:cs="Times New Roman"/>
    </w:rPr>
  </w:style>
  <w:style w:type="character" w:styleId="ListLabel64" w:customStyle="1">
    <w:name w:val="ListLabel 64"/>
    <w:rPr>
      <w:rFonts w:cs="Courier New"/>
      <w:b w:val="0"/>
    </w:rPr>
  </w:style>
  <w:style w:type="character" w:styleId="ListLabel65" w:customStyle="1">
    <w:name w:val="ListLabel 65"/>
    <w:rPr>
      <w:rFonts w:cs="Courier New"/>
    </w:rPr>
  </w:style>
  <w:style w:type="character" w:styleId="ListLabel66" w:customStyle="1">
    <w:name w:val="ListLabel 66"/>
    <w:rPr>
      <w:rFonts w:cs="Courier New"/>
    </w:rPr>
  </w:style>
  <w:style w:type="character" w:styleId="ListLabel67" w:customStyle="1">
    <w:name w:val="ListLabel 67"/>
    <w:rPr>
      <w:rFonts w:cs="Courier New"/>
    </w:rPr>
  </w:style>
  <w:style w:type="character" w:styleId="ListLabel68" w:customStyle="1">
    <w:name w:val="ListLabel 68"/>
    <w:rPr>
      <w:rFonts w:cs="Courier New"/>
    </w:rPr>
  </w:style>
  <w:style w:type="character" w:styleId="ListLabel69" w:customStyle="1">
    <w:name w:val="ListLabel 69"/>
    <w:rPr>
      <w:rFonts w:cs="Courier New"/>
    </w:rPr>
  </w:style>
  <w:style w:type="character" w:styleId="ListLabel70" w:customStyle="1">
    <w:name w:val="ListLabel 70"/>
    <w:rPr>
      <w:rFonts w:cs="Courier New"/>
    </w:rPr>
  </w:style>
  <w:style w:type="character" w:styleId="ListLabel71" w:customStyle="1">
    <w:name w:val="ListLabel 71"/>
    <w:rPr>
      <w:rFonts w:cs="Courier New"/>
    </w:rPr>
  </w:style>
  <w:style w:type="character" w:styleId="ListLabel72" w:customStyle="1">
    <w:name w:val="ListLabel 72"/>
    <w:rPr>
      <w:rFonts w:cs="Courier New"/>
    </w:rPr>
  </w:style>
  <w:style w:type="character" w:styleId="ListLabel73" w:customStyle="1">
    <w:name w:val="ListLabel 73"/>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4" w:customStyle="1">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5" w:customStyle="1">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6" w:customStyle="1">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7" w:customStyle="1">
    <w:name w:val="ListLabel 77"/>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78" w:customStyle="1">
    <w:name w:val="ListLabel 78"/>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79" w:customStyle="1">
    <w:name w:val="ListLabel 79"/>
    <w:rPr>
      <w:rFonts w:cs="Times New Roman"/>
    </w:rPr>
  </w:style>
  <w:style w:type="character" w:styleId="ListLabel80" w:customStyle="1">
    <w:name w:val="ListLabel 80"/>
    <w:rPr>
      <w:rFonts w:cs="Times New Roman"/>
    </w:rPr>
  </w:style>
  <w:style w:type="character" w:styleId="ListLabel81" w:customStyle="1">
    <w:name w:val="ListLabel 81"/>
    <w:rPr>
      <w:rFonts w:cs="Times New Roman"/>
    </w:rPr>
  </w:style>
  <w:style w:type="character" w:styleId="ListLabel82" w:customStyle="1">
    <w:name w:val="ListLabel 82"/>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3" w:customStyle="1">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4" w:customStyle="1">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5" w:customStyle="1">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6" w:customStyle="1">
    <w:name w:val="ListLabel 86"/>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87" w:customStyle="1">
    <w:name w:val="ListLabel 87"/>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88" w:customStyle="1">
    <w:name w:val="ListLabel 88"/>
    <w:rPr>
      <w:rFonts w:cs="Times New Roman"/>
    </w:rPr>
  </w:style>
  <w:style w:type="character" w:styleId="ListLabel89" w:customStyle="1">
    <w:name w:val="ListLabel 89"/>
    <w:rPr>
      <w:rFonts w:cs="Times New Roman"/>
    </w:rPr>
  </w:style>
  <w:style w:type="character" w:styleId="ListLabel90" w:customStyle="1">
    <w:name w:val="ListLabel 90"/>
    <w:rPr>
      <w:rFonts w:cs="Times New Roman"/>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numbering" w:styleId="WWNum3" w:customStyle="1">
    <w:name w:val="WWNum3"/>
    <w:basedOn w:val="NoList"/>
  </w:style>
  <w:style w:type="numbering" w:styleId="WWNum4" w:customStyle="1">
    <w:name w:val="WWNum4"/>
    <w:basedOn w:val="NoList"/>
  </w:style>
  <w:style w:type="numbering" w:styleId="WWNum5" w:customStyle="1">
    <w:name w:val="WWNum5"/>
    <w:basedOn w:val="NoList"/>
  </w:style>
  <w:style w:type="numbering" w:styleId="WWNum6" w:customStyle="1">
    <w:name w:val="WWNum6"/>
    <w:basedOn w:val="NoList"/>
  </w:style>
  <w:style w:type="numbering" w:styleId="WWNum7" w:customStyle="1">
    <w:name w:val="WWNum7"/>
    <w:basedOn w:val="NoList"/>
  </w:style>
  <w:style w:type="numbering" w:styleId="WWNum8" w:customStyle="1">
    <w:name w:val="WWNum8"/>
    <w:basedOn w:val="NoList"/>
  </w:style>
  <w:style w:type="numbering" w:styleId="WWNum9" w:customStyle="1">
    <w:name w:val="WWNum9"/>
    <w:basedOn w:val="NoList"/>
  </w:style>
  <w:style w:type="numbering" w:styleId="WWNum10" w:customStyle="1">
    <w:name w:val="WWNum10"/>
    <w:basedOn w:val="NoList"/>
  </w:style>
  <w:style w:type="numbering" w:styleId="WWNum11" w:customStyle="1">
    <w:name w:val="WWNum11"/>
    <w:basedOn w:val="NoList"/>
  </w:style>
  <w:style w:type="numbering" w:styleId="WWNum12" w:customStyle="1">
    <w:name w:val="WWNum12"/>
    <w:basedOn w:val="NoList"/>
  </w:style>
  <w:style w:type="numbering" w:styleId="WWNum13" w:customStyle="1">
    <w:name w:val="WWNum13"/>
    <w:basedOn w:val="NoList"/>
  </w:style>
  <w:style w:type="table" w:styleId="TableGrid">
    <w:name w:val="Table Grid"/>
    <w:basedOn w:val="TableNormal"/>
    <w:uiPriority w:val="39"/>
    <w:rsid w:val="007A5C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AMainHeading" w:customStyle="1">
    <w:name w:val="FA: Main Heading"/>
    <w:basedOn w:val="Heading1"/>
    <w:qFormat w:val="1"/>
    <w:rsid w:val="00532FDD"/>
    <w:pPr>
      <w:numPr>
        <w:numId w:val="5"/>
      </w:numPr>
      <w:tabs>
        <w:tab w:val="num" w:pos="360"/>
      </w:tabs>
      <w:spacing w:after="20" w:before="20"/>
      <w:ind w:left="0" w:firstLine="0"/>
    </w:pPr>
    <w:rPr>
      <w:rFonts w:ascii="Arial" w:cs="Arial" w:eastAsia="Calibri" w:hAnsi="Arial"/>
      <w:b w:val="1"/>
      <w:color w:val="auto"/>
      <w:sz w:val="22"/>
      <w:szCs w:val="36"/>
    </w:rPr>
  </w:style>
  <w:style w:type="paragraph" w:styleId="FALevel1" w:customStyle="1">
    <w:name w:val="FA: Level 1"/>
    <w:basedOn w:val="Normal"/>
    <w:link w:val="FALevel1Char"/>
    <w:qFormat w:val="1"/>
    <w:rsid w:val="00532FDD"/>
    <w:pPr>
      <w:widowControl w:val="1"/>
      <w:numPr>
        <w:ilvl w:val="1"/>
        <w:numId w:val="5"/>
      </w:numPr>
      <w:spacing w:after="280" w:before="120" w:line="259" w:lineRule="auto"/>
    </w:pPr>
    <w:rPr>
      <w:rFonts w:ascii="Arial" w:cs="Arial" w:hAnsi="Arial" w:eastAsiaTheme="minorHAnsi"/>
    </w:rPr>
  </w:style>
  <w:style w:type="character" w:styleId="FALevel1Char" w:customStyle="1">
    <w:name w:val="FA: Level 1 Char"/>
    <w:basedOn w:val="DefaultParagraphFont"/>
    <w:link w:val="FALevel1"/>
    <w:rsid w:val="00532FDD"/>
    <w:rPr>
      <w:rFonts w:ascii="Arial" w:cs="Arial" w:hAnsi="Arial" w:eastAsiaTheme="minorHAnsi"/>
    </w:rPr>
  </w:style>
  <w:style w:type="paragraph" w:styleId="FALevel2" w:customStyle="1">
    <w:name w:val="FA: Level 2"/>
    <w:basedOn w:val="Normal"/>
    <w:link w:val="FALevel2Char"/>
    <w:qFormat w:val="1"/>
    <w:rsid w:val="00532FDD"/>
    <w:pPr>
      <w:widowControl w:val="1"/>
      <w:numPr>
        <w:ilvl w:val="2"/>
        <w:numId w:val="5"/>
      </w:numPr>
      <w:spacing w:after="280" w:before="120" w:line="259" w:lineRule="auto"/>
    </w:pPr>
    <w:rPr>
      <w:rFonts w:ascii="Arial" w:cs="Arial" w:hAnsi="Arial" w:eastAsiaTheme="minorHAnsi"/>
    </w:rPr>
  </w:style>
  <w:style w:type="character" w:styleId="FALevel2Char" w:customStyle="1">
    <w:name w:val="FA: Level 2 Char"/>
    <w:basedOn w:val="DefaultParagraphFont"/>
    <w:link w:val="FALevel2"/>
    <w:rsid w:val="00532FDD"/>
    <w:rPr>
      <w:rFonts w:ascii="Arial" w:cs="Arial" w:hAnsi="Arial" w:eastAsiaTheme="minorHAnsi"/>
    </w:rPr>
  </w:style>
  <w:style w:type="character" w:styleId="Heading1Char" w:customStyle="1">
    <w:name w:val="Heading 1 Char"/>
    <w:basedOn w:val="DefaultParagraphFont"/>
    <w:link w:val="Heading1"/>
    <w:uiPriority w:val="9"/>
    <w:rsid w:val="00532FDD"/>
    <w:rPr>
      <w:rFonts w:asciiTheme="majorHAnsi" w:cstheme="majorBidi" w:eastAsiaTheme="majorEastAsia" w:hAnsiTheme="majorHAnsi"/>
      <w:color w:val="2f5496" w:themeColor="accent1" w:themeShade="0000BF"/>
      <w:sz w:val="32"/>
      <w:szCs w:val="32"/>
    </w:rPr>
  </w:style>
  <w:style w:type="paragraph" w:styleId="FABulletPoints" w:customStyle="1">
    <w:name w:val="FA: Bullet Points"/>
    <w:basedOn w:val="Normal"/>
    <w:link w:val="FABulletPointsChar"/>
    <w:qFormat w:val="1"/>
    <w:rsid w:val="00532FDD"/>
    <w:pPr>
      <w:widowControl w:val="1"/>
      <w:tabs>
        <w:tab w:val="num" w:pos="720"/>
      </w:tabs>
      <w:ind w:left="720" w:hanging="720"/>
    </w:pPr>
    <w:rPr>
      <w:rFonts w:ascii="Arial" w:cs="Arial" w:hAnsi="Arial" w:eastAsiaTheme="minorHAnsi"/>
    </w:rPr>
  </w:style>
  <w:style w:type="character" w:styleId="FABulletPointsChar" w:customStyle="1">
    <w:name w:val="FA: Bullet Points Char"/>
    <w:basedOn w:val="DefaultParagraphFont"/>
    <w:link w:val="FABulletPoints"/>
    <w:rsid w:val="00532FDD"/>
    <w:rPr>
      <w:rFonts w:ascii="Arial" w:cs="Arial" w:hAnsi="Arial" w:eastAsiaTheme="minorHAnsi"/>
    </w:rPr>
  </w:style>
  <w:style w:type="paragraph" w:styleId="Revision">
    <w:name w:val="Revision"/>
    <w:hidden w:val="1"/>
    <w:uiPriority w:val="99"/>
    <w:semiHidden w:val="1"/>
    <w:rsid w:val="00CE0EDB"/>
    <w:pPr>
      <w:widowControl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097BC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sp29xGiPrVcw99yGa4C7Nm2D6g==">CgMxLjAyCWlkLmdqZGd4czIJaC4zMGowemxsMgloLjFmb2I5dGUyCWguM3pueXNoNzIJaC4yZXQ5MnAwMghoLnR5amN3dDIJaC4zZHk2dmttMgloLjF0M2g1c2YyCWguNGQzNG9nODIJaC4yczhleW8xMgloLjE3ZHA4dnUyCWguM3JkY3JqbjIIaC5namRneHM4AHIhMVBLZ2U5X0tKOXN0X3pnb0psNjFBcmJqM3hQa25aa1Ff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2023-07-07T17:48:00Z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ies>
</file>