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Guidance: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11">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12">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1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p>
    <w:p w:rsidR="00000000" w:rsidDel="00000000" w:rsidP="00000000" w:rsidRDefault="00000000" w:rsidRPr="00000000" w14:paraId="0000001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bookmarkStart w:colFirst="0" w:colLast="0" w:name="bookmark=id.gjdgxs" w:id="1"/>
    <w:bookmarkEnd w:id="1"/>
    <w:p w:rsidR="00000000" w:rsidDel="00000000" w:rsidP="00000000" w:rsidRDefault="00000000" w:rsidRPr="00000000" w14:paraId="0000001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bookmarkStart w:colFirst="0" w:colLast="0" w:name="bookmark=id.30j0zll" w:id="2"/>
    <w:bookmarkEnd w:id="2"/>
    <w:p w:rsidR="00000000" w:rsidDel="00000000" w:rsidP="00000000" w:rsidRDefault="00000000" w:rsidRPr="00000000" w14:paraId="0000001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bookmarkStart w:colFirst="0" w:colLast="0" w:name="bookmark=id.1fob9te" w:id="3"/>
    <w:bookmarkEnd w:id="3"/>
    <w:p w:rsidR="00000000" w:rsidDel="00000000" w:rsidP="00000000" w:rsidRDefault="00000000" w:rsidRPr="00000000" w14:paraId="0000001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000000" w:rsidDel="00000000" w:rsidP="00000000" w:rsidRDefault="00000000" w:rsidRPr="00000000" w14:paraId="0000002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bookmarkStart w:colFirst="0" w:colLast="0" w:name="bookmark=id.3znysh7" w:id="4"/>
      <w:bookmarkEnd w:id="4"/>
      <w:r w:rsidDel="00000000" w:rsidR="00000000" w:rsidRPr="00000000">
        <w:rPr>
          <w:rtl w:val="0"/>
        </w:rPr>
      </w:r>
    </w:p>
    <w:p w:rsidR="00000000" w:rsidDel="00000000" w:rsidP="00000000" w:rsidRDefault="00000000" w:rsidRPr="00000000" w14:paraId="0000002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22">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w:t>
      </w:r>
    </w:p>
    <w:p w:rsidR="00000000" w:rsidDel="00000000" w:rsidP="00000000" w:rsidRDefault="00000000" w:rsidRPr="00000000" w14:paraId="00000023">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bookmarkStart w:colFirst="0" w:colLast="0" w:name="bookmark=id.2et92p0" w:id="5"/>
    <w:bookmarkEnd w:id="5"/>
    <w:p w:rsidR="00000000" w:rsidDel="00000000" w:rsidP="00000000" w:rsidRDefault="00000000" w:rsidRPr="00000000" w14:paraId="0000002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26">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p>
    <w:p w:rsidR="00000000" w:rsidDel="00000000" w:rsidP="00000000" w:rsidRDefault="00000000" w:rsidRPr="00000000" w14:paraId="00000027">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10"/>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bookmarkStart w:colFirst="0" w:colLast="0" w:name="bookmark=id.tyjcwt" w:id="6"/>
    <w:bookmarkEnd w:id="6"/>
    <w:p w:rsidR="00000000" w:rsidDel="00000000" w:rsidP="00000000" w:rsidRDefault="00000000" w:rsidRPr="00000000" w14:paraId="0000002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p>
    <w:bookmarkStart w:colFirst="0" w:colLast="0" w:name="bookmark=id.3dy6vkm" w:id="7"/>
    <w:bookmarkEnd w:id="7"/>
    <w:p w:rsidR="00000000" w:rsidDel="00000000" w:rsidP="00000000" w:rsidRDefault="00000000" w:rsidRPr="00000000" w14:paraId="0000002D">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p>
    <w:p w:rsidR="00000000" w:rsidDel="00000000" w:rsidP="00000000" w:rsidRDefault="00000000" w:rsidRPr="00000000" w14:paraId="0000002E">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p>
    <w:bookmarkStart w:colFirst="0" w:colLast="0" w:name="bookmark=id.1t3h5sf" w:id="8"/>
    <w:bookmarkEnd w:id="8"/>
    <w:p w:rsidR="00000000" w:rsidDel="00000000" w:rsidP="00000000" w:rsidRDefault="00000000" w:rsidRPr="00000000" w14:paraId="0000002F">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bookmarkStart w:colFirst="0" w:colLast="0" w:name="bookmark=id.4d34og8" w:id="9"/>
    <w:bookmarkEnd w:id="9"/>
    <w:p w:rsidR="00000000" w:rsidDel="00000000" w:rsidP="00000000" w:rsidRDefault="00000000" w:rsidRPr="00000000" w14:paraId="00000030">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10"/>
    <w:bookmarkEnd w:id="10"/>
    <w:p w:rsidR="00000000" w:rsidDel="00000000" w:rsidP="00000000" w:rsidRDefault="00000000" w:rsidRPr="00000000" w14:paraId="00000031">
      <w:pPr>
        <w:numPr>
          <w:ilvl w:val="3"/>
          <w:numId w:val="10"/>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p>
    <w:bookmarkStart w:colFirst="0" w:colLast="0" w:name="bookmark=id.17dp8vu" w:id="11"/>
    <w:bookmarkEnd w:id="11"/>
    <w:p w:rsidR="00000000" w:rsidDel="00000000" w:rsidP="00000000" w:rsidRDefault="00000000" w:rsidRPr="00000000" w14:paraId="0000003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p>
    <w:p w:rsidR="00000000" w:rsidDel="00000000" w:rsidP="00000000" w:rsidRDefault="00000000" w:rsidRPr="00000000" w14:paraId="00000033">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34">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000000" w:rsidDel="00000000" w:rsidP="00000000" w:rsidRDefault="00000000" w:rsidRPr="00000000" w14:paraId="00000035">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6">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037">
      <w:pPr>
        <w:numPr>
          <w:ilvl w:val="3"/>
          <w:numId w:val="10"/>
        </w:numPr>
        <w:pBdr>
          <w:top w:space="0" w:sz="0" w:val="nil"/>
          <w:left w:space="0" w:sz="0" w:val="nil"/>
          <w:bottom w:space="0" w:sz="0" w:val="nil"/>
          <w:right w:space="0" w:sz="0" w:val="nil"/>
          <w:between w:space="0" w:sz="0" w:val="nil"/>
        </w:pBdr>
        <w:spacing w:after="12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p>
    <w:p w:rsidR="00000000" w:rsidDel="00000000" w:rsidP="00000000" w:rsidRDefault="00000000" w:rsidRPr="00000000" w14:paraId="0000003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2"/>
    <w:bookmarkEnd w:id="12"/>
    <w:p w:rsidR="00000000" w:rsidDel="00000000" w:rsidP="00000000" w:rsidRDefault="00000000" w:rsidRPr="00000000" w14:paraId="0000003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3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3B">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3C">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3D">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3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4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4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000000" w:rsidDel="00000000" w:rsidP="00000000" w:rsidRDefault="00000000" w:rsidRPr="00000000" w14:paraId="00000042">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43">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p>
    <w:p w:rsidR="00000000" w:rsidDel="00000000" w:rsidP="00000000" w:rsidRDefault="00000000" w:rsidRPr="00000000" w14:paraId="00000044">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45">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46">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48">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49">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13"/>
      <w:bookmarkEnd w:id="13"/>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A">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bookmarkStart w:colFirst="0" w:colLast="0" w:name="bookmark=id.lnxbz9" w:id="14"/>
    <w:bookmarkEnd w:id="14"/>
    <w:p w:rsidR="00000000" w:rsidDel="00000000" w:rsidP="00000000" w:rsidRDefault="00000000" w:rsidRPr="00000000" w14:paraId="0000004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4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5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bookmarkStart w:colFirst="0" w:colLast="0" w:name="bookmark=id.35nkun2" w:id="15"/>
    <w:bookmarkEnd w:id="15"/>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4">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9">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A">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5B">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5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5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5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F">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61">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62">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64">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65">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66">
      <w:pPr>
        <w:numPr>
          <w:ilvl w:val="3"/>
          <w:numId w:val="10"/>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67">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68">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69">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6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6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6C">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numPr>
          <w:ilvl w:val="1"/>
          <w:numId w:val="10"/>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p>
          <w:p w:rsidR="00000000" w:rsidDel="00000000" w:rsidP="00000000" w:rsidRDefault="00000000" w:rsidRPr="00000000" w14:paraId="00000090">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p>
          <w:p w:rsidR="00000000" w:rsidDel="00000000" w:rsidP="00000000" w:rsidRDefault="00000000" w:rsidRPr="00000000" w14:paraId="00000091">
            <w:pPr>
              <w:numPr>
                <w:ilvl w:val="0"/>
                <w:numId w:val="13"/>
              </w:numPr>
              <w:pBdr>
                <w:top w:space="0" w:sz="0" w:val="nil"/>
                <w:left w:space="0" w:sz="0" w:val="nil"/>
                <w:bottom w:space="0" w:sz="0" w:val="nil"/>
                <w:right w:space="0" w:sz="0" w:val="nil"/>
                <w:between w:space="0" w:sz="0" w:val="nil"/>
              </w:pBdr>
              <w:ind w:left="720" w:hanging="360"/>
              <w:jc w:val="both"/>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8">
      <w:pPr>
        <w:keepNext w:val="1"/>
        <w:rPr>
          <w:rFonts w:ascii="Arial" w:cs="Arial" w:eastAsia="Arial" w:hAnsi="Arial"/>
          <w:sz w:val="24"/>
          <w:szCs w:val="24"/>
        </w:rPr>
      </w:pPr>
      <w:bookmarkStart w:colFirst="0" w:colLast="0" w:name="_heading=h.gjdgxs" w:id="16"/>
      <w:bookmarkEnd w:id="16"/>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9">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A">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0AB">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AC">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AD">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AE">
      <w:pPr>
        <w:numPr>
          <w:ilvl w:val="2"/>
          <w:numId w:val="10"/>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Undertakings of both Parties</w:t>
      </w:r>
    </w:p>
    <w:p w:rsidR="00000000" w:rsidDel="00000000" w:rsidP="00000000" w:rsidRDefault="00000000" w:rsidRPr="00000000" w14:paraId="000000B1">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p>
    <w:p w:rsidR="00000000" w:rsidDel="00000000" w:rsidP="00000000" w:rsidRDefault="00000000" w:rsidRPr="00000000" w14:paraId="000000B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p>
    <w:p w:rsidR="00000000" w:rsidDel="00000000" w:rsidP="00000000" w:rsidRDefault="00000000" w:rsidRPr="00000000" w14:paraId="000000B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p>
    <w:p w:rsidR="00000000" w:rsidDel="00000000" w:rsidP="00000000" w:rsidRDefault="00000000" w:rsidRPr="00000000" w14:paraId="000000B7">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BC">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BD">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BE">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1">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2">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p>
    <w:p w:rsidR="00000000" w:rsidDel="00000000" w:rsidP="00000000" w:rsidRDefault="00000000" w:rsidRPr="00000000" w14:paraId="000000C3">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C4">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w:t>
      </w:r>
    </w:p>
    <w:p w:rsidR="00000000" w:rsidDel="00000000" w:rsidP="00000000" w:rsidRDefault="00000000" w:rsidRPr="00000000" w14:paraId="000000C7">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p>
    <w:p w:rsidR="00000000" w:rsidDel="00000000" w:rsidP="00000000" w:rsidRDefault="00000000" w:rsidRPr="00000000" w14:paraId="000000C9">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0CA">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p>
    <w:p w:rsidR="00000000" w:rsidDel="00000000" w:rsidP="00000000" w:rsidRDefault="00000000" w:rsidRPr="00000000" w14:paraId="000000CB">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p>
    <w:p w:rsidR="00000000" w:rsidDel="00000000" w:rsidP="00000000" w:rsidRDefault="00000000" w:rsidRPr="00000000" w14:paraId="000000CC">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CD">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CE">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CF">
      <w:pPr>
        <w:numPr>
          <w:ilvl w:val="2"/>
          <w:numId w:val="6"/>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0D0">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D1">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0D2">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3">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4">
      <w:pPr>
        <w:numPr>
          <w:ilvl w:val="3"/>
          <w:numId w:val="6"/>
        </w:numPr>
        <w:pBdr>
          <w:top w:space="0" w:sz="0" w:val="nil"/>
          <w:left w:space="0" w:sz="0" w:val="nil"/>
          <w:bottom w:space="0" w:sz="0" w:val="nil"/>
          <w:right w:space="0" w:sz="0" w:val="nil"/>
          <w:between w:space="0" w:sz="0" w:val="nil"/>
        </w:pBdr>
        <w:spacing w:after="120" w:before="280" w:line="240" w:lineRule="auto"/>
        <w:ind w:left="2126" w:hanging="707.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D6">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Breach</w:t>
      </w:r>
    </w:p>
    <w:p w:rsidR="00000000" w:rsidDel="00000000" w:rsidP="00000000" w:rsidRDefault="00000000" w:rsidRPr="00000000" w14:paraId="000000D7">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0D8">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0D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reasonable assistance, including:</w:t>
      </w:r>
    </w:p>
    <w:p w:rsidR="00000000" w:rsidDel="00000000" w:rsidP="00000000" w:rsidRDefault="00000000" w:rsidRPr="00000000" w14:paraId="000000DA">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0DB">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0DC">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p>
    <w:p w:rsidR="00000000" w:rsidDel="00000000" w:rsidP="00000000" w:rsidRDefault="00000000" w:rsidRPr="00000000" w14:paraId="000000DD">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0DE">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0DF">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Personal Data Breach; </w:t>
      </w:r>
    </w:p>
    <w:p w:rsidR="00000000" w:rsidDel="00000000" w:rsidP="00000000" w:rsidRDefault="00000000" w:rsidRPr="00000000" w14:paraId="000000E0">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Personal Data affected;</w:t>
      </w:r>
    </w:p>
    <w:p w:rsidR="00000000" w:rsidDel="00000000" w:rsidP="00000000" w:rsidRDefault="00000000" w:rsidRPr="00000000" w14:paraId="000000E1">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categories and number of Data Subjects concerned;</w:t>
      </w:r>
    </w:p>
    <w:p w:rsidR="00000000" w:rsidDel="00000000" w:rsidP="00000000" w:rsidRDefault="00000000" w:rsidRPr="00000000" w14:paraId="000000E2">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E3">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measures taken or proposed to be taken to address the Personal Data Breach; and</w:t>
      </w:r>
    </w:p>
    <w:p w:rsidR="00000000" w:rsidDel="00000000" w:rsidP="00000000" w:rsidRDefault="00000000" w:rsidRPr="00000000" w14:paraId="000000E4">
      <w:pPr>
        <w:numPr>
          <w:ilvl w:val="2"/>
          <w:numId w:val="7"/>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likely consequences of the Personal Data Breach.</w:t>
      </w:r>
    </w:p>
    <w:p w:rsidR="00000000" w:rsidDel="00000000" w:rsidP="00000000" w:rsidRDefault="00000000" w:rsidRPr="00000000" w14:paraId="000000E5">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p w:rsidR="00000000" w:rsidDel="00000000" w:rsidP="00000000" w:rsidRDefault="00000000" w:rsidRPr="00000000" w14:paraId="000000E6">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permit:</w:t>
        <w:tab/>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28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0EB">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Assessments</w:t>
      </w:r>
    </w:p>
    <w:p w:rsidR="00000000" w:rsidDel="00000000" w:rsidP="00000000" w:rsidRDefault="00000000" w:rsidRPr="00000000" w14:paraId="000000EC">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w:t>
      </w:r>
    </w:p>
    <w:p w:rsidR="00000000" w:rsidDel="00000000" w:rsidP="00000000" w:rsidRDefault="00000000" w:rsidRPr="00000000" w14:paraId="000000ED">
      <w:pPr>
        <w:numPr>
          <w:ilvl w:val="2"/>
          <w:numId w:val="1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numPr>
          <w:ilvl w:val="2"/>
          <w:numId w:val="11"/>
        </w:numPr>
        <w:pBdr>
          <w:top w:space="0" w:sz="0" w:val="nil"/>
          <w:left w:space="0" w:sz="0" w:val="nil"/>
          <w:bottom w:space="0" w:sz="0" w:val="nil"/>
          <w:right w:space="0" w:sz="0" w:val="nil"/>
          <w:between w:space="0" w:sz="0" w:val="nil"/>
        </w:pBdr>
        <w:spacing w:after="120" w:before="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0">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ICO Guidance</w:t>
      </w:r>
    </w:p>
    <w:p w:rsidR="00000000" w:rsidDel="00000000" w:rsidP="00000000" w:rsidRDefault="00000000" w:rsidRPr="00000000" w14:paraId="000000F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3">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Liabilities for Data Protection Breach</w:t>
      </w:r>
    </w:p>
    <w:p w:rsidR="00000000" w:rsidDel="00000000" w:rsidP="00000000" w:rsidRDefault="00000000" w:rsidRPr="00000000" w14:paraId="000000F4">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p>
    <w:p w:rsidR="00000000" w:rsidDel="00000000" w:rsidP="00000000" w:rsidRDefault="00000000" w:rsidRPr="00000000" w14:paraId="000000F6">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0F7">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00000" w:rsidDel="00000000" w:rsidP="00000000" w:rsidRDefault="00000000" w:rsidRPr="00000000" w14:paraId="000000F8">
      <w:pPr>
        <w:numPr>
          <w:ilvl w:val="2"/>
          <w:numId w:val="1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00000" w:rsidDel="00000000" w:rsidP="00000000" w:rsidRDefault="00000000" w:rsidRPr="00000000" w14:paraId="000000F9">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0FA">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p>
    <w:p w:rsidR="00000000" w:rsidDel="00000000" w:rsidP="00000000" w:rsidRDefault="00000000" w:rsidRPr="00000000" w14:paraId="000000FB">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p>
    <w:p w:rsidR="00000000" w:rsidDel="00000000" w:rsidP="00000000" w:rsidRDefault="00000000" w:rsidRPr="00000000" w14:paraId="000000FD">
      <w:pPr>
        <w:numPr>
          <w:ilvl w:val="2"/>
          <w:numId w:val="9"/>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00000" w:rsidDel="00000000" w:rsidP="00000000" w:rsidRDefault="00000000" w:rsidRPr="00000000" w14:paraId="00000100">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w:t>
      </w:r>
    </w:p>
    <w:p w:rsidR="00000000" w:rsidDel="00000000" w:rsidP="00000000" w:rsidRDefault="00000000" w:rsidRPr="00000000" w14:paraId="00000101">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2">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3">
      <w:pPr>
        <w:numPr>
          <w:ilvl w:val="3"/>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p>
    <w:p w:rsidR="00000000" w:rsidDel="00000000" w:rsidP="00000000" w:rsidRDefault="00000000" w:rsidRPr="00000000" w14:paraId="00000104">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5">
      <w:pPr>
        <w:numPr>
          <w:ilvl w:val="2"/>
          <w:numId w:val="2"/>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280" w:line="240" w:lineRule="auto"/>
        <w:ind w:left="8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numPr>
          <w:ilvl w:val="2"/>
          <w:numId w:val="3"/>
        </w:numPr>
        <w:pBdr>
          <w:top w:space="0" w:sz="0" w:val="nil"/>
          <w:left w:space="0" w:sz="0" w:val="nil"/>
          <w:bottom w:space="0" w:sz="0" w:val="nil"/>
          <w:right w:space="0" w:sz="0" w:val="nil"/>
          <w:between w:space="0" w:sz="0" w:val="nil"/>
        </w:pBdr>
        <w:spacing w:after="24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s>
        <w:spacing w:after="120" w:line="24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bookmarkStart w:colFirst="0" w:colLast="0" w:name="bookmark=id.1ksv4uv" w:id="17"/>
    <w:bookmarkEnd w:id="17"/>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44sinio" w:id="18"/>
      <w:bookmarkEnd w:id="18"/>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0">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3">
    <w:pPr>
      <w:spacing w:after="0" w:lineRule="auto"/>
      <w:rPr/>
    </w:pPr>
    <w:r w:rsidDel="00000000" w:rsidR="00000000" w:rsidRPr="00000000">
      <w:rPr>
        <w:rFonts w:ascii="Arial" w:cs="Arial" w:eastAsia="Arial" w:hAnsi="Arial"/>
        <w:sz w:val="20"/>
        <w:szCs w:val="20"/>
        <w:rtl w:val="0"/>
      </w:rPr>
      <w:t xml:space="preserve">Model Version: v4.7</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-13329</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3">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6">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7">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5"/>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Q0On2hr+8VqNZxTVNIQN1jcNg==">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FSN2hNU0JfVTVXeUgxMGowbW1OckhrX1ZfTGhhTi1J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2023-04-06T20:16:00Z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