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7 (Financial Difficulties)</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2" w:right="0" w:hanging="72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[Guidance: This Schedule provides CCS and the Buyer with the option of using Credit Ratings and/or Financial Indicators for the purposes of the Financial Distress Provisions. Buyers may use any combination of these indicators to suit their own requirements subject to the detailed guidance below.]</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definitions shall apply: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656.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4"/>
        <w:gridCol w:w="5952"/>
        <w:tblGridChange w:id="0">
          <w:tblGrid>
            <w:gridCol w:w="2704"/>
            <w:gridCol w:w="5952"/>
          </w:tblGrid>
        </w:tblGridChange>
      </w:tblGrid>
      <w:tr>
        <w:trPr>
          <w:cantSplit w:val="0"/>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“Applicable Financial Indicators”</w:t>
            </w:r>
          </w:p>
        </w:tc>
        <w:tc>
          <w:tcPr/>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financial indicators from Paragraph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5.1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this Schedule which are to apply to the Monitored Suppliers as set out in Paragraph 5.2 of this Schedule;</w:t>
            </w:r>
            <w:r w:rsidDel="00000000" w:rsidR="00000000" w:rsidRPr="00000000">
              <w:rPr>
                <w:rtl w:val="0"/>
              </w:rPr>
            </w:r>
          </w:p>
        </w:tc>
      </w:tr>
      <w:tr>
        <w:trPr>
          <w:cantSplit w:val="0"/>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Supplier’s board of directors;</w:t>
            </w:r>
          </w:p>
        </w:tc>
      </w:tr>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 Confirmation”</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written confirmation from the Board in accordance with Paragraph 8 of this Schedule;</w:t>
            </w:r>
          </w:p>
        </w:tc>
      </w:tr>
      <w:tr>
        <w:trPr>
          <w:cantSplit w:val="0"/>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“Cabinet Office Markets and Suppliers Team”</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Threshold”</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minimum credit rating level for each entity in the FDE Group as set out in Annex 1 to this Schedule;</w:t>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“FDE Group”</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[Supplier, Key Sub-contractors, [the Guarantor] and the [Monitored Suppliers]];</w:t>
            </w: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Event”</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events listed in Paragraph 3.1 of this Schedule;</w:t>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Remediation Plan”</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setting out how the Supplier will ensure the continued performance and delivery of the Deliverables in accordance with the Contract in the event that a Financial Distress Event occurs;</w:t>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y6vkm" w:id="0"/>
            <w:bookmarkEnd w:id="0"/>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Indicators”</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the Supplier, Key Sub-contractors and the Guarantor, means each of the financial indicators set out at paragraph 5.1 of this Schedule and in respect of each Monitored Supplier, means those Applicable Financial Indicators;</w:t>
            </w:r>
          </w:p>
        </w:tc>
      </w:tr>
      <w:tr>
        <w:trPr>
          <w:cantSplit w:val="0"/>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Target Thresholds”</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target thresholds for each of the Financial Indicators set out at paragraph 5.1 of this Schedule;</w:t>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“Monitored Suppliers”</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those entities specified at paragraph 5.2 of this Schedule;</w:t>
            </w:r>
          </w:p>
        </w:tc>
      </w:tr>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“Rating Agencies”</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rating agencies listed in Annex 1 of this Schedule;</w:t>
            </w:r>
          </w:p>
        </w:tc>
      </w:tr>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“Strategic Supplier”</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those suppliers to government listed at </w:t>
            </w:r>
            <w:hyperlink r:id="r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https://www.gov.uk/government/publications/strategic-suppliers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comply with the provisions of this Schedule in relation to the assessment of the financial standing of the FDE Group and the consequences of a change to that financial standing.</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terms of this Schedule shall survive: </w:t>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Call-Off Contract until the termination or expiry of the Call-Off Contract.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1004"/>
        <w:jc w:val="left"/>
        <w:rPr>
          <w:rFonts w:ascii="Arial Bold" w:cs="Arial Bold" w:eastAsia="Arial Bold" w:hAnsi="Arial 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Warranties and duty to notify</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and represents to the Relevant Authority for the benefit of the Relevant Authority that as at the Effective Date:</w:t>
      </w:r>
    </w:p>
    <w:p w:rsidR="00000000" w:rsidDel="00000000" w:rsidP="00000000" w:rsidRDefault="00000000" w:rsidRPr="00000000" w14:paraId="0000002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long term credit ratings issued for each entity in the FDE Group by each of the Rating Agencies are as set out in Annex 2 to this Schedule; and</w:t>
      </w:r>
    </w:p>
    <w:p w:rsidR="00000000" w:rsidDel="00000000" w:rsidP="00000000" w:rsidRDefault="00000000" w:rsidRPr="00000000" w14:paraId="0000002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financial position or, as appropriate, the financial performance of each of the Supplier, Guarantor and Key Sub-contractors satisfies the Financial Target Thresholds.</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monitor the credit ratings of each entity in the FDE Group with the Rating Agencies;</w:t>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report submitted by the Supplier pursuant to paragraph 2.3.2 shall:</w:t>
      </w:r>
    </w:p>
    <w:p w:rsidR="00000000" w:rsidDel="00000000" w:rsidP="00000000" w:rsidRDefault="00000000" w:rsidRPr="00000000" w14:paraId="0000003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 single report with separate sections for each of the FDE Group entities;</w:t>
      </w:r>
    </w:p>
    <w:p w:rsidR="00000000" w:rsidDel="00000000" w:rsidP="00000000" w:rsidRDefault="00000000" w:rsidRPr="00000000" w14:paraId="0000003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contain a sufficient level of information to enable the Relevant Authority to verify the calculations that have been made in respect of the Financial Indicators;</w:t>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key financial and other supporting information (including any accounts data that has been relied on) as separate annexes;</w:t>
      </w:r>
    </w:p>
    <w:p w:rsidR="00000000" w:rsidDel="00000000" w:rsidP="00000000" w:rsidRDefault="00000000" w:rsidRPr="00000000" w14:paraId="0000003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000000" w:rsidDel="00000000" w:rsidP="00000000" w:rsidRDefault="00000000" w:rsidRPr="00000000" w14:paraId="0000003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a history of the Financial Indicators reported by the Supplier in graph form to enable the Relevant Authority to easily analyse and assess the trends in financial performance.</w:t>
      </w:r>
    </w:p>
    <w:p w:rsidR="00000000" w:rsidDel="00000000" w:rsidP="00000000" w:rsidRDefault="00000000" w:rsidRPr="00000000" w14:paraId="0000003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Financial Distress events</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shall be Financial Distress Events:</w:t>
      </w:r>
    </w:p>
    <w:p w:rsidR="00000000" w:rsidDel="00000000" w:rsidP="00000000" w:rsidRDefault="00000000" w:rsidRPr="00000000" w14:paraId="0000003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credit rating of an FDE Group entity dropping below the applicable Credit Rating Threshold;</w:t>
      </w:r>
    </w:p>
    <w:p w:rsidR="00000000" w:rsidDel="00000000" w:rsidP="00000000" w:rsidRDefault="00000000" w:rsidRPr="00000000" w14:paraId="0000003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FDE Group entity issuing a profits warning to a stock exchange or making any other public announcement, in each case about a material deterioration in its financial position or prospects;</w:t>
      </w:r>
    </w:p>
    <w:p w:rsidR="00000000" w:rsidDel="00000000" w:rsidP="00000000" w:rsidRDefault="00000000" w:rsidRPr="00000000" w14:paraId="0000003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being a public investigation into improper financial accounting and reporting, suspected fraud or any other impropriety of an FDE Group entity;</w:t>
      </w:r>
    </w:p>
    <w:p w:rsidR="00000000" w:rsidDel="00000000" w:rsidP="00000000" w:rsidRDefault="00000000" w:rsidRPr="00000000" w14:paraId="0000003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FDE Group entity committing a material breach of covenant to its lenders;</w:t>
      </w:r>
    </w:p>
    <w:p w:rsidR="00000000" w:rsidDel="00000000" w:rsidP="00000000" w:rsidRDefault="00000000" w:rsidRPr="00000000" w14:paraId="0000003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Key Sub-contractor notifying CCS or the Buyer that the Supplier has not satisfied any material sums properly due under a specified invoice and not subject to a genuine dispute;</w:t>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w:t>
      </w:r>
    </w:p>
    <w:p w:rsidR="00000000" w:rsidDel="00000000" w:rsidP="00000000" w:rsidRDefault="00000000" w:rsidRPr="00000000" w14:paraId="0000004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commencement of any litigation against an FDE Group entity with respect to financial indebtedness greater than £5m or obligations under a service contract with a total contract value greater than £5m; </w:t>
      </w:r>
    </w:p>
    <w:p w:rsidR="00000000" w:rsidDel="00000000" w:rsidP="00000000" w:rsidRDefault="00000000" w:rsidRPr="00000000" w14:paraId="0000004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non-payment by an FDE Group entity of any financial indebtedness;</w:t>
      </w:r>
    </w:p>
    <w:p w:rsidR="00000000" w:rsidDel="00000000" w:rsidP="00000000" w:rsidRDefault="00000000" w:rsidRPr="00000000" w14:paraId="0000004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financial indebtedness of an FDE Group entity becoming due as a result of an event of default;</w:t>
      </w:r>
    </w:p>
    <w:p w:rsidR="00000000" w:rsidDel="00000000" w:rsidP="00000000" w:rsidRDefault="00000000" w:rsidRPr="00000000" w14:paraId="0000004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cancellation or suspension of any financial indebtedness in respect of an FDE Group entity; or</w:t>
      </w:r>
    </w:p>
    <w:p w:rsidR="00000000" w:rsidDel="00000000" w:rsidP="00000000" w:rsidRDefault="00000000" w:rsidRPr="00000000" w14:paraId="0000004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external auditor of an FDE Group entity expressing a qualified opinion on, or including an emphasis of matter in, its opinion on the statutory accounts of that FDE entity;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66"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case which the Relevant Authority reasonably believes (or would be likely reasonably to believe) could directly impact on the continued performance and delivery of the Deliverables in accordance with the Contract; and</w:t>
      </w:r>
    </w:p>
    <w:p w:rsidR="00000000" w:rsidDel="00000000" w:rsidP="00000000" w:rsidRDefault="00000000" w:rsidRPr="00000000" w14:paraId="0000004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[one] of the Financial Indicators set out at Paragraph 5 for any of the FDE Group entities failing to meet the required Financial Target Threshold.</w:t>
      </w:r>
      <w:r w:rsidDel="00000000" w:rsidR="00000000" w:rsidRPr="00000000">
        <w:rPr>
          <w:rtl w:val="0"/>
        </w:rPr>
      </w:r>
    </w:p>
    <w:p w:rsidR="00000000" w:rsidDel="00000000" w:rsidP="00000000" w:rsidRDefault="00000000" w:rsidRPr="00000000" w14:paraId="0000004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0"/>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Consequences</w:t>
      </w: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 of Financial Distress Events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 late or non-payment of a Key Sub-contractor pursuant to Paragraph 3.1.5, the Relevant Authority shall not exercise any of its rights or remedies under Paragraph 4.3 without first giving the Supplier 10 Working Days to:</w:t>
      </w:r>
    </w:p>
    <w:p w:rsidR="00000000" w:rsidDel="00000000" w:rsidP="00000000" w:rsidRDefault="00000000" w:rsidRPr="00000000" w14:paraId="0000004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rectify such late or non-payment; or</w:t>
      </w:r>
    </w:p>
    <w:p w:rsidR="00000000" w:rsidDel="00000000" w:rsidP="00000000" w:rsidRDefault="00000000" w:rsidRPr="00000000" w14:paraId="0000004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to the Relevant Authority’s reasonable satisfaction that there is a valid reason for late or non-payment.</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any Monitored Supplier, the Guarantor and/or any relevant Key Sub-contractor shall):</w:t>
      </w:r>
    </w:p>
    <w:p w:rsidR="00000000" w:rsidDel="00000000" w:rsidP="00000000" w:rsidRDefault="00000000" w:rsidRPr="00000000" w14:paraId="0000004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rsidR="00000000" w:rsidDel="00000000" w:rsidP="00000000" w:rsidRDefault="00000000" w:rsidRPr="00000000" w14:paraId="0000004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rsidR="00000000" w:rsidDel="00000000" w:rsidP="00000000" w:rsidRDefault="00000000" w:rsidRPr="00000000" w14:paraId="0000005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000000" w:rsidDel="00000000" w:rsidP="00000000" w:rsidRDefault="00000000" w:rsidRPr="00000000" w14:paraId="0000005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approval of the Financial Distress Remediation Plan by the Relevant Authority, the Supplier shall:</w:t>
      </w:r>
    </w:p>
    <w:p w:rsidR="00000000" w:rsidDel="00000000" w:rsidP="00000000" w:rsidRDefault="00000000" w:rsidRPr="00000000" w14:paraId="0000005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regular basis (which shall not be less than fortnightly):</w:t>
      </w:r>
    </w:p>
    <w:p w:rsidR="00000000" w:rsidDel="00000000" w:rsidP="00000000" w:rsidRDefault="00000000" w:rsidRPr="00000000" w14:paraId="0000005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rsidR="00000000" w:rsidDel="00000000" w:rsidP="00000000" w:rsidRDefault="00000000" w:rsidRPr="00000000" w14:paraId="0000005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000000" w:rsidDel="00000000" w:rsidP="00000000" w:rsidRDefault="00000000" w:rsidRPr="00000000" w14:paraId="0000005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000000" w:rsidDel="00000000" w:rsidP="00000000" w:rsidRDefault="00000000" w:rsidRPr="00000000" w14:paraId="0000005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Financial Distress Remediation Plan (including any updated Financial Distress Remediation Plan) and ensure that it achieves the financial and performance requirements set out in the Financial Distress Remediation Plan.</w:t>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000000" w:rsidDel="00000000" w:rsidP="00000000" w:rsidRDefault="00000000" w:rsidRPr="00000000" w14:paraId="000000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000000" w:rsidDel="00000000" w:rsidP="00000000" w:rsidRDefault="00000000" w:rsidRPr="00000000" w14:paraId="0000005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obtaining in advance written authority from Key Sub-contractors, the Guarantor and/or Monitored Suppliers authorising the disclosure of the information to the Buyer and/or entering into confidentiality agreements which permit disclosure;</w:t>
      </w:r>
    </w:p>
    <w:p w:rsidR="00000000" w:rsidDel="00000000" w:rsidP="00000000" w:rsidRDefault="00000000" w:rsidRPr="00000000" w14:paraId="0000005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agreeing in advance with the Relevant Authority, Key Sub-contractors, the Guarantor and/or Monitored Suppliers a form of confidentiality agreement to be entered by the relevant parties to enable the disclosure of the information to the Relevant Authority;</w:t>
      </w:r>
    </w:p>
    <w:p w:rsidR="00000000" w:rsidDel="00000000" w:rsidP="00000000" w:rsidRDefault="00000000" w:rsidRPr="00000000" w14:paraId="0000005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000000" w:rsidDel="00000000" w:rsidP="00000000" w:rsidRDefault="00000000" w:rsidRPr="00000000" w14:paraId="0000005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disclosing the information to the fullest extent that it is lawfully entitled to do so, including through the use of redaction, anonymisation and any other techniques to permit disclosure of the information without breaching a duty of confidentiality.</w:t>
      </w:r>
    </w:p>
    <w:p w:rsidR="00000000" w:rsidDel="00000000" w:rsidP="00000000" w:rsidRDefault="00000000" w:rsidRPr="00000000" w14:paraId="0000006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Financial Indicators</w:t>
      </w:r>
    </w:p>
    <w:p w:rsidR="00000000" w:rsidDel="00000000" w:rsidP="00000000" w:rsidRDefault="00000000" w:rsidRPr="00000000" w14:paraId="00000061">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highlight w:val="yellow"/>
          <w:rtl w:val="0"/>
        </w:rPr>
        <w:t xml:space="preserve">: The Financial Indicators set out in the table at paragraph 5.1 are  established at Framework level to satisfy Cabinet Office Contract Tiering Tool requirements. For the purposes of your call off activity you may check that the original assessment of the indicators remains valid, but you may not re-run those assessments. You may also opt to ask the Supplier to monitor themselves according to some, rather than all, of the indicators in accordance with your internal procedures but you should not introduce new indicators or amend those set out below. Please take your own legal advice if you are uncertain how to proceed.  ]</w:t>
      </w:r>
    </w:p>
    <w:p w:rsidR="00000000" w:rsidDel="00000000" w:rsidP="00000000" w:rsidRDefault="00000000" w:rsidRPr="00000000" w14:paraId="0000006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3"/>
        <w:gridCol w:w="1977"/>
        <w:gridCol w:w="1697"/>
        <w:gridCol w:w="3089"/>
        <w:tblGridChange w:id="0">
          <w:tblGrid>
            <w:gridCol w:w="2253"/>
            <w:gridCol w:w="1977"/>
            <w:gridCol w:w="1697"/>
            <w:gridCol w:w="3089"/>
          </w:tblGrid>
        </w:tblGridChange>
      </w:tblGrid>
      <w:tr>
        <w:trPr>
          <w:cantSplit w:val="0"/>
          <w:tblHeader w:val="0"/>
        </w:trPr>
        <w:tc>
          <w:tcPr>
            <w:shd w:fill="d9d9d9" w:val="clea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w:t>
            </w:r>
          </w:p>
        </w:tc>
        <w:tc>
          <w:tcPr>
            <w:shd w:fill="d9d9d9"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Calculation</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1</w:t>
            </w:r>
            <w:r w:rsidDel="00000000" w:rsidR="00000000" w:rsidRPr="00000000">
              <w:rPr>
                <w:rtl w:val="0"/>
              </w:rPr>
            </w:r>
          </w:p>
        </w:tc>
        <w:tc>
          <w:tcPr>
            <w:shd w:fill="d9d9d9"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Target Threshold:</w:t>
            </w:r>
          </w:p>
        </w:tc>
        <w:tc>
          <w:tcPr>
            <w:shd w:fill="d9d9d9"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heading=h.1ci93xb"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Monitoring and Reporting Frequency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[if different from the default position set out in Paragraph 2.3.2)]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Operating Margin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Operating Margin = Operating Profit / Revenue</w:t>
            </w:r>
            <w:r w:rsidDel="00000000" w:rsidR="00000000" w:rsidRPr="00000000">
              <w:rPr>
                <w:rtl w:val="0"/>
              </w:rPr>
            </w:r>
          </w:p>
        </w:tc>
        <w:tc>
          <w:tcP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i w:val="1"/>
                <w:sz w:val="24"/>
                <w:szCs w:val="24"/>
                <w:highlight w:val="yellow"/>
                <w:rtl w:val="0"/>
              </w:rPr>
              <w:t xml:space="preserve">x &lt;3.0</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p>
        </w:tc>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 half yearly]</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[120 / 90]</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 half year end]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based upon figures for the 12 months ending on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 half year end]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Debt to EBITDA Ratio</w:t>
            </w:r>
            <w:r w:rsidDel="00000000" w:rsidR="00000000" w:rsidRPr="00000000">
              <w:rPr>
                <w:rtl w:val="0"/>
              </w:rPr>
            </w:r>
          </w:p>
        </w:tc>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[Net Debt to EBITDA ratio = Net Debt / EBITDA]</w:t>
            </w:r>
            <w:r w:rsidDel="00000000" w:rsidR="00000000" w:rsidRPr="00000000">
              <w:rPr>
                <w:rtl w:val="0"/>
              </w:rPr>
            </w:r>
          </w:p>
        </w:tc>
        <w:tc>
          <w:tcP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i w:val="1"/>
                <w:sz w:val="24"/>
                <w:szCs w:val="24"/>
                <w:highlight w:val="yellow"/>
                <w:rtl w:val="0"/>
              </w:rPr>
              <w:t xml:space="preserve">&gt;3.5</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X</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times</w:t>
            </w:r>
          </w:p>
        </w:tc>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color w:val="7030a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arrears within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[120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90]</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based upon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[Free Cash Flow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EBITDA]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for the 12 months ending on, and Net Debt at,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 half year end]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Debt + Net Pension Deficit to EBITDA ratio</w:t>
            </w:r>
            <w:r w:rsidDel="00000000" w:rsidR="00000000" w:rsidRPr="00000000">
              <w:rPr>
                <w:rtl w:val="0"/>
              </w:rPr>
            </w:r>
          </w:p>
        </w:tc>
        <w:tc>
          <w:tcP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[Net Debt + Net Pension Deficit to EBITDA Ratio = (Net Debt + Net Pension Deficit) / EBITDA]</w:t>
            </w:r>
            <w:r w:rsidDel="00000000" w:rsidR="00000000" w:rsidRPr="00000000">
              <w:rPr>
                <w:rtl w:val="0"/>
              </w:rPr>
            </w:r>
          </w:p>
        </w:tc>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&gt;5.0X</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times</w:t>
            </w:r>
          </w:p>
        </w:tc>
        <w:tc>
          <w:tcP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yearly in arrears within </w:t>
            </w:r>
            <w:r w:rsidDel="00000000" w:rsidR="00000000" w:rsidRPr="00000000">
              <w:rPr>
                <w:rFonts w:ascii="Arial" w:cs="Arial" w:eastAsia="Arial" w:hAnsi="Arial"/>
                <w:b w:val="0"/>
                <w:i w:val="1"/>
                <w:smallCaps w:val="0"/>
                <w:strike w:val="0"/>
                <w:color w:val="f79646"/>
                <w:sz w:val="24"/>
                <w:szCs w:val="24"/>
                <w:u w:val="none"/>
                <w:shd w:fill="auto" w:val="clear"/>
                <w:vertAlign w:val="baseline"/>
                <w:rtl w:val="0"/>
              </w:rPr>
              <w:t xml:space="preserve">90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days of each accounting reference date based upon EBITDA for the 12 months ending on, and the Net Debt and Net Pension Deficit at, the relevant accounting reference date</w:t>
            </w:r>
          </w:p>
        </w:tc>
      </w:tr>
      <w:tr>
        <w:trPr>
          <w:cantSplit w:val="0"/>
          <w:tblHeader w:val="0"/>
        </w:trPr>
        <w:tc>
          <w:tcP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Interest Paid Cover</w:t>
            </w:r>
            <w:r w:rsidDel="00000000" w:rsidR="00000000" w:rsidRPr="00000000">
              <w:rPr>
                <w:rtl w:val="0"/>
              </w:rPr>
            </w:r>
          </w:p>
        </w:tc>
        <w:tc>
          <w:tcP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Net Interest Paid Cover = Earnings Before Interest and Tax / Net Interest Paid</w:t>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&lt;3.0 X</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times</w:t>
            </w:r>
          </w:p>
        </w:tc>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color w:val="8064a2"/>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120 /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90]</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based upon figures for the 12 months ending on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Acid Ratio</w:t>
            </w:r>
            <w:r w:rsidDel="00000000" w:rsidR="00000000" w:rsidRPr="00000000">
              <w:rPr>
                <w:rtl w:val="0"/>
              </w:rPr>
            </w:r>
          </w:p>
        </w:tc>
        <w:tc>
          <w:tcP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Acid Ratio = (Current Assets – Inventories) / Current Liabilities</w:t>
            </w:r>
            <w:r w:rsidDel="00000000" w:rsidR="00000000" w:rsidRPr="00000000">
              <w:rPr>
                <w:rtl w:val="0"/>
              </w:rPr>
            </w:r>
          </w:p>
        </w:tc>
        <w:tc>
          <w:tcP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&lt;0.8X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times</w:t>
            </w:r>
          </w:p>
        </w:tc>
        <w:tc>
          <w:tcP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120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90]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based upon figures at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Asset value</w:t>
            </w:r>
            <w:r w:rsidDel="00000000" w:rsidR="00000000" w:rsidRPr="00000000">
              <w:rPr>
                <w:rtl w:val="0"/>
              </w:rPr>
            </w:r>
          </w:p>
        </w:tc>
        <w:tc>
          <w:tcP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Net Asset Value = Net Assets</w:t>
            </w:r>
            <w:r w:rsidDel="00000000" w:rsidR="00000000" w:rsidRPr="00000000">
              <w:rPr>
                <w:rtl w:val="0"/>
              </w:rPr>
            </w:r>
          </w:p>
        </w:tc>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&gt; £0</w:t>
            </w:r>
            <w:r w:rsidDel="00000000" w:rsidR="00000000" w:rsidRPr="00000000">
              <w:rPr>
                <w:rtl w:val="0"/>
              </w:rPr>
            </w:r>
          </w:p>
        </w:tc>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120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90]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based upon figures at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Group Exposure Ratio</w:t>
            </w:r>
            <w:r w:rsidDel="00000000" w:rsidR="00000000" w:rsidRPr="00000000">
              <w:rPr>
                <w:rtl w:val="0"/>
              </w:rPr>
            </w:r>
          </w:p>
        </w:tc>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Group Exposure / Gross Assets</w:t>
            </w:r>
            <w:r w:rsidDel="00000000" w:rsidR="00000000" w:rsidRPr="00000000">
              <w:rPr>
                <w:rtl w:val="0"/>
              </w:rPr>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&gt;50%</w:t>
            </w:r>
            <w:r w:rsidDel="00000000" w:rsidR="00000000" w:rsidRPr="00000000">
              <w:rPr>
                <w:rtl w:val="0"/>
              </w:rPr>
            </w:r>
          </w:p>
        </w:tc>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yearly in arrears within 90 days of each accounting reference date based upon figures at the relevant accounting reference date</w:t>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 1 – see Annex 3 to this Schedule which sets out the calculation methodology to be used in the calculation of each financial indicator.</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Monitored Suppliers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r w:rsidDel="00000000" w:rsidR="00000000" w:rsidRPr="00000000">
        <w:rPr>
          <w:rtl w:val="0"/>
        </w:rPr>
      </w:r>
    </w:p>
    <w:tbl>
      <w:tblPr>
        <w:tblStyle w:val="Table3"/>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3"/>
        <w:gridCol w:w="4223"/>
        <w:tblGridChange w:id="0">
          <w:tblGrid>
            <w:gridCol w:w="4073"/>
            <w:gridCol w:w="4223"/>
          </w:tblGrid>
        </w:tblGridChange>
      </w:tblGrid>
      <w:tr>
        <w:trPr>
          <w:cantSplit w:val="0"/>
          <w:tblHeader w:val="0"/>
        </w:trPr>
        <w:tc>
          <w:tcPr>
            <w:shd w:fill="d9d9d9"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Monitored Supplier</w:t>
            </w:r>
          </w:p>
        </w:tc>
        <w:tc>
          <w:tcPr>
            <w:shd w:fill="d9d9d9"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Applicable Financial Indicators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are the Financial Indicators from the table in Paragraph 5.1 which are to apply to the Monitored Suppliers)</w:t>
            </w:r>
          </w:p>
        </w:tc>
      </w:tr>
      <w:tr>
        <w:trPr>
          <w:cantSplit w:val="0"/>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[Entity 1 e.g Group Member, Sub-contractor, Relevant Parent Company etc.] </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[1 – Operating Margin]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 – etc..]</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[3][4][5][6][7][8][etc..]</w:t>
            </w:r>
            <w:r w:rsidDel="00000000" w:rsidR="00000000" w:rsidRPr="00000000">
              <w:rPr>
                <w:rtl w:val="0"/>
              </w:rPr>
            </w:r>
          </w:p>
        </w:tc>
      </w:tr>
      <w:tr>
        <w:trPr>
          <w:cantSplit w:val="0"/>
          <w:tblHeader w:val="0"/>
        </w:trPr>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[Entity 2 e.g Group Member, Sub-contractor, Relevant Parent Company etc.]</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[1 – Operating Margin]</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 – etc.]</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[3][4][5][6][7][8][etc..]</w:t>
            </w:r>
          </w:p>
        </w:tc>
      </w:tr>
      <w:tr>
        <w:trPr>
          <w:cantSplit w:val="0"/>
          <w:tblHeader w:val="0"/>
        </w:trPr>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[etc.]</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[etc.]</w:t>
            </w:r>
          </w:p>
        </w:tc>
      </w:tr>
    </w:tb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Termination rights</w:t>
      </w:r>
    </w:p>
    <w:p w:rsidR="00000000" w:rsidDel="00000000" w:rsidP="00000000" w:rsidRDefault="00000000" w:rsidRPr="00000000" w14:paraId="000000A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be entitled to terminate the Contract if:</w:t>
      </w:r>
    </w:p>
    <w:p w:rsidR="00000000" w:rsidDel="00000000" w:rsidP="00000000" w:rsidRDefault="00000000" w:rsidRPr="00000000" w14:paraId="000000A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notify the Relevant Authority of a Financial Distress Event in accordance with Paragraph 2.3.3;</w:t>
      </w:r>
    </w:p>
    <w:p w:rsidR="00000000" w:rsidDel="00000000" w:rsidP="00000000" w:rsidRDefault="00000000" w:rsidRPr="00000000" w14:paraId="000000A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fail to agree a Financial Distress Remediation Plan (or any updated Financial Distress Remediation Plan) in accordance with Paragraphs 4.3 to 4.5; and/or</w:t>
      </w:r>
    </w:p>
    <w:p w:rsidR="00000000" w:rsidDel="00000000" w:rsidP="00000000" w:rsidRDefault="00000000" w:rsidRPr="00000000" w14:paraId="000000A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comply with the terms of the Financial Distress Remediation Plan (or any updated Financial Distress Remediation Plan) in accordance with Paragraph 4.6.3,</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shall be deemed to be an event to which Clause 10.4.1 of the Core Terms applies and Clauses 10.6.1 and 10.6.2 of the Core Terms shall apply accordingly.</w:t>
      </w:r>
    </w:p>
    <w:p w:rsidR="00000000" w:rsidDel="00000000" w:rsidP="00000000" w:rsidRDefault="00000000" w:rsidRPr="00000000" w14:paraId="000000A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Primacy of Credit Ratings</w:t>
      </w:r>
    </w:p>
    <w:p w:rsidR="00000000" w:rsidDel="00000000" w:rsidP="00000000" w:rsidRDefault="00000000" w:rsidRPr="00000000" w14:paraId="000000A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rsidR="00000000" w:rsidDel="00000000" w:rsidP="00000000" w:rsidRDefault="00000000" w:rsidRPr="00000000" w14:paraId="000000A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relieved automatically of its obligations under Paragraphs 4.3 to 4.6; and</w:t>
      </w:r>
    </w:p>
    <w:p w:rsidR="00000000" w:rsidDel="00000000" w:rsidP="00000000" w:rsidRDefault="00000000" w:rsidRPr="00000000" w14:paraId="000000A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not be entitled to require the Supplier to provide financial information in accordance with Paragraph 4.3.2(b).</w:t>
      </w:r>
    </w:p>
    <w:p w:rsidR="00000000" w:rsidDel="00000000" w:rsidP="00000000" w:rsidRDefault="00000000" w:rsidRPr="00000000" w14:paraId="000000A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Board confirmation</w:t>
      </w:r>
    </w:p>
    <w:p w:rsidR="00000000" w:rsidDel="00000000" w:rsidP="00000000" w:rsidRDefault="00000000" w:rsidRPr="00000000" w14:paraId="000000A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If the Contract has been specified as a Critical Service Contract under Paragraph 1.1 of Call-Off Schedule 24 (Corporate Resolution Planning)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000000" w:rsidDel="00000000" w:rsidP="00000000" w:rsidRDefault="00000000" w:rsidRPr="00000000" w14:paraId="000000A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 Financial Distress Event has occurred since the later of the Effective Date or the previous Board Confirmation or is subsisting; or</w:t>
      </w:r>
    </w:p>
    <w:p w:rsidR="00000000" w:rsidDel="00000000" w:rsidP="00000000" w:rsidRDefault="00000000" w:rsidRPr="00000000" w14:paraId="000000A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any matters which have occurred or are subsisting that could reasonably be expected to cause a Financial Distress Event.</w:t>
      </w:r>
    </w:p>
    <w:p w:rsidR="00000000" w:rsidDel="00000000" w:rsidP="00000000" w:rsidRDefault="00000000" w:rsidRPr="00000000" w14:paraId="000000A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in its preparation of the Board Confirmation it exercises due care and diligence and has made reasonable enquiry of all relevant Supplier Staff and other persons as is reasonably necessary to understand and confirm the position.</w:t>
      </w:r>
    </w:p>
    <w:p w:rsidR="00000000" w:rsidDel="00000000" w:rsidP="00000000" w:rsidRDefault="00000000" w:rsidRPr="00000000" w14:paraId="000000A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the first Board Confirmation to be provided under this Contract, the Supplier shall provide the Board Confirmation within 15 months of the Effective Date if earlier than the timescale for submission set out in Paragraph 8.1 of this Schedule.</w:t>
      </w:r>
    </w:p>
    <w:p w:rsidR="00000000" w:rsidDel="00000000" w:rsidP="00000000" w:rsidRDefault="00000000" w:rsidRPr="00000000" w14:paraId="000000A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spacing w:after="200" w:line="276" w:lineRule="auto"/>
        <w:jc w:val="left"/>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Annex 1: Rating Agencies and their standard Rating System</w:t>
      </w:r>
    </w:p>
    <w:p w:rsidR="00000000" w:rsidDel="00000000" w:rsidP="00000000" w:rsidRDefault="00000000" w:rsidRPr="00000000" w14:paraId="000000B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Dun and Bradstreet </w:t>
      </w:r>
      <w:r w:rsidDel="00000000" w:rsidR="00000000" w:rsidRPr="00000000">
        <w:rPr>
          <w:rtl w:val="0"/>
        </w:rPr>
      </w:r>
    </w:p>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[Rating Agency 2]</w:t>
      </w:r>
    </w:p>
    <w:p w:rsidR="00000000" w:rsidDel="00000000" w:rsidP="00000000" w:rsidRDefault="00000000" w:rsidRPr="00000000" w14:paraId="000000B4">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both"/>
        <w:rPr>
          <w:rFonts w:ascii="Arial Bold" w:cs="Arial Bold" w:eastAsia="Arial Bold" w:hAnsi="Arial Bold"/>
          <w:b w:val="1"/>
          <w:i w:val="0"/>
          <w:smallCaps w:val="1"/>
          <w:strike w:val="0"/>
          <w:color w:val="000000"/>
          <w:sz w:val="24"/>
          <w:szCs w:val="24"/>
          <w:u w:val="none"/>
          <w:shd w:fill="auto" w:val="clear"/>
          <w:vertAlign w:val="baseline"/>
        </w:rPr>
      </w:pPr>
      <w:bookmarkStart w:colFirst="0" w:colLast="0" w:name="_heading=h.2bn6wsx" w:id="3"/>
      <w:bookmarkEnd w:id="3"/>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Annex 2</w:t>
      </w:r>
      <w:r w:rsidDel="00000000" w:rsidR="00000000" w:rsidRPr="00000000">
        <w:rPr>
          <w:rFonts w:ascii="Arial Bold" w:cs="Arial Bold" w:eastAsia="Arial Bold" w:hAnsi="Arial Bold"/>
          <w:b w:val="1"/>
          <w:i w:val="0"/>
          <w:smallCaps w:val="1"/>
          <w:strike w:val="0"/>
          <w:color w:val="000000"/>
          <w:sz w:val="24"/>
          <w:szCs w:val="24"/>
          <w:u w:val="none"/>
          <w:shd w:fill="auto" w:val="clear"/>
          <w:vertAlign w:val="baseline"/>
          <w:rtl w:val="0"/>
        </w:rPr>
        <w:t xml:space="preserve">: </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Credit Ratings and Credit Rating Thresholds</w:t>
      </w:r>
      <w:r w:rsidDel="00000000" w:rsidR="00000000" w:rsidRPr="00000000">
        <w:rPr>
          <w:rtl w:val="0"/>
        </w:rPr>
      </w:r>
    </w:p>
    <w:tbl>
      <w:tblPr>
        <w:tblStyle w:val="Table4"/>
        <w:tblW w:w="6161.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080"/>
        <w:gridCol w:w="3081"/>
        <w:tblGridChange w:id="0">
          <w:tblGrid>
            <w:gridCol w:w="3080"/>
            <w:gridCol w:w="3081"/>
          </w:tblGrid>
        </w:tblGridChange>
      </w:tblGrid>
      <w:tr>
        <w:trPr>
          <w:cantSplit w:val="0"/>
          <w:tblHeader w:val="0"/>
        </w:trPr>
        <w:tc>
          <w:tcPr>
            <w:tcBorders>
              <w:top w:color="000000" w:space="0" w:sz="4" w:val="single"/>
            </w:tcBorders>
            <w:shd w:fill="ffffff" w:val="clear"/>
          </w:tcPr>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Entity</w:t>
            </w:r>
          </w:p>
        </w:tc>
        <w:tc>
          <w:tcPr>
            <w:tcBorders>
              <w:top w:color="000000" w:space="0" w:sz="4" w:val="single"/>
            </w:tcBorders>
            <w:shd w:fill="ffffff" w:val="clear"/>
          </w:tcPr>
          <w:p w:rsidR="00000000" w:rsidDel="00000000" w:rsidP="00000000" w:rsidRDefault="00000000" w:rsidRPr="00000000" w14:paraId="000000B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(long term)</w:t>
            </w:r>
          </w:p>
        </w:tc>
      </w:tr>
      <w:tr>
        <w:trPr>
          <w:cantSplit w:val="0"/>
          <w:tblHeader w:val="0"/>
        </w:trPr>
        <w:tc>
          <w:tcPr>
            <w:shd w:fill="ffffff" w:val="clear"/>
          </w:tcPr>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w:t>
            </w:r>
          </w:p>
        </w:tc>
        <w:tc>
          <w:tcPr>
            <w:shd w:fill="ffffff" w:val="clear"/>
          </w:tcPr>
          <w:p w:rsidR="00000000" w:rsidDel="00000000" w:rsidP="00000000" w:rsidRDefault="00000000" w:rsidRPr="00000000" w14:paraId="000000B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highlight w:val="yellow"/>
                <w:rtl w:val="0"/>
              </w:rPr>
              <w:t xml:space="preserve">30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[Guarantor]</w:t>
            </w:r>
            <w:r w:rsidDel="00000000" w:rsidR="00000000" w:rsidRPr="00000000">
              <w:rPr>
                <w:rtl w:val="0"/>
              </w:rPr>
            </w:r>
          </w:p>
        </w:tc>
        <w:tc>
          <w:tcPr>
            <w:shd w:fill="ffffff" w:val="clear"/>
          </w:tcPr>
          <w:p w:rsidR="00000000" w:rsidDel="00000000" w:rsidP="00000000" w:rsidRDefault="00000000" w:rsidRPr="00000000" w14:paraId="000000B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shd w:fill="ffffff" w:val="clear"/>
          </w:tcPr>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[Key Subcontractor]</w:t>
            </w:r>
          </w:p>
        </w:tc>
        <w:tc>
          <w:tcPr>
            <w:tcBorders>
              <w:bottom w:color="000000" w:space="0" w:sz="4" w:val="single"/>
            </w:tcBorders>
            <w:shd w:fill="ffffff" w:val="clear"/>
          </w:tcPr>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3: Calculation methodology for Financial Indicators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qsh70q" w:id="4"/>
      <w:bookmarkEnd w:id="4"/>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[Guidance: Amend this section as appropriate to reflect the calculation methodology for those Financial Indicators that are selected for inclusion in Paragraph 5.1 of this Schedule]</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it uses the following general and specific methodologies for calculating the Financial Indicators against the Financial Target Thresholds: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General methodology</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Terminology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as4poj" w:id="5"/>
      <w:bookmarkEnd w:id="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Groups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the entity is the holding company of a group and prepares consolidated financial statements, the consolidated figures should be used.</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Foreign currency conversion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Figures denominated in foreign currencies should be converted at the exchange rate in force at the relevant date for which the Financial Indicator is being calculated.</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Treatment of non-underlying items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Financial Indicators should be based on the figures in the financial statements before adjusting for non-underlying items.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Specific Methodology</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478"/>
        <w:tblGridChange w:id="0">
          <w:tblGrid>
            <w:gridCol w:w="2538"/>
            <w:gridCol w:w="6478"/>
          </w:tblGrid>
        </w:tblGridChange>
      </w:tblGrid>
      <w:tr>
        <w:trPr>
          <w:cantSplit w:val="0"/>
          <w:tblHeader w:val="0"/>
        </w:trPr>
        <w:tc>
          <w:tcPr>
            <w:shd w:fill="d9d9d9" w:val="cle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w:t>
            </w:r>
          </w:p>
        </w:tc>
        <w:tc>
          <w:tcPr>
            <w:shd w:fill="d9d9d9" w:val="cle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 Methodology</w:t>
            </w:r>
          </w:p>
        </w:tc>
      </w:tr>
      <w:tr>
        <w:trPr>
          <w:cantSplit w:val="0"/>
          <w:tblHeader w:val="0"/>
        </w:trPr>
        <w:tc>
          <w:tcP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Operating Margin</w:t>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elements used to calculate the Operating Margin should be shown on the face of the Income Statement in a standard set of financial statements.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Figures for Operating Profit and Revenue should exclude the entity’s share of the results of any joint ventures or Associates.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 entity has an operating loss (i.e. where the operating profit is negative), Operating Profit should be taken to be zero.</w:t>
            </w:r>
          </w:p>
        </w:tc>
      </w:tr>
      <w:tr>
        <w:trPr>
          <w:cantSplit w:val="0"/>
          <w:tblHeader w:val="0"/>
        </w:trPr>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Free Cash Flow to Net Debt Ratio</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Debt to EBITDA Ratio</w:t>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Free Cash Flow</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Net Cash Flow from Operating Activities – Capital Expenditure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Capital Expenditure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Purchase of property, plant &amp; equipment + purchase of intangible assets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Debt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elements used to calculate the Free Cash Flow to Net Debt Ratio should be shown on the face of the Statement of Cash Flows and the Balance Sheet in a standard set of financial statements.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Cash Flow from Operating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should be stated after deduction of interest and tax paid.</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Capital expenditure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Debt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Deferred consideration payable should be included in Net Debt despite typically being non-interest bearing.</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and cash equivalents should include short-term financial investments shown in current assets.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debt is negative (i.e. an entity has net cash), the relevant Financial Target Threshold should be treated as having been met.</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Debt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EBITDA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Operating profit + Depreciation charge + Amortisation charge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Debt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Deferred consideration payable should be included in Net Debt despite typically being non-interest bearing.</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and cash equivalents should include short-term financial investments shown in current assets.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debt is negative (i.e. an entity has net cash), the relevant Financial Target Threshold should be treated as having been met.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1pxezwc" w:id="6"/>
            <w:bookmarkEnd w:id="6"/>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EBITDA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Operating profit should be shown on the face of the Income Statement and, for the purposes of calculating this Financial Indicator, should include the entity’s share of the results of any joint ventures or Associates.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trPr>
          <w:cantSplit w:val="0"/>
          <w:tblHeader w:val="0"/>
        </w:trPr>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Debt + Net  Pension Deficit to EBITDA ratio</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Debt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Pension Deficit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Retirement Benefit Obligations – Retirement Benefit Assets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EBITDA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Operating profit + Depreciation charge + Amortisation charge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Debt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non-designated hedges). Borrowings should also include balances owed to other group members.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Deferred consideration payable should be included in Net Debt despite typically being non-interest bearing.</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and cash equivalents should include short-term financial investments shown in current assets.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Pension Deficit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Debt + Net Pension Deficit’ is negative, the relevant Financial Target Threshold should be treated as having been met.</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EBITDA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Operating profit should be shown on the face of the Income Statement and, for the purposes of calculating this Financial Indicator, should include the entity’s share of the results of any joint ventures or Associates.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9x2ik5"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depreciation and amortisation charges for the period may be found on the face of the Statement of Cash Flows or in a Note to the Accounts.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EBITDA is negative, the relevant Financial Target Threshold should be treated as not having been met (unless ‘Net Debt + Net Pension Deficit’ is also negative, in which case the relevant Financial Target Threshold should be regarded as having been met).</w:t>
            </w:r>
          </w:p>
        </w:tc>
      </w:tr>
      <w:tr>
        <w:trPr>
          <w:cantSplit w:val="0"/>
          <w:tblHeader w:val="0"/>
        </w:trPr>
        <w:tc>
          <w:tcPr>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Interest Paid Cover</w:t>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Earnings Before Interest and Tax</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Operating profit</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Interest Paid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Interest paid – Interest received</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profit should be shown on the face of the Income Statement in a standard set of financial statements and, for the purposes of calculating this Financial Indicator, should include the entity’s share of the results of any joint ventures or Associates.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Interest received and interest paid should be shown on the face of the Cash Flow statement.</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interest paid is negative (i.e. the entity has net interest received), the relevant Financial Target Threshold should be treated as having been met.</w:t>
            </w:r>
          </w:p>
        </w:tc>
      </w:tr>
      <w:tr>
        <w:trPr>
          <w:cantSplit w:val="0"/>
          <w:tblHeader w:val="0"/>
        </w:trPr>
        <w:tc>
          <w:tcP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Acid Ratio</w:t>
            </w:r>
          </w:p>
        </w:tc>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elements that are used to calculate the Acid Ratio are available on the face of the Balance Sheet in a standard set of financial statements.</w:t>
            </w:r>
          </w:p>
        </w:tc>
      </w:tr>
      <w:tr>
        <w:trPr>
          <w:cantSplit w:val="0"/>
          <w:tblHeader w:val="0"/>
        </w:trPr>
        <w:tc>
          <w:tcPr>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Asset value</w:t>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trPr>
          <w:cantSplit w:val="0"/>
          <w:tblHeader w:val="0"/>
        </w:trPr>
        <w:tc>
          <w:tcP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Group Exposure Ratio</w:t>
            </w:r>
          </w:p>
        </w:tc>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Group Exposure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Balances owed by Group Undertakings + Contingent liabilities assumed in support of Group Undertakings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Gross Assets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Fixed Assets + Current Assets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Group Exposure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many cases an entity may not have assumed any contingent liabilities in support of Group Undertakings, in particular where an entity is not a member of a group or is itself the ultimate holding company of the group.</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Gross Assets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Fixed assets and Current assets are shown on the face of the Balance Sheet</w:t>
            </w:r>
          </w:p>
        </w:tc>
      </w:tr>
    </w:tbl>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left"/>
        <w:rPr>
          <w:rFonts w:ascii="Arial Bold" w:cs="Arial Bold" w:eastAsia="Arial Bold" w:hAnsi="Arial Bold"/>
          <w:b w:val="1"/>
          <w:i w:val="0"/>
          <w:smallCaps w:val="1"/>
          <w:strike w:val="0"/>
          <w:color w:val="000000"/>
          <w:sz w:val="24"/>
          <w:szCs w:val="24"/>
          <w:u w:val="none"/>
          <w:shd w:fill="auto" w:val="clear"/>
          <w:vertAlign w:val="baseline"/>
        </w:rPr>
      </w:pPr>
      <w:bookmarkStart w:colFirst="0" w:colLast="0" w:name="_heading=h.2p2csry" w:id="8"/>
      <w:bookmarkEnd w:id="8"/>
      <w:r w:rsidDel="00000000" w:rsidR="00000000" w:rsidRPr="00000000">
        <w:rPr>
          <w:rFonts w:ascii="Arial Bold" w:cs="Arial Bold" w:eastAsia="Arial Bold" w:hAnsi="Arial Bold"/>
          <w:b w:val="1"/>
          <w:i w:val="0"/>
          <w:smallCaps w:val="1"/>
          <w:strike w:val="0"/>
          <w:color w:val="000000"/>
          <w:sz w:val="24"/>
          <w:szCs w:val="24"/>
          <w:u w:val="none"/>
          <w:shd w:fill="auto" w:val="clear"/>
          <w:vertAlign w:val="baseline"/>
          <w:rtl w:val="0"/>
        </w:rPr>
        <w:t xml:space="preserve">Annex 4: Board Confirmation</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Name: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Reference Number:</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of Directors acknowledge the requirements set out at paragraph 8 of Joint Schedule 7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Financial Distress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confirm that the Supplier has exercised due care and diligence and made reasonable enquiry of all relevant Supplier Staff and other persons as is reasonably necessary to enable the Board to prepare this statement.</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of Directors confirms, to the best of its knowledge and belief, that as at the date of this Board Confirmation it is not aware of and has no knowledge:</w:t>
      </w:r>
    </w:p>
    <w:p w:rsidR="00000000" w:rsidDel="00000000" w:rsidP="00000000" w:rsidRDefault="00000000" w:rsidRPr="00000000" w14:paraId="000001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20"/>
          <w:tab w:val="left" w:leader="none" w:pos="1803"/>
        </w:tabs>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 Financial Distress Event has occurred since the later of the previous Board Confirmation and the Effective Date or is subsisting; or</w:t>
      </w:r>
    </w:p>
    <w:p w:rsidR="00000000" w:rsidDel="00000000" w:rsidP="00000000" w:rsidRDefault="00000000" w:rsidRPr="00000000" w14:paraId="000001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20"/>
          <w:tab w:val="left" w:leader="none" w:pos="1803"/>
        </w:tabs>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any matters which have occurred or are subsisting that could reasonably be expected to cause a Financial Distress Event</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behalf of the Board of Directors: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Chair</w:t>
        <w:tab/>
        <w:tab/>
        <w:t xml:space="preserv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w:t>
        <w:tab/>
        <w:tab/>
        <w:t xml:space="preserv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tab/>
        <w:tab/>
        <w:t xml:space="preserv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w:t>
        <w:tab/>
        <w:tab/>
        <w:t xml:space="preserve">…………………………………</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w:t>
        <w:tab/>
        <w:tab/>
        <w:t xml:space="preserve">…………………………………</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tab/>
        <w:tab/>
        <w:t xml:space="preserve">…………………………………</w:t>
      </w:r>
    </w:p>
    <w:p w:rsidR="00000000" w:rsidDel="00000000" w:rsidP="00000000" w:rsidRDefault="00000000" w:rsidRPr="00000000" w14:paraId="0000013A">
      <w:pPr>
        <w:spacing w:after="200" w:line="276" w:lineRule="auto"/>
        <w:jc w:val="left"/>
        <w:rPr>
          <w:rFonts w:ascii="Arial" w:cs="Arial" w:eastAsia="Arial" w:hAnsi="Arial"/>
          <w:sz w:val="24"/>
          <w:szCs w:val="24"/>
        </w:rPr>
      </w:pPr>
      <w:bookmarkStart w:colFirst="0" w:colLast="0" w:name="_heading=h.4i7ojhp" w:id="10"/>
      <w:bookmarkEnd w:id="10"/>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RM6308</w:t>
      <w:tab/>
      <w:t xml:space="preserve">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v3.6</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Calibri" w:cs="Calibri" w:eastAsia="Calibri" w:hAnsi="Calibri"/>
        <w:b w:val="0"/>
        <w:i w:val="0"/>
        <w:smallCaps w:val="0"/>
        <w:strike w:val="0"/>
        <w:color w:val="bfbfbf"/>
        <w:sz w:val="22"/>
        <w:szCs w:val="22"/>
        <w:u w:val="none"/>
        <w:shd w:fill="auto" w:val="clear"/>
        <w:vertAlign w:val="baseline"/>
        <w:rtl w:val="0"/>
      </w:rPr>
      <w:t xml:space="preserve">Project Version: v1.0</w:t>
      <w:tab/>
      <w:tab/>
      <w:tab/>
      <w:t xml:space="preserve"> </w:t>
    </w:r>
    <w:r w:rsidDel="00000000" w:rsidR="00000000" w:rsidRPr="00000000">
      <w:rPr>
        <w:rFonts w:ascii="Calibri" w:cs="Calibri" w:eastAsia="Calibri" w:hAnsi="Calibri"/>
        <w:b w:val="0"/>
        <w:i w:val="0"/>
        <w:smallCaps w:val="0"/>
        <w:strike w:val="0"/>
        <w:color w:val="bfbfbf"/>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2">
    <w:pPr>
      <w:spacing w:after="0" w:lineRule="auto"/>
      <w:rPr>
        <w:rFonts w:ascii="Arial" w:cs="Arial" w:eastAsia="Arial" w:hAnsi="Arial"/>
        <w:color w:val="bfbfbf"/>
        <w:sz w:val="20"/>
        <w:szCs w:val="20"/>
      </w:rPr>
    </w:pPr>
    <w:r w:rsidDel="00000000" w:rsidR="00000000" w:rsidRPr="00000000">
      <w:rPr>
        <w:color w:val="bfbfbf"/>
        <w:rtl w:val="0"/>
      </w:rPr>
      <w:t xml:space="preserve">Model Version : v3.0</w:t>
      <w:tab/>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7 (Financial Difficulties)</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paragraph" w:styleId="Heading1">
    <w:name w:val="heading 1"/>
    <w:basedOn w:val="Normal"/>
    <w:next w:val="Normal"/>
    <w:link w:val="Heading1Char"/>
    <w:rsid w:val="00A96D9C"/>
    <w:pPr>
      <w:keepNext w:val="1"/>
      <w:keepLines w:val="1"/>
      <w:spacing w:after="120" w:before="480"/>
      <w:outlineLvl w:val="0"/>
    </w:pPr>
    <w:rPr>
      <w:b w:val="1"/>
      <w:sz w:val="48"/>
      <w:szCs w:val="48"/>
      <w:lang w:eastAsia="en-GB"/>
    </w:rPr>
  </w:style>
  <w:style w:type="paragraph" w:styleId="Heading2">
    <w:name w:val="heading 2"/>
    <w:basedOn w:val="Normal"/>
    <w:next w:val="Normal"/>
    <w:link w:val="Heading2Char"/>
    <w:rsid w:val="00A96D9C"/>
    <w:pPr>
      <w:keepNext w:val="1"/>
      <w:keepLines w:val="1"/>
      <w:spacing w:after="80" w:before="360"/>
      <w:outlineLvl w:val="1"/>
    </w:pPr>
    <w:rPr>
      <w:b w:val="1"/>
      <w:sz w:val="36"/>
      <w:szCs w:val="36"/>
      <w:lang w:eastAsia="en-GB"/>
    </w:rPr>
  </w:style>
  <w:style w:type="paragraph" w:styleId="Heading3">
    <w:name w:val="heading 3"/>
    <w:basedOn w:val="Normal"/>
    <w:next w:val="Normal"/>
    <w:link w:val="Heading3Char"/>
    <w:rsid w:val="00A96D9C"/>
    <w:pPr>
      <w:keepNext w:val="1"/>
      <w:keepLines w:val="1"/>
      <w:spacing w:after="80" w:before="280"/>
      <w:outlineLvl w:val="2"/>
    </w:pPr>
    <w:rPr>
      <w:b w:val="1"/>
      <w:sz w:val="28"/>
      <w:szCs w:val="28"/>
      <w:lang w:eastAsia="en-GB"/>
    </w:rPr>
  </w:style>
  <w:style w:type="paragraph" w:styleId="Heading4">
    <w:name w:val="heading 4"/>
    <w:basedOn w:val="Normal"/>
    <w:next w:val="Normal"/>
    <w:link w:val="Heading4Char"/>
    <w:rsid w:val="00A96D9C"/>
    <w:pPr>
      <w:keepNext w:val="1"/>
      <w:keepLines w:val="1"/>
      <w:spacing w:after="40" w:before="240"/>
      <w:outlineLvl w:val="3"/>
    </w:pPr>
    <w:rPr>
      <w:b w:val="1"/>
      <w:sz w:val="24"/>
      <w:szCs w:val="24"/>
      <w:lang w:eastAsia="en-GB"/>
    </w:rPr>
  </w:style>
  <w:style w:type="paragraph" w:styleId="Heading5">
    <w:name w:val="heading 5"/>
    <w:basedOn w:val="Normal"/>
    <w:next w:val="Normal"/>
    <w:link w:val="Heading5Char"/>
    <w:rsid w:val="00A96D9C"/>
    <w:pPr>
      <w:keepNext w:val="1"/>
      <w:keepLines w:val="1"/>
      <w:spacing w:after="40" w:before="220"/>
      <w:outlineLvl w:val="4"/>
    </w:pPr>
    <w:rPr>
      <w:b w:val="1"/>
      <w:lang w:eastAsia="en-GB"/>
    </w:rPr>
  </w:style>
  <w:style w:type="paragraph" w:styleId="Heading6">
    <w:name w:val="heading 6"/>
    <w:basedOn w:val="Normal"/>
    <w:next w:val="Normal"/>
    <w:link w:val="Heading6Char"/>
    <w:rsid w:val="00A96D9C"/>
    <w:pPr>
      <w:keepNext w:val="1"/>
      <w:keepLines w:val="1"/>
      <w:spacing w:after="40" w:before="200"/>
      <w:outlineLvl w:val="5"/>
    </w:pPr>
    <w:rPr>
      <w:b w:val="1"/>
      <w:sz w:val="20"/>
      <w:szCs w:val="2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rsid w:val="00A96D9C"/>
    <w:pPr>
      <w:numPr>
        <w:numId w:val="2"/>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rsid w:val="00A96D9C"/>
    <w:pPr>
      <w:numPr>
        <w:ilvl w:val="2"/>
        <w:numId w:val="2"/>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rsid w:val="00A96D9C"/>
    <w:pPr>
      <w:numPr>
        <w:ilvl w:val="3"/>
      </w:numPr>
      <w:tabs>
        <w:tab w:val="clear" w:pos="1985"/>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rsid w:val="00A96D9C"/>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Definition" w:customStyle="1">
    <w:name w:val="GPs Definition"/>
    <w:basedOn w:val="Normal"/>
    <w:qFormat w:val="1"/>
    <w:rsid w:val="00A96D9C"/>
    <w:pPr>
      <w:numPr>
        <w:numId w:val="1"/>
      </w:numPr>
      <w:tabs>
        <w:tab w:val="left" w:pos="175"/>
      </w:tabs>
      <w:spacing w:after="120"/>
    </w:pPr>
  </w:style>
  <w:style w:type="paragraph" w:styleId="GPSDefinitionL2" w:customStyle="1">
    <w:name w:val="GPS Definition L2"/>
    <w:basedOn w:val="GPsDefinition"/>
    <w:qFormat w:val="1"/>
    <w:pPr>
      <w:numPr>
        <w:ilvl w:val="1"/>
      </w:numPr>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outlineLvl w:val="9"/>
    </w:p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L3Indent" w:customStyle="1">
    <w:name w:val="GPS L3 Indent"/>
    <w:basedOn w:val="Normal"/>
    <w:link w:val="GPSL3IndentChar"/>
    <w:pPr>
      <w:overflowPunct w:val="1"/>
      <w:autoSpaceDE w:val="1"/>
      <w:autoSpaceDN w:val="1"/>
      <w:spacing w:after="120" w:before="120"/>
      <w:ind w:left="1985"/>
      <w:textAlignment w:val="auto"/>
    </w:pPr>
    <w:rPr>
      <w:lang w:eastAsia="zh-CN" w:val="en-US"/>
    </w:rPr>
  </w:style>
  <w:style w:type="paragraph" w:styleId="GPSmacrorestart" w:customStyle="1">
    <w:name w:val="GPS macro restart"/>
    <w:basedOn w:val="Normal"/>
    <w:qFormat w:val="1"/>
    <w:pPr>
      <w:spacing w:after="0"/>
    </w:pPr>
    <w:rPr>
      <w:color w:val="ffffff"/>
      <w:sz w:val="16"/>
      <w:szCs w:val="16"/>
    </w:rPr>
  </w:style>
  <w:style w:type="paragraph" w:styleId="GPSSchAnnexname" w:customStyle="1">
    <w:name w:val="GPS Sch Annex name"/>
    <w:basedOn w:val="Normal"/>
    <w:link w:val="GPSSchAnnexnameChar"/>
    <w:qFormat w:val="1"/>
    <w:pPr>
      <w:keepNext w:val="1"/>
      <w:overflowPunct w:val="1"/>
      <w:autoSpaceDE w:val="1"/>
      <w:autoSpaceDN w:val="1"/>
      <w:ind w:firstLine="426"/>
      <w:jc w:val="center"/>
      <w:textAlignment w:val="auto"/>
      <w:outlineLvl w:val="1"/>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rsid w:val="00A96D9C"/>
    <w:pPr>
      <w:tabs>
        <w:tab w:val="clear" w:pos="1134"/>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3IndentChar" w:customStyle="1">
    <w:name w:val="GPS L3 Indent Char"/>
    <w:link w:val="GPSL3Indent"/>
    <w:locked w:val="1"/>
    <w:rPr>
      <w:rFonts w:ascii="Calibri" w:cs="Arial" w:eastAsia="Times New Roman" w:hAnsi="Calibri"/>
      <w:lang w:eastAsia="zh-CN" w:val="en-US"/>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2IndentChar" w:customStyle="1">
    <w:name w:val="GPS L2 Indent Char"/>
    <w:link w:val="GPSL2Indent"/>
    <w:rPr>
      <w:rFonts w:ascii="Calibri" w:cs="Arial" w:eastAsia="Times New Roman" w:hAnsi="Calibri"/>
      <w:szCs w:val="24"/>
    </w:rPr>
  </w:style>
  <w:style w:type="character" w:styleId="GPSSchAnnexnameChar" w:customStyle="1">
    <w:name w:val="GPS Sch Annex name Char"/>
    <w:link w:val="GPSSchAnnexname"/>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character" w:styleId="Hyperlink">
    <w:name w:val="Hyperlink"/>
    <w:basedOn w:val="DefaultParagraphFont"/>
    <w:uiPriority w:val="99"/>
    <w:semiHidden w:val="1"/>
    <w:unhideWhenUsed w:val="1"/>
    <w:rPr>
      <w:color w:val="0000ff"/>
      <w:u w:val="single"/>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StdBodyText" w:customStyle="1">
    <w:name w:val="Std Body Text"/>
    <w:basedOn w:val="Normal"/>
    <w:qFormat w:val="1"/>
    <w:rsid w:val="00106E9B"/>
    <w:pPr>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StdBodyTextBold" w:customStyle="1">
    <w:name w:val="Std Body Text Bold"/>
    <w:basedOn w:val="Normal"/>
    <w:next w:val="StdBodyText"/>
    <w:link w:val="StdBodyTextBoldChar"/>
    <w:qFormat w:val="1"/>
    <w:rsid w:val="00106E9B"/>
    <w:pPr>
      <w:overflowPunct w:val="1"/>
      <w:autoSpaceDE w:val="1"/>
      <w:autoSpaceDN w:val="1"/>
      <w:adjustRightInd w:val="1"/>
      <w:spacing w:after="200" w:before="100"/>
      <w:jc w:val="left"/>
      <w:textAlignment w:val="auto"/>
    </w:pPr>
    <w:rPr>
      <w:rFonts w:ascii="Arial" w:cs="Times New Roman" w:hAnsi="Arial"/>
      <w:b w:val="1"/>
      <w:sz w:val="24"/>
      <w:szCs w:val="24"/>
      <w:lang w:eastAsia="en-GB"/>
    </w:rPr>
  </w:style>
  <w:style w:type="character" w:styleId="StdBodyTextBoldChar" w:customStyle="1">
    <w:name w:val="Std Body Text Bold Char"/>
    <w:basedOn w:val="DefaultParagraphFont"/>
    <w:link w:val="StdBodyTextBold"/>
    <w:rsid w:val="00106E9B"/>
    <w:rPr>
      <w:rFonts w:ascii="Arial" w:cs="Times New Roman" w:eastAsia="Times New Roman" w:hAnsi="Arial"/>
      <w:b w:val="1"/>
      <w:sz w:val="24"/>
      <w:szCs w:val="24"/>
      <w:lang w:eastAsia="en-GB"/>
    </w:rPr>
  </w:style>
  <w:style w:type="paragraph" w:styleId="StdBodyText1" w:customStyle="1">
    <w:name w:val="Std Body Text 1"/>
    <w:basedOn w:val="StdBodyText"/>
    <w:rsid w:val="005F1595"/>
    <w:pPr>
      <w:ind w:left="720"/>
    </w:pPr>
  </w:style>
  <w:style w:type="paragraph" w:styleId="AnnexHeading" w:customStyle="1">
    <w:name w:val="Annex Heading"/>
    <w:basedOn w:val="Normal"/>
    <w:next w:val="Normal"/>
    <w:rsid w:val="006B02AC"/>
    <w:pPr>
      <w:numPr>
        <w:numId w:val="4"/>
      </w:numPr>
      <w:overflowPunct w:val="1"/>
      <w:autoSpaceDE w:val="1"/>
      <w:autoSpaceDN w:val="1"/>
      <w:adjustRightInd w:val="1"/>
      <w:spacing w:after="300" w:before="100"/>
      <w:jc w:val="center"/>
      <w:textAlignment w:val="auto"/>
    </w:pPr>
    <w:rPr>
      <w:rFonts w:ascii="Arial Bold" w:cs="Times New Roman" w:hAnsi="Arial Bold"/>
      <w:b w:val="1"/>
      <w:caps w:val="1"/>
      <w:sz w:val="24"/>
      <w:szCs w:val="24"/>
      <w:lang w:eastAsia="en-GB"/>
    </w:rPr>
  </w:style>
  <w:style w:type="paragraph" w:styleId="AppendixText1" w:customStyle="1">
    <w:name w:val="Appendix Text 1"/>
    <w:basedOn w:val="Normal"/>
    <w:next w:val="StdBodyText1"/>
    <w:rsid w:val="006B02AC"/>
    <w:pPr>
      <w:numPr>
        <w:numId w:val="5"/>
      </w:numPr>
      <w:overflowPunct w:val="1"/>
      <w:autoSpaceDE w:val="1"/>
      <w:autoSpaceDN w:val="1"/>
      <w:adjustRightInd w:val="1"/>
      <w:spacing w:after="200" w:before="100"/>
      <w:jc w:val="left"/>
      <w:textAlignment w:val="auto"/>
    </w:pPr>
    <w:rPr>
      <w:rFonts w:ascii="Arial" w:cs="Times New Roman" w:hAnsi="Arial"/>
      <w:b w:val="1"/>
      <w:sz w:val="24"/>
      <w:szCs w:val="24"/>
      <w:lang w:eastAsia="en-GB"/>
    </w:rPr>
  </w:style>
  <w:style w:type="paragraph" w:styleId="AppendixText2" w:customStyle="1">
    <w:name w:val="Appendix Text 2"/>
    <w:basedOn w:val="AppendixText1"/>
    <w:next w:val="Normal"/>
    <w:rsid w:val="006B02AC"/>
    <w:pPr>
      <w:numPr>
        <w:ilvl w:val="1"/>
      </w:numPr>
    </w:pPr>
    <w:rPr>
      <w:b w:val="0"/>
    </w:rPr>
  </w:style>
  <w:style w:type="paragraph" w:styleId="AppendixText3" w:customStyle="1">
    <w:name w:val="Appendix Text 3"/>
    <w:basedOn w:val="Normal"/>
    <w:next w:val="Normal"/>
    <w:rsid w:val="006B02AC"/>
    <w:pPr>
      <w:numPr>
        <w:ilvl w:val="2"/>
        <w:numId w:val="5"/>
      </w:numPr>
      <w:tabs>
        <w:tab w:val="left" w:pos="720"/>
        <w:tab w:val="left" w:pos="1803"/>
      </w:tabs>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AppendixText4" w:customStyle="1">
    <w:name w:val="Appendix Text 4"/>
    <w:basedOn w:val="Normal"/>
    <w:next w:val="Normal"/>
    <w:rsid w:val="006B02AC"/>
    <w:pPr>
      <w:numPr>
        <w:ilvl w:val="3"/>
        <w:numId w:val="5"/>
      </w:numPr>
      <w:tabs>
        <w:tab w:val="left" w:pos="720"/>
        <w:tab w:val="left" w:pos="1803"/>
      </w:tabs>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AppendixText5" w:customStyle="1">
    <w:name w:val="Appendix Text 5"/>
    <w:basedOn w:val="Normal"/>
    <w:next w:val="Normal"/>
    <w:rsid w:val="006B02AC"/>
    <w:pPr>
      <w:numPr>
        <w:ilvl w:val="4"/>
        <w:numId w:val="5"/>
      </w:numPr>
      <w:tabs>
        <w:tab w:val="left" w:pos="720"/>
        <w:tab w:val="left" w:pos="2523"/>
      </w:tabs>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AppendixText6" w:customStyle="1">
    <w:name w:val="Appendix Text 6"/>
    <w:basedOn w:val="AppendixText5"/>
    <w:rsid w:val="006B02AC"/>
    <w:pPr>
      <w:numPr>
        <w:ilvl w:val="5"/>
      </w:numPr>
    </w:pPr>
  </w:style>
  <w:style w:type="numbering" w:styleId="Level" w:customStyle="1">
    <w:name w:val="Level"/>
    <w:uiPriority w:val="99"/>
    <w:rsid w:val="0034142A"/>
    <w:pPr>
      <w:numPr>
        <w:numId w:val="7"/>
      </w:numPr>
    </w:pPr>
  </w:style>
  <w:style w:type="numbering" w:styleId="Scheduleheading" w:customStyle="1">
    <w:name w:val="Schedule heading"/>
    <w:uiPriority w:val="99"/>
    <w:rsid w:val="0034142A"/>
    <w:pPr>
      <w:numPr>
        <w:numId w:val="8"/>
      </w:numPr>
    </w:pPr>
  </w:style>
  <w:style w:type="paragraph" w:styleId="StdBodyText4" w:customStyle="1">
    <w:name w:val="Std Body Text 4"/>
    <w:basedOn w:val="Normal"/>
    <w:rsid w:val="0034142A"/>
    <w:pPr>
      <w:overflowPunct w:val="1"/>
      <w:autoSpaceDE w:val="1"/>
      <w:autoSpaceDN w:val="1"/>
      <w:adjustRightInd w:val="1"/>
      <w:spacing w:after="200" w:before="100"/>
      <w:ind w:left="1803"/>
      <w:jc w:val="left"/>
      <w:textAlignment w:val="auto"/>
    </w:pPr>
    <w:rPr>
      <w:rFonts w:ascii="Arial" w:cs="Times New Roman" w:hAnsi="Arial"/>
      <w:sz w:val="24"/>
      <w:szCs w:val="24"/>
      <w:lang w:eastAsia="en-GB"/>
    </w:rPr>
  </w:style>
  <w:style w:type="character" w:styleId="Heading1Char" w:customStyle="1">
    <w:name w:val="Heading 1 Char"/>
    <w:basedOn w:val="DefaultParagraphFont"/>
    <w:link w:val="Heading1"/>
    <w:rsid w:val="00A96D9C"/>
    <w:rPr>
      <w:rFonts w:ascii="Calibri" w:cs="Arial" w:eastAsia="Times New Roman" w:hAnsi="Calibri"/>
      <w:b w:val="1"/>
      <w:sz w:val="48"/>
      <w:szCs w:val="48"/>
      <w:lang w:eastAsia="en-GB"/>
    </w:rPr>
  </w:style>
  <w:style w:type="character" w:styleId="Heading2Char" w:customStyle="1">
    <w:name w:val="Heading 2 Char"/>
    <w:basedOn w:val="DefaultParagraphFont"/>
    <w:link w:val="Heading2"/>
    <w:rsid w:val="00A96D9C"/>
    <w:rPr>
      <w:rFonts w:ascii="Calibri" w:cs="Arial" w:eastAsia="Times New Roman" w:hAnsi="Calibri"/>
      <w:b w:val="1"/>
      <w:sz w:val="36"/>
      <w:szCs w:val="36"/>
      <w:lang w:eastAsia="en-GB"/>
    </w:rPr>
  </w:style>
  <w:style w:type="character" w:styleId="Heading3Char" w:customStyle="1">
    <w:name w:val="Heading 3 Char"/>
    <w:basedOn w:val="DefaultParagraphFont"/>
    <w:link w:val="Heading3"/>
    <w:rsid w:val="00A96D9C"/>
    <w:rPr>
      <w:rFonts w:ascii="Calibri" w:cs="Arial" w:eastAsia="Times New Roman" w:hAnsi="Calibri"/>
      <w:b w:val="1"/>
      <w:sz w:val="28"/>
      <w:szCs w:val="28"/>
      <w:lang w:eastAsia="en-GB"/>
    </w:rPr>
  </w:style>
  <w:style w:type="character" w:styleId="Heading4Char" w:customStyle="1">
    <w:name w:val="Heading 4 Char"/>
    <w:basedOn w:val="DefaultParagraphFont"/>
    <w:link w:val="Heading4"/>
    <w:rsid w:val="00A96D9C"/>
    <w:rPr>
      <w:rFonts w:ascii="Calibri" w:cs="Arial" w:eastAsia="Times New Roman" w:hAnsi="Calibri"/>
      <w:b w:val="1"/>
      <w:sz w:val="24"/>
      <w:szCs w:val="24"/>
      <w:lang w:eastAsia="en-GB"/>
    </w:rPr>
  </w:style>
  <w:style w:type="character" w:styleId="Heading5Char" w:customStyle="1">
    <w:name w:val="Heading 5 Char"/>
    <w:basedOn w:val="DefaultParagraphFont"/>
    <w:link w:val="Heading5"/>
    <w:rsid w:val="00A96D9C"/>
    <w:rPr>
      <w:rFonts w:ascii="Calibri" w:cs="Arial" w:eastAsia="Times New Roman" w:hAnsi="Calibri"/>
      <w:b w:val="1"/>
      <w:lang w:eastAsia="en-GB"/>
    </w:rPr>
  </w:style>
  <w:style w:type="character" w:styleId="Heading6Char" w:customStyle="1">
    <w:name w:val="Heading 6 Char"/>
    <w:basedOn w:val="DefaultParagraphFont"/>
    <w:link w:val="Heading6"/>
    <w:rsid w:val="00A96D9C"/>
    <w:rPr>
      <w:rFonts w:ascii="Calibri" w:cs="Arial" w:eastAsia="Times New Roman" w:hAnsi="Calibri"/>
      <w:b w:val="1"/>
      <w:sz w:val="20"/>
      <w:szCs w:val="20"/>
      <w:lang w:eastAsia="en-GB"/>
    </w:rPr>
  </w:style>
  <w:style w:type="paragraph" w:styleId="Title">
    <w:name w:val="Title"/>
    <w:basedOn w:val="Normal"/>
    <w:next w:val="Normal"/>
    <w:link w:val="TitleChar"/>
    <w:rsid w:val="00A96D9C"/>
    <w:pPr>
      <w:keepNext w:val="1"/>
      <w:keepLines w:val="1"/>
      <w:spacing w:after="120" w:before="480"/>
    </w:pPr>
    <w:rPr>
      <w:b w:val="1"/>
      <w:sz w:val="72"/>
      <w:szCs w:val="72"/>
      <w:lang w:eastAsia="en-GB"/>
    </w:rPr>
  </w:style>
  <w:style w:type="character" w:styleId="TitleChar" w:customStyle="1">
    <w:name w:val="Title Char"/>
    <w:basedOn w:val="DefaultParagraphFont"/>
    <w:link w:val="Title"/>
    <w:rsid w:val="00A96D9C"/>
    <w:rPr>
      <w:rFonts w:ascii="Calibri" w:cs="Arial" w:eastAsia="Times New Roman" w:hAnsi="Calibri"/>
      <w:b w:val="1"/>
      <w:sz w:val="72"/>
      <w:szCs w:val="72"/>
      <w:lang w:eastAsia="en-GB"/>
    </w:rPr>
  </w:style>
  <w:style w:type="paragraph" w:styleId="Subtitle">
    <w:name w:val="Subtitle"/>
    <w:basedOn w:val="Normal"/>
    <w:next w:val="Normal"/>
    <w:link w:val="SubtitleChar"/>
    <w:rsid w:val="00A96D9C"/>
    <w:pPr>
      <w:keepNext w:val="1"/>
      <w:keepLines w:val="1"/>
      <w:spacing w:after="80" w:before="360"/>
    </w:pPr>
    <w:rPr>
      <w:rFonts w:ascii="Georgia" w:cs="Georgia" w:eastAsia="Georgia" w:hAnsi="Georgia"/>
      <w:i w:val="1"/>
      <w:color w:val="666666"/>
      <w:sz w:val="48"/>
      <w:szCs w:val="48"/>
      <w:lang w:eastAsia="en-GB"/>
    </w:rPr>
  </w:style>
  <w:style w:type="character" w:styleId="SubtitleChar" w:customStyle="1">
    <w:name w:val="Subtitle Char"/>
    <w:basedOn w:val="DefaultParagraphFont"/>
    <w:link w:val="Subtitle"/>
    <w:rsid w:val="00A96D9C"/>
    <w:rPr>
      <w:rFonts w:ascii="Georgia" w:cs="Georgia" w:eastAsia="Georgia" w:hAnsi="Georgia"/>
      <w:i w:val="1"/>
      <w:color w:val="666666"/>
      <w:sz w:val="48"/>
      <w:szCs w:val="48"/>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trategic-supplier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VM29Tvs/hBDiyK2/KIKSsHsrA==">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2023-02-05T22:26:00Z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