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7025" w:rsidRDefault="000C12DA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3 (Framework Prices)</w:t>
      </w:r>
    </w:p>
    <w:p w14:paraId="00000002" w14:textId="77777777" w:rsidR="003C7025" w:rsidRDefault="000C1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jc w:val="both"/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How Framework Prices are used to calculate Call-Off Charges</w:t>
      </w:r>
    </w:p>
    <w:p w14:paraId="00000003" w14:textId="77777777" w:rsidR="003C7025" w:rsidRDefault="000C12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40" w:lineRule="auto"/>
        <w:ind w:left="1134" w:hanging="50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Framework Prices: </w:t>
      </w:r>
    </w:p>
    <w:p w14:paraId="00000004" w14:textId="77777777" w:rsidR="003C7025" w:rsidRDefault="000C12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440"/>
        </w:tabs>
        <w:spacing w:before="120" w:after="120" w:line="240" w:lineRule="auto"/>
        <w:ind w:left="1980" w:hanging="8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will be used as the basis for the charges (and are maximums that the Supplier may charge) under each Call Off Contract; and</w:t>
      </w:r>
    </w:p>
    <w:p w14:paraId="00000005" w14:textId="77777777" w:rsidR="003C7025" w:rsidRDefault="000C12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 w:line="240" w:lineRule="auto"/>
        <w:ind w:left="1980" w:hanging="81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cannot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be increased except as in accordance with this Schedule.</w:t>
      </w:r>
    </w:p>
    <w:p w14:paraId="00000006" w14:textId="77777777" w:rsidR="003C7025" w:rsidRDefault="000C12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40" w:lineRule="auto"/>
        <w:ind w:left="1134" w:hanging="50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Charges:</w:t>
      </w:r>
    </w:p>
    <w:p w14:paraId="00000007" w14:textId="77777777" w:rsidR="003C7025" w:rsidRDefault="000C12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 w:line="240" w:lineRule="auto"/>
        <w:ind w:left="1980" w:hanging="81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shall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be calculated in accordance with the terms of the Call Off Contract and in particular in accordance with the terms of the Order Form. </w:t>
      </w:r>
    </w:p>
    <w:p w14:paraId="00000008" w14:textId="77777777" w:rsidR="003C7025" w:rsidRDefault="000C12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40" w:lineRule="auto"/>
        <w:ind w:left="1134" w:hanging="504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 Any variation to the Charges payable under a Call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Off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Contract must be agreed between the Supplier and the Buyer and implemented using the same procedure for altering Framework Prices in accordance with the provisions of this Framework Schedule 3.</w:t>
      </w:r>
    </w:p>
    <w:p w14:paraId="00000009" w14:textId="77777777" w:rsidR="003C7025" w:rsidRDefault="000C1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How Framework Prices are calculated</w:t>
      </w:r>
    </w:p>
    <w:p w14:paraId="0000000A" w14:textId="77777777" w:rsidR="003C7025" w:rsidRDefault="000C12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40" w:lineRule="auto"/>
        <w:ind w:left="1134" w:hanging="50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pricing mechanisms and prices set out in Annex 1 shall be available for use in calculation of Framework Prices in Call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Off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Contracts.</w:t>
      </w:r>
    </w:p>
    <w:p w14:paraId="0000000B" w14:textId="77777777" w:rsidR="003C7025" w:rsidRDefault="000C12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240" w:line="240" w:lineRule="auto"/>
        <w:jc w:val="both"/>
      </w:pPr>
      <w:bookmarkStart w:id="2" w:name="bookmark=id.3znysh7" w:colFirst="0" w:colLast="0"/>
      <w:bookmarkStart w:id="3" w:name="_heading=h.1fob9te" w:colFirst="0" w:colLast="0"/>
      <w:bookmarkEnd w:id="2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Are costs and expenses included in the Framework Prices</w:t>
      </w:r>
    </w:p>
    <w:p w14:paraId="0000000C" w14:textId="77777777" w:rsidR="003C7025" w:rsidRDefault="000C12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after="120" w:line="240" w:lineRule="auto"/>
        <w:ind w:left="1134" w:hanging="50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Framework Prices shall include all costs and expenses relating to the provision of Deliverables. No further amounts shall be payable in respect of matters such as:</w:t>
      </w:r>
    </w:p>
    <w:p w14:paraId="0000000D" w14:textId="77777777" w:rsidR="003C7025" w:rsidRDefault="000C12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980"/>
        </w:tabs>
        <w:spacing w:before="120" w:after="120" w:line="240" w:lineRule="auto"/>
        <w:ind w:left="1980" w:hanging="81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incidental expenses such as travel, subsistence and lodging, document or report reproduction, shipping, desktop or office equipment costs, network or data interchange costs or other telecommunications charges; or</w:t>
      </w:r>
    </w:p>
    <w:p w14:paraId="0000000E" w14:textId="77777777" w:rsidR="003C7025" w:rsidRDefault="000C12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980"/>
        </w:tabs>
        <w:spacing w:before="120" w:after="120" w:line="240" w:lineRule="auto"/>
        <w:ind w:left="1980" w:hanging="810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costs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incurred prior to the commencement of any Call Off Contract.</w:t>
      </w:r>
    </w:p>
    <w:p w14:paraId="0000000F" w14:textId="77777777" w:rsidR="003C7025" w:rsidRDefault="003C702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240" w:line="240" w:lineRule="auto"/>
        <w:ind w:left="644" w:hanging="360"/>
        <w:jc w:val="both"/>
        <w:rPr>
          <w:rFonts w:ascii="Arial Bold" w:eastAsia="Arial Bold" w:hAnsi="Arial Bold" w:cs="Arial Bold"/>
          <w:b/>
          <w:smallCaps/>
          <w:color w:val="000000"/>
          <w:highlight w:val="yellow"/>
        </w:rPr>
      </w:pPr>
    </w:p>
    <w:p w14:paraId="00000010" w14:textId="77777777" w:rsidR="003C7025" w:rsidRDefault="003C7025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 w:line="240" w:lineRule="auto"/>
        <w:ind w:left="1656" w:hanging="1372"/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3C7025" w:rsidRDefault="000C12DA">
      <w:pPr>
        <w:rPr>
          <w:rFonts w:ascii="Arial" w:eastAsia="Arial" w:hAnsi="Arial" w:cs="Arial"/>
          <w:b/>
          <w:sz w:val="36"/>
          <w:szCs w:val="36"/>
        </w:rPr>
      </w:pPr>
      <w:bookmarkStart w:id="4" w:name="_heading=h.1t3h5sf" w:colFirst="0" w:colLast="0"/>
      <w:bookmarkEnd w:id="4"/>
      <w:r>
        <w:br w:type="page"/>
      </w:r>
      <w:r>
        <w:rPr>
          <w:rFonts w:ascii="Arial" w:eastAsia="Arial" w:hAnsi="Arial" w:cs="Arial"/>
          <w:b/>
          <w:sz w:val="36"/>
          <w:szCs w:val="36"/>
        </w:rPr>
        <w:lastRenderedPageBreak/>
        <w:t>Annex 1: Rates and Prices</w:t>
      </w:r>
    </w:p>
    <w:p w14:paraId="00000012" w14:textId="78C748ED" w:rsidR="003C7025" w:rsidRPr="008547C9" w:rsidRDefault="008547C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8547C9">
        <w:rPr>
          <w:rFonts w:ascii="Arial" w:eastAsia="Arial" w:hAnsi="Arial" w:cs="Arial"/>
          <w:sz w:val="24"/>
          <w:szCs w:val="24"/>
        </w:rPr>
        <w:t>Not applicable</w:t>
      </w:r>
      <w:bookmarkStart w:id="5" w:name="_GoBack"/>
      <w:bookmarkEnd w:id="5"/>
    </w:p>
    <w:sectPr w:rsidR="003C7025" w:rsidRPr="008547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88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73CA0" w14:textId="77777777" w:rsidR="00874F8F" w:rsidRDefault="00874F8F">
      <w:pPr>
        <w:spacing w:after="0" w:line="240" w:lineRule="auto"/>
      </w:pPr>
      <w:r>
        <w:separator/>
      </w:r>
    </w:p>
  </w:endnote>
  <w:endnote w:type="continuationSeparator" w:id="0">
    <w:p w14:paraId="5730287E" w14:textId="77777777" w:rsidR="00874F8F" w:rsidRDefault="0087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0DA503F0" w:rsidR="003C7025" w:rsidRDefault="000C12D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RM6315 Vehicle Telematics Solutions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D" w14:textId="2CE465A3" w:rsidR="003C7025" w:rsidRDefault="000C12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547C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E" w14:textId="77777777" w:rsidR="003C7025" w:rsidRDefault="000C12D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905"/>
      </w:tabs>
      <w:spacing w:after="0" w:line="240" w:lineRule="auto"/>
      <w:jc w:val="both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color w:val="BFBFBF"/>
      </w:rPr>
      <w:tab/>
    </w:r>
    <w:r>
      <w:rPr>
        <w:color w:val="BFBFBF"/>
      </w:rPr>
      <w:tab/>
    </w:r>
    <w:r>
      <w:rPr>
        <w:color w:val="BFBFBF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3C7025" w:rsidRDefault="000C12DA">
    <w:pPr>
      <w:tabs>
        <w:tab w:val="center" w:pos="4513"/>
        <w:tab w:val="right" w:pos="9026"/>
      </w:tabs>
      <w:spacing w:after="0"/>
    </w:pPr>
    <w:r>
      <w:t>Framework Ref: RM</w:t>
    </w:r>
    <w:r>
      <w:tab/>
      <w:t xml:space="preserve">                                           </w:t>
    </w:r>
  </w:p>
  <w:p w14:paraId="0000001A" w14:textId="77777777" w:rsidR="003C7025" w:rsidRDefault="000C12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B" w14:textId="77777777" w:rsidR="003C7025" w:rsidRDefault="000C12D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905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5991C" w14:textId="77777777" w:rsidR="00874F8F" w:rsidRDefault="00874F8F">
      <w:pPr>
        <w:spacing w:after="0" w:line="240" w:lineRule="auto"/>
      </w:pPr>
      <w:r>
        <w:separator/>
      </w:r>
    </w:p>
  </w:footnote>
  <w:footnote w:type="continuationSeparator" w:id="0">
    <w:p w14:paraId="0106247C" w14:textId="77777777" w:rsidR="00874F8F" w:rsidRDefault="0087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3C7025" w:rsidRDefault="000C12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3 (Framework Prices)</w:t>
    </w:r>
  </w:p>
  <w:p w14:paraId="00000018" w14:textId="77777777" w:rsidR="003C7025" w:rsidRDefault="000C12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3C7025" w:rsidRDefault="000C12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3 (Framework Prices)</w:t>
    </w:r>
  </w:p>
  <w:p w14:paraId="00000016" w14:textId="77777777" w:rsidR="003C7025" w:rsidRDefault="000C12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286A"/>
    <w:multiLevelType w:val="multilevel"/>
    <w:tmpl w:val="C1E4C2FA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990" w:hanging="72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3272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6A645B48"/>
    <w:multiLevelType w:val="multilevel"/>
    <w:tmpl w:val="56AEA356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5"/>
    <w:rsid w:val="000C12DA"/>
    <w:rsid w:val="003C7025"/>
    <w:rsid w:val="004946E1"/>
    <w:rsid w:val="008547C9"/>
    <w:rsid w:val="00874F8F"/>
    <w:rsid w:val="008A0CF6"/>
    <w:rsid w:val="00C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F0DE"/>
  <w15:docId w15:val="{D4F887EA-F3A5-40B5-87D9-AD4EAB55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left" w:pos="0"/>
      </w:tabs>
      <w:adjustRightInd w:val="0"/>
      <w:spacing w:before="240" w:after="240" w:line="240" w:lineRule="auto"/>
      <w:ind w:left="644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1985"/>
        <w:tab w:val="clear" w:pos="2127"/>
      </w:tabs>
      <w:ind w:left="2592" w:hanging="936"/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2Indent">
    <w:name w:val="GPS L2 Indent"/>
    <w:basedOn w:val="GPSL2numberedclause"/>
    <w:link w:val="GPSL2IndentChar"/>
    <w:qFormat/>
    <w:pPr>
      <w:numPr>
        <w:ilvl w:val="0"/>
        <w:numId w:val="0"/>
      </w:numPr>
      <w:tabs>
        <w:tab w:val="clear" w:pos="1134"/>
        <w:tab w:val="left" w:pos="709"/>
        <w:tab w:val="left" w:pos="2127"/>
      </w:tabs>
      <w:ind w:left="709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lang w:eastAsia="zh-CN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character" w:customStyle="1" w:styleId="GPSDefinitionL2Char">
    <w:name w:val="GPS Definition L2 Char"/>
    <w:link w:val="GPSDefinitionL2"/>
    <w:rPr>
      <w:rFonts w:ascii="Arial" w:eastAsia="Times New Roman" w:hAnsi="Arial" w:cs="Arial"/>
    </w:r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360"/>
      </w:tabs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360"/>
        <w:tab w:val="num" w:pos="2160"/>
      </w:tabs>
    </w:pPr>
  </w:style>
  <w:style w:type="paragraph" w:customStyle="1" w:styleId="GPSL2Guidance">
    <w:name w:val="GPS L2 Guidance"/>
    <w:basedOn w:val="GPSL2numberedclause"/>
    <w:link w:val="GPSL2GuidanceChar"/>
    <w:qFormat/>
    <w:pPr>
      <w:numPr>
        <w:ilvl w:val="0"/>
        <w:numId w:val="0"/>
      </w:numPr>
      <w:ind w:left="1134"/>
    </w:pPr>
    <w:rPr>
      <w:b/>
      <w:i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autoRedefine/>
    <w:rsid w:val="003C776E"/>
    <w:pPr>
      <w:tabs>
        <w:tab w:val="clear" w:pos="0"/>
        <w:tab w:val="left" w:pos="142"/>
      </w:tabs>
      <w:spacing w:before="120"/>
      <w:ind w:left="360"/>
      <w:outlineLvl w:val="9"/>
    </w:pPr>
    <w:rPr>
      <w:rFonts w:ascii="Arial" w:hAnsi="Arial"/>
      <w:caps w:val="0"/>
      <w:sz w:val="24"/>
    </w:rPr>
  </w:style>
  <w:style w:type="character" w:customStyle="1" w:styleId="GPSL1SCHEDULEHeadingChar">
    <w:name w:val="GPS L1 SCHEDULE Heading Char"/>
    <w:link w:val="GPSL1SCHEDULEHeading"/>
    <w:rsid w:val="003C776E"/>
    <w:rPr>
      <w:rFonts w:ascii="Arial" w:eastAsia="STZhongsong" w:hAnsi="Arial" w:cs="Arial"/>
      <w:b/>
      <w:sz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SchAnnexname">
    <w:name w:val="GPS Sch Annex name"/>
    <w:basedOn w:val="Normal"/>
    <w:link w:val="GPSSchAnnexnameChar"/>
    <w:qFormat/>
    <w:pPr>
      <w:keepNext/>
      <w:adjustRightInd w:val="0"/>
      <w:spacing w:after="240" w:line="240" w:lineRule="auto"/>
      <w:jc w:val="center"/>
      <w:outlineLvl w:val="1"/>
    </w:pPr>
    <w:rPr>
      <w:rFonts w:eastAsia="STZhongsong" w:cs="Times New Roman"/>
      <w:b/>
      <w:caps/>
      <w:sz w:val="20"/>
      <w:lang w:eastAsia="zh-CN"/>
    </w:r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character" w:customStyle="1" w:styleId="Heading6Char5">
    <w:name w:val="Heading 6 Char5"/>
    <w:aliases w:val="Heading 6 (Do Not Use) Char5,Heading 6(unused) Char5,Legal Level 1. Char5,L1 PIP Char5,Heading 6  Appendix Y &amp; Z Char5,Lev 6 Char5,H6 DO NOT USE Char5,Bullet list Char5,PA Appendix Char5,H6 Char5,H61 Char5,PR14 Char5,bullet2 Char5,h6 Ch4"/>
    <w:uiPriority w:val="99"/>
    <w:semiHidden/>
    <w:locked/>
    <w:rPr>
      <w:rFonts w:ascii="Calibri" w:hAnsi="Calibri"/>
      <w:b/>
      <w:lang w:val="x-none" w:eastAsia="en-GB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adjustRightInd w:val="0"/>
      <w:spacing w:before="120" w:after="120" w:line="240" w:lineRule="auto"/>
      <w:ind w:left="644" w:hanging="218"/>
      <w:jc w:val="both"/>
    </w:pPr>
    <w:rPr>
      <w:rFonts w:eastAsia="Times New Roman" w:cs="Arial"/>
      <w:b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eastAsia="Times New Roman" w:cs="Arial"/>
      <w:b/>
      <w:i/>
    </w:rPr>
  </w:style>
  <w:style w:type="paragraph" w:customStyle="1" w:styleId="GPSL2GuidanceNumbered">
    <w:name w:val="GPS L2 Guidance Numbered"/>
    <w:basedOn w:val="Normal"/>
    <w:link w:val="GPSL2GuidanceNumberedChar"/>
    <w:qFormat/>
    <w:pPr>
      <w:tabs>
        <w:tab w:val="num" w:pos="720"/>
        <w:tab w:val="left" w:pos="1418"/>
      </w:tabs>
      <w:adjustRightInd w:val="0"/>
      <w:spacing w:before="120" w:after="120" w:line="240" w:lineRule="auto"/>
      <w:ind w:left="720" w:hanging="720"/>
      <w:jc w:val="both"/>
    </w:pPr>
    <w:rPr>
      <w:rFonts w:eastAsia="Times New Roman" w:cs="Arial"/>
      <w:b/>
      <w:i/>
      <w:lang w:eastAsia="zh-CN"/>
    </w:rPr>
  </w:style>
  <w:style w:type="paragraph" w:customStyle="1" w:styleId="GPSL3Guidance">
    <w:name w:val="GPS L3 Guidance"/>
    <w:basedOn w:val="GPSL3numberedclause"/>
    <w:link w:val="GPSL3GuidanceChar"/>
    <w:qFormat/>
    <w:pPr>
      <w:numPr>
        <w:ilvl w:val="0"/>
        <w:numId w:val="0"/>
      </w:numPr>
      <w:tabs>
        <w:tab w:val="clear" w:pos="2127"/>
      </w:tabs>
      <w:ind w:left="1985"/>
    </w:pPr>
    <w:rPr>
      <w:b/>
      <w:i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Arial"/>
      <w:color w:val="FFFFFF"/>
      <w:sz w:val="16"/>
      <w:szCs w:val="16"/>
    </w:rPr>
  </w:style>
  <w:style w:type="paragraph" w:customStyle="1" w:styleId="GPSSchPart">
    <w:name w:val="GPS Sch Part"/>
    <w:basedOn w:val="GPSSchAnnexname"/>
    <w:link w:val="GPSSchPartChar"/>
    <w:qFormat/>
    <w:pPr>
      <w:spacing w:before="240"/>
      <w:ind w:firstLine="426"/>
      <w:outlineLvl w:val="9"/>
    </w:pPr>
    <w:rPr>
      <w:rFonts w:ascii="Arial Bold" w:hAnsi="Arial Bold"/>
      <w:sz w:val="22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left="936" w:hanging="576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4Guidance">
    <w:name w:val="GPS L4 Guidance"/>
    <w:basedOn w:val="GPSL3Guidance"/>
    <w:link w:val="GPSL4GuidanceChar"/>
    <w:qFormat/>
  </w:style>
  <w:style w:type="character" w:customStyle="1" w:styleId="GPSL4GuidanceChar">
    <w:name w:val="GPS L4 Guidance Char"/>
    <w:link w:val="GPSL4Guidance"/>
    <w:locked/>
    <w:rPr>
      <w:rFonts w:ascii="Calibri" w:eastAsia="Times New Roman" w:hAnsi="Calibri" w:cs="Arial"/>
      <w:b/>
      <w:i/>
      <w:lang w:eastAsia="zh-CN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2GuidanceNumberedChar">
    <w:name w:val="GPS L2 Guidance Numbered Char"/>
    <w:link w:val="GPSL2GuidanceNumbered"/>
    <w:rPr>
      <w:rFonts w:eastAsia="Times New Roman" w:cs="Arial"/>
      <w:b/>
      <w:i/>
      <w:lang w:eastAsia="zh-CN"/>
    </w:rPr>
  </w:style>
  <w:style w:type="character" w:customStyle="1" w:styleId="GPSL3GuidanceChar">
    <w:name w:val="GPS L3 Guidance Char"/>
    <w:link w:val="GPSL3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GPSL2NumberedBoldHeadingChar">
    <w:name w:val="GPS L2 Numbered Bold Heading Char"/>
    <w:link w:val="GPSL2NumberedBoldHeading"/>
    <w:locked/>
    <w:rsid w:val="0057789E"/>
    <w:rPr>
      <w:rFonts w:ascii="Calibri" w:eastAsia="Times New Roman" w:hAnsi="Calibri" w:cs="Arial"/>
      <w:b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7Aj79v/nPifXmYGvEZslpUmSA==">CgMxLjAyCGguZ2pkZ3hzMgloLjMwajB6bGwyCmlkLjN6bnlzaDcyCWguMWZvYjl0ZTIJaC4xdDNoNXNmOABqJAoUc3VnZ2VzdC51M2xyMW1oOXV3ZGISDFNhcmFoIE1vcnJpc2okChRzdWdnZXN0LmZsNzk3cGFxbGU0YRIMU2FyYWggTW9ycmlzaiQKFHN1Z2dlc3Qud2UybzJndDd4dHJ0EgxTYXJhaCBNb3JyaXNqJAoUc3VnZ2VzdC5zMjk1YTRyYmVtNWwSDFNhcmFoIE1vcnJpc2okChRzdWdnZXN0LnBzb29pYmdzcTR1YxIMU2FyYWggTW9ycmlzciExeTV3cmw2UmJmOGE5cGpYLW05djN1QzFuMHlfWENvY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1222</Characters>
  <Application>Microsoft Office Word</Application>
  <DocSecurity>0</DocSecurity>
  <Lines>10</Lines>
  <Paragraphs>2</Paragraphs>
  <ScaleCrop>false</ScaleCrop>
  <Company>Cabinet Office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Janine Cato</cp:lastModifiedBy>
  <cp:revision>4</cp:revision>
  <dcterms:created xsi:type="dcterms:W3CDTF">2018-06-14T15:09:00Z</dcterms:created>
  <dcterms:modified xsi:type="dcterms:W3CDTF">2024-03-26T15:51:00Z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