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E3A" w:rsidRDefault="00DB128A">
      <w:pPr>
        <w:rPr>
          <w:rFonts w:ascii="Arial" w:eastAsia="Arial" w:hAnsi="Arial" w:cs="Arial"/>
          <w:b/>
          <w:sz w:val="36"/>
          <w:szCs w:val="36"/>
        </w:rPr>
      </w:pPr>
      <w:bookmarkStart w:id="0" w:name="_gjdgxs" w:colFirst="0" w:colLast="0"/>
      <w:bookmarkEnd w:id="0"/>
      <w:r>
        <w:rPr>
          <w:rFonts w:ascii="Arial" w:eastAsia="Arial" w:hAnsi="Arial" w:cs="Arial"/>
          <w:b/>
          <w:sz w:val="36"/>
          <w:szCs w:val="36"/>
        </w:rPr>
        <w:t>Joint Schedule 1 (Definitions)</w:t>
      </w:r>
    </w:p>
    <w:p w:rsidR="00FA5E3A" w:rsidRDefault="00DB128A" w:rsidP="00E02E76">
      <w:pPr>
        <w:numPr>
          <w:ilvl w:val="1"/>
          <w:numId w:val="6"/>
        </w:numPr>
        <w:pBdr>
          <w:top w:val="nil"/>
          <w:left w:val="nil"/>
          <w:bottom w:val="nil"/>
          <w:right w:val="nil"/>
          <w:between w:val="nil"/>
        </w:pBdr>
        <w:tabs>
          <w:tab w:val="left" w:pos="1134"/>
          <w:tab w:val="left" w:pos="567"/>
        </w:tabs>
        <w:spacing w:before="120" w:after="240" w:line="240" w:lineRule="auto"/>
        <w:ind w:left="1145" w:hanging="720"/>
        <w:jc w:val="both"/>
      </w:pPr>
      <w:r>
        <w:rPr>
          <w:rFonts w:ascii="Arial" w:eastAsia="Arial" w:hAnsi="Arial" w:cs="Arial"/>
          <w:color w:val="000000"/>
          <w:sz w:val="24"/>
          <w:szCs w:val="24"/>
        </w:rPr>
        <w:t xml:space="preserve">In </w:t>
      </w:r>
      <w:bookmarkStart w:id="1" w:name="30j0zll"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FA5E3A" w:rsidRPr="00E02E76" w:rsidRDefault="00DB128A" w:rsidP="00E02E76">
      <w:pPr>
        <w:numPr>
          <w:ilvl w:val="1"/>
          <w:numId w:val="6"/>
        </w:numPr>
        <w:pBdr>
          <w:top w:val="nil"/>
          <w:left w:val="nil"/>
          <w:bottom w:val="nil"/>
          <w:right w:val="nil"/>
          <w:between w:val="nil"/>
        </w:pBdr>
        <w:tabs>
          <w:tab w:val="left" w:pos="1134"/>
          <w:tab w:val="left" w:pos="567"/>
        </w:tabs>
        <w:spacing w:before="120" w:after="240" w:line="240" w:lineRule="auto"/>
        <w:ind w:left="1145" w:hanging="720"/>
        <w:jc w:val="both"/>
        <w:rPr>
          <w:rFonts w:ascii="Arial" w:eastAsia="Arial" w:hAnsi="Arial" w:cs="Arial"/>
          <w:color w:val="000000"/>
          <w:sz w:val="24"/>
          <w:szCs w:val="24"/>
        </w:rPr>
      </w:pPr>
      <w:bookmarkStart w:id="2" w:name="_1fob9te"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rsidR="00FA5E3A" w:rsidRPr="00E02E76" w:rsidRDefault="00DB128A" w:rsidP="00E02E76">
      <w:pPr>
        <w:numPr>
          <w:ilvl w:val="1"/>
          <w:numId w:val="6"/>
        </w:numPr>
        <w:pBdr>
          <w:top w:val="nil"/>
          <w:left w:val="nil"/>
          <w:bottom w:val="nil"/>
          <w:right w:val="nil"/>
          <w:between w:val="nil"/>
        </w:pBdr>
        <w:tabs>
          <w:tab w:val="left" w:pos="1134"/>
          <w:tab w:val="left" w:pos="567"/>
        </w:tabs>
        <w:spacing w:before="120" w:after="240" w:line="240" w:lineRule="auto"/>
        <w:ind w:left="1145" w:hanging="720"/>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rsidR="00FA5E3A" w:rsidRPr="00B5039F"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rsidR="00FA5E3A" w:rsidRPr="00B5039F"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lastRenderedPageBreak/>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references to a series of Clauses or Paragraphs shall be inclusive of the clause numbers specified;</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bookmarkStart w:id="3" w:name="_3znysh7" w:colFirst="0" w:colLast="0"/>
      <w:bookmarkEnd w:id="3"/>
      <w:r>
        <w:rPr>
          <w:rFonts w:ascii="Arial" w:eastAsia="Arial" w:hAnsi="Arial" w:cs="Arial"/>
          <w:color w:val="000000"/>
          <w:sz w:val="24"/>
          <w:szCs w:val="24"/>
        </w:rPr>
        <w:t xml:space="preserve">the headings in each Contract are for ease of reference only and shall not affect the interpretation or construction of a Contract; </w:t>
      </w:r>
    </w:p>
    <w:p w:rsidR="00FA5E3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sz w:val="24"/>
          <w:szCs w:val="24"/>
        </w:rPr>
      </w:pPr>
      <w:r>
        <w:rPr>
          <w:rFonts w:ascii="Arial" w:eastAsia="Arial" w:hAnsi="Arial" w:cs="Arial"/>
          <w:color w:val="000000"/>
          <w:sz w:val="24"/>
          <w:szCs w:val="24"/>
        </w:rPr>
        <w:t>where the Buyer is a Central Government Body it shall be treated as contracting with the Crown as a whole;</w:t>
      </w:r>
    </w:p>
    <w:p w:rsidR="00FA5E3A" w:rsidRPr="00DB128A" w:rsidRDefault="00DB128A" w:rsidP="00E02E76">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color w:val="000000"/>
          <w:sz w:val="24"/>
          <w:szCs w:val="24"/>
        </w:rPr>
      </w:pPr>
      <w:r>
        <w:rPr>
          <w:rFonts w:ascii="Arial" w:eastAsia="Arial" w:hAnsi="Arial" w:cs="Arial"/>
          <w:color w:val="000000"/>
          <w:sz w:val="24"/>
          <w:szCs w:val="24"/>
        </w:rPr>
        <w:t>any reference in a Contract which immediately before Exit Day was a reference to (as it has effect from time to time):</w:t>
      </w:r>
    </w:p>
    <w:p w:rsidR="00FA5E3A" w:rsidRDefault="00DB128A" w:rsidP="00E02E76">
      <w:pPr>
        <w:numPr>
          <w:ilvl w:val="3"/>
          <w:numId w:val="6"/>
        </w:numPr>
        <w:pBdr>
          <w:top w:val="nil"/>
          <w:left w:val="nil"/>
          <w:bottom w:val="nil"/>
          <w:right w:val="nil"/>
          <w:between w:val="nil"/>
        </w:pBdr>
        <w:tabs>
          <w:tab w:val="left" w:pos="1985"/>
          <w:tab w:val="left" w:pos="2127"/>
        </w:tabs>
        <w:spacing w:before="120" w:after="240" w:line="240" w:lineRule="auto"/>
        <w:ind w:left="2552" w:hanging="567"/>
        <w:jc w:val="both"/>
        <w:rPr>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rsidR="00FA5E3A" w:rsidRPr="00E02E76" w:rsidRDefault="00DB128A" w:rsidP="00E02E76">
      <w:pPr>
        <w:numPr>
          <w:ilvl w:val="3"/>
          <w:numId w:val="6"/>
        </w:numPr>
        <w:pBdr>
          <w:top w:val="nil"/>
          <w:left w:val="nil"/>
          <w:bottom w:val="nil"/>
          <w:right w:val="nil"/>
          <w:between w:val="nil"/>
        </w:pBdr>
        <w:tabs>
          <w:tab w:val="left" w:pos="1985"/>
          <w:tab w:val="left" w:pos="2127"/>
        </w:tabs>
        <w:spacing w:before="120" w:after="240" w:line="240" w:lineRule="auto"/>
        <w:ind w:left="2552" w:hanging="567"/>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rsidR="00FA5E3A" w:rsidRPr="00DB128A" w:rsidRDefault="00DB128A" w:rsidP="006E2E45">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sidRPr="00DB128A">
        <w:rPr>
          <w:rFonts w:ascii="Arial" w:eastAsia="Arial" w:hAnsi="Arial" w:cs="Arial"/>
          <w:color w:val="000000"/>
          <w:sz w:val="24"/>
          <w:szCs w:val="24"/>
        </w:rPr>
        <w:t>Buyer</w:t>
      </w:r>
      <w:r>
        <w:rPr>
          <w:rFonts w:ascii="Arial" w:eastAsia="Arial" w:hAnsi="Arial" w:cs="Arial"/>
          <w:color w:val="000000"/>
          <w:sz w:val="24"/>
          <w:szCs w:val="24"/>
        </w:rPr>
        <w:t>” shall be construed as including Exempt B</w:t>
      </w:r>
      <w:bookmarkStart w:id="4" w:name="_GoBack"/>
      <w:bookmarkEnd w:id="4"/>
      <w:r>
        <w:rPr>
          <w:rFonts w:ascii="Arial" w:eastAsia="Arial" w:hAnsi="Arial" w:cs="Arial"/>
          <w:color w:val="000000"/>
          <w:sz w:val="24"/>
          <w:szCs w:val="24"/>
        </w:rPr>
        <w:t>uyers; and</w:t>
      </w:r>
    </w:p>
    <w:p w:rsidR="00FA5E3A" w:rsidRPr="00DB128A" w:rsidRDefault="00DB128A" w:rsidP="006E2E45">
      <w:pPr>
        <w:numPr>
          <w:ilvl w:val="2"/>
          <w:numId w:val="6"/>
        </w:numPr>
        <w:pBdr>
          <w:top w:val="nil"/>
          <w:left w:val="nil"/>
          <w:bottom w:val="nil"/>
          <w:right w:val="nil"/>
          <w:between w:val="nil"/>
        </w:pBdr>
        <w:tabs>
          <w:tab w:val="left" w:pos="1985"/>
          <w:tab w:val="left" w:pos="2127"/>
        </w:tabs>
        <w:spacing w:before="120" w:after="240" w:line="240" w:lineRule="auto"/>
        <w:ind w:left="1967"/>
        <w:jc w:val="both"/>
        <w:rPr>
          <w:rFonts w:ascii="Arial" w:eastAsia="Arial" w:hAnsi="Arial" w:cs="Arial"/>
          <w:color w:val="000000"/>
          <w:sz w:val="24"/>
          <w:szCs w:val="24"/>
        </w:rPr>
      </w:pPr>
      <w:proofErr w:type="gramStart"/>
      <w:r>
        <w:rPr>
          <w:rFonts w:ascii="Arial" w:eastAsia="Arial" w:hAnsi="Arial" w:cs="Arial"/>
          <w:color w:val="000000"/>
          <w:sz w:val="24"/>
          <w:szCs w:val="24"/>
        </w:rPr>
        <w:t>unless</w:t>
      </w:r>
      <w:proofErr w:type="gramEnd"/>
      <w:r>
        <w:rPr>
          <w:rFonts w:ascii="Arial" w:eastAsia="Arial" w:hAnsi="Arial" w:cs="Arial"/>
          <w:color w:val="000000"/>
          <w:sz w:val="24"/>
          <w:szCs w:val="24"/>
        </w:rPr>
        <w:t xml:space="preserve"> otherwise provided, references to “</w:t>
      </w:r>
      <w:r w:rsidRPr="00DB128A">
        <w:rPr>
          <w:rFonts w:ascii="Arial" w:eastAsia="Arial" w:hAnsi="Arial" w:cs="Arial"/>
          <w:color w:val="000000"/>
          <w:sz w:val="24"/>
          <w:szCs w:val="24"/>
        </w:rPr>
        <w:t>Call-Off Contract</w:t>
      </w:r>
      <w:r>
        <w:rPr>
          <w:rFonts w:ascii="Arial" w:eastAsia="Arial" w:hAnsi="Arial" w:cs="Arial"/>
          <w:color w:val="000000"/>
          <w:sz w:val="24"/>
          <w:szCs w:val="24"/>
        </w:rPr>
        <w:t>” and “</w:t>
      </w:r>
      <w:r w:rsidRPr="00DB128A">
        <w:rPr>
          <w:rFonts w:ascii="Arial" w:eastAsia="Arial" w:hAnsi="Arial" w:cs="Arial"/>
          <w:color w:val="000000"/>
          <w:sz w:val="24"/>
          <w:szCs w:val="24"/>
        </w:rPr>
        <w:t>Contract</w:t>
      </w:r>
      <w:r>
        <w:rPr>
          <w:rFonts w:ascii="Arial" w:eastAsia="Arial" w:hAnsi="Arial" w:cs="Arial"/>
          <w:color w:val="000000"/>
          <w:sz w:val="24"/>
          <w:szCs w:val="24"/>
        </w:rPr>
        <w:t>” shall be construed as including Exempt Call-off Contracts.</w:t>
      </w:r>
    </w:p>
    <w:p w:rsidR="00FA5E3A" w:rsidRPr="00DB128A" w:rsidRDefault="00DB128A" w:rsidP="00E02E76">
      <w:pPr>
        <w:numPr>
          <w:ilvl w:val="1"/>
          <w:numId w:val="6"/>
        </w:numPr>
        <w:pBdr>
          <w:top w:val="nil"/>
          <w:left w:val="nil"/>
          <w:bottom w:val="nil"/>
          <w:right w:val="nil"/>
          <w:between w:val="nil"/>
        </w:pBdr>
        <w:tabs>
          <w:tab w:val="left" w:pos="567"/>
          <w:tab w:val="left" w:pos="1134"/>
        </w:tabs>
        <w:spacing w:before="120" w:after="240" w:line="240" w:lineRule="auto"/>
        <w:ind w:left="1145" w:hanging="720"/>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tbl>
      <w:tblPr>
        <w:tblStyle w:val="a"/>
        <w:tblW w:w="1024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7"/>
        <w:gridCol w:w="7958"/>
      </w:tblGrid>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bookmarkStart w:id="5" w:name="_2et92p0" w:colFirst="0" w:colLast="0"/>
            <w:bookmarkEnd w:id="5"/>
            <w:r>
              <w:rPr>
                <w:rFonts w:ascii="Arial" w:eastAsia="Arial" w:hAnsi="Arial" w:cs="Arial"/>
                <w:b/>
                <w:color w:val="000000"/>
                <w:sz w:val="24"/>
                <w:szCs w:val="24"/>
              </w:rPr>
              <w:t>"Achieve"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"Admin Fee”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means the costs incurred by CCS in dealing with MI Failures calculated in accordance with the tariff of administration charges published by the </w:t>
            </w:r>
            <w:r>
              <w:rPr>
                <w:rFonts w:ascii="Arial" w:eastAsia="Arial" w:hAnsi="Arial" w:cs="Arial"/>
                <w:color w:val="000000"/>
                <w:sz w:val="24"/>
                <w:szCs w:val="24"/>
              </w:rPr>
              <w:lastRenderedPageBreak/>
              <w:t>CCS on: http://CCS.cabinetoffice.gov.uk/i-am-supplier/management-information/admin-fees;</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"Affected Party"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"Affiliates"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“Annex”</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"Approval"</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“Associates”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"Audit"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verify the Open Book Data;</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Contract and applicable Law;</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review any books of account and the internal contract management accounts kept by the Supplier in connection with each Contract;</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 xml:space="preserve">enable the National Audit Office to carry out an examination pursuant to Section 6(1) of the National Audit Act 1983 of the economy, </w:t>
            </w:r>
            <w:r>
              <w:rPr>
                <w:rFonts w:ascii="Arial" w:eastAsia="Arial" w:hAnsi="Arial" w:cs="Arial"/>
                <w:color w:val="000000"/>
                <w:sz w:val="24"/>
                <w:szCs w:val="24"/>
              </w:rPr>
              <w:lastRenderedPageBreak/>
              <w:t>efficiency and effectiveness with which the Relevant Authority has used its resources; or</w:t>
            </w:r>
          </w:p>
          <w:p w:rsidR="00FA5E3A" w:rsidRDefault="00DB128A">
            <w:pPr>
              <w:numPr>
                <w:ilvl w:val="0"/>
                <w:numId w:val="8"/>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verify the accuracy and completeness of any Management Information delivered or required by the Framework Contract;</w:t>
            </w:r>
          </w:p>
        </w:tc>
      </w:tr>
      <w:tr w:rsidR="00FA5E3A" w:rsidTr="00DB128A">
        <w:tc>
          <w:tcPr>
            <w:tcW w:w="2287" w:type="dxa"/>
          </w:tcPr>
          <w:p w:rsidR="00FA5E3A" w:rsidRDefault="00DB128A">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958" w:type="dxa"/>
          </w:tcPr>
          <w:p w:rsidR="00FA5E3A" w:rsidRDefault="00DB128A">
            <w:pPr>
              <w:numPr>
                <w:ilvl w:val="0"/>
                <w:numId w:val="3"/>
              </w:numPr>
              <w:pBdr>
                <w:top w:val="nil"/>
                <w:left w:val="nil"/>
                <w:bottom w:val="nil"/>
                <w:right w:val="nil"/>
                <w:between w:val="nil"/>
              </w:pBdr>
              <w:tabs>
                <w:tab w:val="left" w:pos="-179"/>
                <w:tab w:val="left" w:pos="-9"/>
              </w:tabs>
              <w:spacing w:after="120"/>
              <w:ind w:left="501" w:right="214" w:hanging="331"/>
              <w:jc w:val="both"/>
              <w:rPr>
                <w:rFonts w:ascii="Arial" w:eastAsia="Arial" w:hAnsi="Arial" w:cs="Arial"/>
                <w:color w:val="000000"/>
              </w:rPr>
            </w:pPr>
            <w:r>
              <w:rPr>
                <w:rFonts w:ascii="Arial" w:eastAsia="Arial" w:hAnsi="Arial" w:cs="Arial"/>
                <w:color w:val="000000"/>
                <w:sz w:val="24"/>
                <w:szCs w:val="24"/>
              </w:rPr>
              <w:t>the Relevant Authority’s internal and external auditors;</w:t>
            </w:r>
          </w:p>
          <w:p w:rsidR="00FA5E3A" w:rsidRDefault="00DB128A">
            <w:pPr>
              <w:numPr>
                <w:ilvl w:val="0"/>
                <w:numId w:val="3"/>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the Relevant Authority’s statutory or regulatory auditors;</w:t>
            </w:r>
          </w:p>
          <w:p w:rsidR="00FA5E3A" w:rsidRDefault="00DB128A">
            <w:pPr>
              <w:numPr>
                <w:ilvl w:val="0"/>
                <w:numId w:val="3"/>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rsidR="00FA5E3A" w:rsidRDefault="00DB128A">
            <w:pPr>
              <w:numPr>
                <w:ilvl w:val="0"/>
                <w:numId w:val="3"/>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HM Treasury or the Cabinet Office;</w:t>
            </w:r>
          </w:p>
          <w:p w:rsidR="00FA5E3A" w:rsidRDefault="00DB128A">
            <w:pPr>
              <w:numPr>
                <w:ilvl w:val="0"/>
                <w:numId w:val="3"/>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any party formally appointed by the Relevant Authority to carry out audit or similar review functions; and</w:t>
            </w:r>
          </w:p>
          <w:p w:rsidR="00FA5E3A" w:rsidRDefault="00DB128A">
            <w:pPr>
              <w:numPr>
                <w:ilvl w:val="0"/>
                <w:numId w:val="3"/>
              </w:numPr>
              <w:pBdr>
                <w:top w:val="nil"/>
                <w:left w:val="nil"/>
                <w:bottom w:val="nil"/>
                <w:right w:val="nil"/>
                <w:between w:val="nil"/>
              </w:pBdr>
              <w:tabs>
                <w:tab w:val="left" w:pos="-179"/>
                <w:tab w:val="left" w:pos="-9"/>
              </w:tabs>
              <w:spacing w:after="120"/>
              <w:ind w:left="461" w:right="214"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FA5E3A" w:rsidTr="00DB128A">
        <w:trPr>
          <w:trHeight w:val="601"/>
        </w:trPr>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"Authority"</w:t>
            </w:r>
          </w:p>
        </w:tc>
        <w:tc>
          <w:tcPr>
            <w:tcW w:w="7958" w:type="dxa"/>
          </w:tcPr>
          <w:p w:rsidR="00FA5E3A" w:rsidRDefault="00DB128A">
            <w:pPr>
              <w:ind w:right="214"/>
              <w:rPr>
                <w:rFonts w:ascii="Arial" w:eastAsia="Arial" w:hAnsi="Arial" w:cs="Arial"/>
                <w:sz w:val="24"/>
                <w:szCs w:val="24"/>
              </w:rPr>
            </w:pPr>
            <w:r>
              <w:rPr>
                <w:rFonts w:ascii="Arial" w:eastAsia="Arial" w:hAnsi="Arial" w:cs="Arial"/>
                <w:sz w:val="24"/>
                <w:szCs w:val="24"/>
              </w:rPr>
              <w:t xml:space="preserve">   CCS and each Buyer;</w:t>
            </w:r>
          </w:p>
        </w:tc>
      </w:tr>
      <w:tr w:rsidR="00FA5E3A" w:rsidTr="00DB128A">
        <w:tc>
          <w:tcPr>
            <w:tcW w:w="2287" w:type="dxa"/>
          </w:tcPr>
          <w:p w:rsidR="00FA5E3A" w:rsidRDefault="00DB128A">
            <w:pPr>
              <w:pBdr>
                <w:top w:val="nil"/>
                <w:left w:val="nil"/>
                <w:bottom w:val="nil"/>
                <w:right w:val="nil"/>
                <w:between w:val="nil"/>
              </w:pBdr>
              <w:ind w:left="141" w:right="85"/>
              <w:rPr>
                <w:rFonts w:ascii="Arial" w:eastAsia="Arial" w:hAnsi="Arial" w:cs="Arial"/>
                <w:b/>
                <w:color w:val="000000"/>
                <w:sz w:val="24"/>
                <w:szCs w:val="24"/>
              </w:rPr>
            </w:pPr>
            <w:r>
              <w:rPr>
                <w:rFonts w:ascii="Arial" w:eastAsia="Arial" w:hAnsi="Arial" w:cs="Arial"/>
                <w:b/>
                <w:color w:val="000000"/>
                <w:sz w:val="24"/>
                <w:szCs w:val="24"/>
              </w:rPr>
              <w:t>"Authority Cause"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"BACS"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"Beneficiary"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sz w:val="24"/>
                <w:szCs w:val="24"/>
              </w:rPr>
              <w:t>"Business Continuity Plan"</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sz w:val="24"/>
                <w:szCs w:val="24"/>
              </w:rPr>
              <w:t>has the meaning given to it in Paragraph 1.3.2 of Call-Off Schedule 8;</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"Buyer"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FA5E3A" w:rsidTr="00DB128A">
        <w:tc>
          <w:tcPr>
            <w:tcW w:w="2287" w:type="dxa"/>
          </w:tcPr>
          <w:p w:rsidR="00FA5E3A" w:rsidRDefault="00DB128A">
            <w:pPr>
              <w:keepNext/>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"Buyer Assets"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"Buyer Premises"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lastRenderedPageBreak/>
              <w:t>"Call-Off Contract Period"</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"Call-Off Tender"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"CCS"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FA5E3A" w:rsidTr="00DB128A">
        <w:tc>
          <w:tcPr>
            <w:tcW w:w="2287" w:type="dxa"/>
          </w:tcPr>
          <w:p w:rsidR="00FA5E3A" w:rsidRDefault="00DB128A">
            <w:pPr>
              <w:keepNext/>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FA5E3A" w:rsidRDefault="00DB128A" w:rsidP="005B7738">
            <w:pPr>
              <w:numPr>
                <w:ilvl w:val="1"/>
                <w:numId w:val="1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Government Department;</w:t>
            </w:r>
          </w:p>
          <w:p w:rsidR="00FA5E3A" w:rsidRDefault="00DB128A" w:rsidP="005B7738">
            <w:pPr>
              <w:numPr>
                <w:ilvl w:val="1"/>
                <w:numId w:val="1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Non-Departmental Public Body or Assembly Sponsored Public Body (advisory, executive, or tribunal);</w:t>
            </w:r>
          </w:p>
          <w:p w:rsidR="00FA5E3A" w:rsidRDefault="00DB128A" w:rsidP="005B7738">
            <w:pPr>
              <w:numPr>
                <w:ilvl w:val="1"/>
                <w:numId w:val="1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Non-Ministerial Department; or</w:t>
            </w:r>
          </w:p>
          <w:p w:rsidR="00FA5E3A" w:rsidRDefault="00DB128A" w:rsidP="005B7738">
            <w:pPr>
              <w:numPr>
                <w:ilvl w:val="1"/>
                <w:numId w:val="1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Executive Agency;</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"Change in Law"</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lastRenderedPageBreak/>
              <w:t>"Charges"</w:t>
            </w:r>
          </w:p>
        </w:tc>
        <w:tc>
          <w:tcPr>
            <w:tcW w:w="7958" w:type="dxa"/>
          </w:tcPr>
          <w:p w:rsidR="00FA5E3A" w:rsidRDefault="00DB128A">
            <w:pPr>
              <w:pBdr>
                <w:top w:val="nil"/>
                <w:left w:val="nil"/>
                <w:bottom w:val="nil"/>
                <w:right w:val="nil"/>
                <w:between w:val="nil"/>
              </w:pBdr>
              <w:tabs>
                <w:tab w:val="left" w:pos="-179"/>
                <w:tab w:val="left" w:pos="-9"/>
              </w:tabs>
              <w:spacing w:after="120"/>
              <w:ind w:left="144" w:right="21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"Claim"</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FA5E3A" w:rsidTr="00DB128A">
        <w:tc>
          <w:tcPr>
            <w:tcW w:w="2287" w:type="dxa"/>
          </w:tcPr>
          <w:p w:rsidR="00FA5E3A" w:rsidRDefault="00DB128A">
            <w:pPr>
              <w:keepNext/>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"Conflict of Interest"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"Contract"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"Contract Period"</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applicable Start Date; or</w:t>
            </w:r>
          </w:p>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b) the Effective Date</w:t>
            </w:r>
          </w:p>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"Contract Value"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"Contract Year"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"Control"</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“Controller”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lastRenderedPageBreak/>
              <w:t>“Core Terms”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"Costs"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base salary paid to the Supplier Staff;</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employer’s National Insurance contributions;</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pension contributions;</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 xml:space="preserve">car allowances; </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any other contractual employment benefits;</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staff training;</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work place accommodation;</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work place IT equipment and tools reasonably necessary to provide the Deliverables (but not including items included within limb (b) below); and</w:t>
            </w:r>
          </w:p>
          <w:p w:rsidR="00FA5E3A" w:rsidRDefault="00DB128A" w:rsidP="005B7738">
            <w:pPr>
              <w:numPr>
                <w:ilvl w:val="2"/>
                <w:numId w:val="20"/>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 xml:space="preserve">reasonable recruitment costs, as agreed with the Buyer; </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FA5E3A" w:rsidRDefault="00DB128A">
            <w:pPr>
              <w:pBdr>
                <w:top w:val="nil"/>
                <w:left w:val="nil"/>
                <w:bottom w:val="nil"/>
                <w:right w:val="nil"/>
                <w:between w:val="nil"/>
              </w:pBdr>
              <w:tabs>
                <w:tab w:val="left" w:pos="-179"/>
                <w:tab w:val="left" w:pos="411"/>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b/>
              <w:t>but excluding:</w:t>
            </w:r>
          </w:p>
          <w:p w:rsidR="00FA5E3A" w:rsidRDefault="00DB128A">
            <w:pPr>
              <w:numPr>
                <w:ilvl w:val="1"/>
                <w:numId w:val="20"/>
              </w:numPr>
              <w:pBdr>
                <w:top w:val="nil"/>
                <w:left w:val="nil"/>
                <w:bottom w:val="nil"/>
                <w:right w:val="nil"/>
                <w:between w:val="nil"/>
              </w:pBdr>
              <w:tabs>
                <w:tab w:val="left" w:pos="-576"/>
                <w:tab w:val="left" w:pos="144"/>
              </w:tabs>
              <w:spacing w:after="120"/>
              <w:ind w:left="576" w:right="214" w:hanging="432"/>
              <w:jc w:val="both"/>
              <w:rPr>
                <w:sz w:val="24"/>
                <w:szCs w:val="24"/>
              </w:rPr>
            </w:pPr>
            <w:r>
              <w:rPr>
                <w:rFonts w:ascii="Arial" w:eastAsia="Arial" w:hAnsi="Arial" w:cs="Arial"/>
                <w:color w:val="000000"/>
                <w:sz w:val="24"/>
                <w:szCs w:val="24"/>
              </w:rPr>
              <w:t>Overhead;</w:t>
            </w:r>
          </w:p>
          <w:p w:rsidR="00FA5E3A" w:rsidRDefault="00DB128A">
            <w:pPr>
              <w:numPr>
                <w:ilvl w:val="1"/>
                <w:numId w:val="20"/>
              </w:numPr>
              <w:pBdr>
                <w:top w:val="nil"/>
                <w:left w:val="nil"/>
                <w:bottom w:val="nil"/>
                <w:right w:val="nil"/>
                <w:between w:val="nil"/>
              </w:pBdr>
              <w:tabs>
                <w:tab w:val="left" w:pos="-576"/>
                <w:tab w:val="left" w:pos="144"/>
              </w:tabs>
              <w:spacing w:after="120"/>
              <w:ind w:left="576" w:right="214" w:hanging="432"/>
              <w:jc w:val="both"/>
              <w:rPr>
                <w:sz w:val="24"/>
                <w:szCs w:val="24"/>
              </w:rPr>
            </w:pPr>
            <w:r>
              <w:rPr>
                <w:rFonts w:ascii="Arial" w:eastAsia="Arial" w:hAnsi="Arial" w:cs="Arial"/>
                <w:color w:val="000000"/>
                <w:sz w:val="24"/>
                <w:szCs w:val="24"/>
              </w:rPr>
              <w:t>financing or similar costs;</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FA5E3A" w:rsidRDefault="00DB128A">
            <w:pPr>
              <w:numPr>
                <w:ilvl w:val="1"/>
                <w:numId w:val="20"/>
              </w:numPr>
              <w:pBdr>
                <w:top w:val="nil"/>
                <w:left w:val="nil"/>
                <w:bottom w:val="nil"/>
                <w:right w:val="nil"/>
                <w:between w:val="nil"/>
              </w:pBdr>
              <w:tabs>
                <w:tab w:val="left" w:pos="-576"/>
                <w:tab w:val="left" w:pos="144"/>
              </w:tabs>
              <w:spacing w:after="120"/>
              <w:ind w:left="689" w:right="214" w:hanging="545"/>
              <w:jc w:val="both"/>
              <w:rPr>
                <w:sz w:val="24"/>
                <w:szCs w:val="24"/>
              </w:rPr>
            </w:pPr>
            <w:r>
              <w:rPr>
                <w:rFonts w:ascii="Arial" w:eastAsia="Arial" w:hAnsi="Arial" w:cs="Arial"/>
                <w:color w:val="000000"/>
                <w:sz w:val="24"/>
                <w:szCs w:val="24"/>
              </w:rPr>
              <w:t>taxation;</w:t>
            </w:r>
          </w:p>
          <w:p w:rsidR="00FA5E3A" w:rsidRDefault="00DB128A">
            <w:pPr>
              <w:numPr>
                <w:ilvl w:val="1"/>
                <w:numId w:val="20"/>
              </w:numPr>
              <w:pBdr>
                <w:top w:val="nil"/>
                <w:left w:val="nil"/>
                <w:bottom w:val="nil"/>
                <w:right w:val="nil"/>
                <w:between w:val="nil"/>
              </w:pBdr>
              <w:tabs>
                <w:tab w:val="left" w:pos="-576"/>
                <w:tab w:val="left" w:pos="144"/>
              </w:tabs>
              <w:spacing w:after="120"/>
              <w:ind w:left="689" w:right="214" w:hanging="545"/>
              <w:jc w:val="both"/>
              <w:rPr>
                <w:sz w:val="24"/>
                <w:szCs w:val="24"/>
              </w:rPr>
            </w:pPr>
            <w:r>
              <w:rPr>
                <w:rFonts w:ascii="Arial" w:eastAsia="Arial" w:hAnsi="Arial" w:cs="Arial"/>
                <w:color w:val="000000"/>
                <w:sz w:val="24"/>
                <w:szCs w:val="24"/>
              </w:rPr>
              <w:t>fines and penalties;</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lastRenderedPageBreak/>
              <w:t>amounts payable under Call-Off Schedule 16 (Benchmarking) where such Schedule is used; and</w:t>
            </w:r>
          </w:p>
          <w:p w:rsidR="00FA5E3A" w:rsidRDefault="00DB128A">
            <w:pPr>
              <w:numPr>
                <w:ilvl w:val="1"/>
                <w:numId w:val="20"/>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non-cash items (including depreciation, amortisation, impairments and movements in provisions);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Subject"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"Deductions"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"Default"</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"Delay Payments"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"Deliverables"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"Delivery"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proofErr w:type="gramStart"/>
            <w:r>
              <w:rPr>
                <w:rFonts w:ascii="Arial" w:eastAsia="Arial" w:hAnsi="Arial" w:cs="Arial"/>
                <w:color w:val="000000"/>
                <w:sz w:val="24"/>
                <w:szCs w:val="24"/>
              </w:rPr>
              <w:t>delivery</w:t>
            </w:r>
            <w:proofErr w:type="gramEnd"/>
            <w:r>
              <w:rPr>
                <w:rFonts w:ascii="Arial" w:eastAsia="Arial" w:hAnsi="Arial" w:cs="Arial"/>
                <w:color w:val="000000"/>
                <w:sz w:val="24"/>
                <w:szCs w:val="24"/>
              </w:rPr>
              <w:t xml:space="preserve">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sz w:val="24"/>
                <w:szCs w:val="24"/>
              </w:rPr>
              <w:lastRenderedPageBreak/>
              <w:t>“Dependent Parent Undertaking”</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FA5E3A" w:rsidTr="00DB128A">
        <w:tc>
          <w:tcPr>
            <w:tcW w:w="2287" w:type="dxa"/>
          </w:tcPr>
          <w:p w:rsidR="00FA5E3A" w:rsidRDefault="00DB128A">
            <w:pPr>
              <w:keepNext/>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"Dispute"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"Documentation"</w:t>
            </w:r>
          </w:p>
        </w:tc>
        <w:tc>
          <w:tcPr>
            <w:tcW w:w="7958" w:type="dxa"/>
          </w:tcPr>
          <w:p w:rsidR="00FA5E3A" w:rsidRDefault="00DB128A">
            <w:pPr>
              <w:pBdr>
                <w:top w:val="nil"/>
                <w:left w:val="nil"/>
                <w:bottom w:val="nil"/>
                <w:right w:val="nil"/>
                <w:between w:val="nil"/>
              </w:pBdr>
              <w:tabs>
                <w:tab w:val="left" w:pos="-576"/>
                <w:tab w:val="left" w:pos="144"/>
              </w:tabs>
              <w:spacing w:after="120"/>
              <w:ind w:left="175" w:right="214"/>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rsidR="00FA5E3A" w:rsidRDefault="00DB128A" w:rsidP="005B7738">
            <w:pPr>
              <w:numPr>
                <w:ilvl w:val="1"/>
                <w:numId w:val="28"/>
              </w:numPr>
              <w:pBdr>
                <w:top w:val="nil"/>
                <w:left w:val="nil"/>
                <w:bottom w:val="nil"/>
                <w:right w:val="nil"/>
                <w:between w:val="nil"/>
              </w:pBdr>
              <w:tabs>
                <w:tab w:val="left" w:pos="-576"/>
                <w:tab w:val="left" w:pos="144"/>
              </w:tabs>
              <w:spacing w:after="120"/>
              <w:ind w:right="214"/>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FA5E3A" w:rsidRDefault="00DB128A" w:rsidP="005B7738">
            <w:pPr>
              <w:numPr>
                <w:ilvl w:val="1"/>
                <w:numId w:val="28"/>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is required by the Supplier in order to provide the Deliverables; and/or</w:t>
            </w:r>
          </w:p>
          <w:p w:rsidR="00FA5E3A" w:rsidRDefault="00DB128A" w:rsidP="005B7738">
            <w:pPr>
              <w:numPr>
                <w:ilvl w:val="1"/>
                <w:numId w:val="28"/>
              </w:numPr>
              <w:pBdr>
                <w:top w:val="nil"/>
                <w:left w:val="nil"/>
                <w:bottom w:val="nil"/>
                <w:right w:val="nil"/>
                <w:between w:val="nil"/>
              </w:pBdr>
              <w:tabs>
                <w:tab w:val="left" w:pos="-576"/>
                <w:tab w:val="left" w:pos="144"/>
              </w:tabs>
              <w:spacing w:after="120"/>
              <w:ind w:right="214"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"DOTAS"</w:t>
            </w:r>
          </w:p>
        </w:tc>
        <w:tc>
          <w:tcPr>
            <w:tcW w:w="7958" w:type="dxa"/>
          </w:tcPr>
          <w:p w:rsidR="00FA5E3A" w:rsidRDefault="00DB128A" w:rsidP="005B7738">
            <w:pPr>
              <w:pBdr>
                <w:top w:val="nil"/>
                <w:left w:val="nil"/>
                <w:bottom w:val="nil"/>
                <w:right w:val="nil"/>
                <w:between w:val="nil"/>
              </w:pBdr>
              <w:tabs>
                <w:tab w:val="left" w:pos="-576"/>
                <w:tab w:val="left" w:pos="144"/>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“DPA 2018”</w:t>
            </w:r>
          </w:p>
        </w:tc>
        <w:tc>
          <w:tcPr>
            <w:tcW w:w="7958" w:type="dxa"/>
          </w:tcPr>
          <w:p w:rsidR="00FA5E3A" w:rsidRDefault="00DB128A" w:rsidP="005B7738">
            <w:pPr>
              <w:pBdr>
                <w:top w:val="nil"/>
                <w:left w:val="nil"/>
                <w:bottom w:val="nil"/>
                <w:right w:val="nil"/>
                <w:between w:val="nil"/>
              </w:pBdr>
              <w:tabs>
                <w:tab w:val="left" w:pos="-576"/>
                <w:tab w:val="left" w:pos="144"/>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958" w:type="dxa"/>
          </w:tcPr>
          <w:p w:rsidR="00FA5E3A" w:rsidRDefault="00DB128A" w:rsidP="005B7738">
            <w:pPr>
              <w:pBdr>
                <w:top w:val="nil"/>
                <w:left w:val="nil"/>
                <w:bottom w:val="nil"/>
                <w:right w:val="nil"/>
                <w:between w:val="nil"/>
              </w:pBdr>
              <w:tabs>
                <w:tab w:val="left" w:pos="-576"/>
                <w:tab w:val="left" w:pos="144"/>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“Effective Date”</w:t>
            </w:r>
          </w:p>
        </w:tc>
        <w:tc>
          <w:tcPr>
            <w:tcW w:w="7958" w:type="dxa"/>
          </w:tcPr>
          <w:p w:rsidR="00FA5E3A" w:rsidRDefault="00DB128A" w:rsidP="005B7738">
            <w:pPr>
              <w:pBdr>
                <w:top w:val="nil"/>
                <w:left w:val="nil"/>
                <w:bottom w:val="nil"/>
                <w:right w:val="nil"/>
                <w:between w:val="nil"/>
              </w:pBdr>
              <w:tabs>
                <w:tab w:val="left" w:pos="-576"/>
                <w:tab w:val="left" w:pos="144"/>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lastRenderedPageBreak/>
              <w:t>"EIR"</w:t>
            </w:r>
          </w:p>
        </w:tc>
        <w:tc>
          <w:tcPr>
            <w:tcW w:w="7958" w:type="dxa"/>
          </w:tcPr>
          <w:p w:rsidR="00FA5E3A" w:rsidRDefault="00DB128A" w:rsidP="005B7738">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958" w:type="dxa"/>
          </w:tcPr>
          <w:p w:rsidR="00FA5E3A" w:rsidRDefault="00DB128A">
            <w:pPr>
              <w:pBdr>
                <w:top w:val="nil"/>
                <w:left w:val="nil"/>
                <w:bottom w:val="nil"/>
                <w:right w:val="nil"/>
                <w:between w:val="nil"/>
              </w:pBdr>
              <w:tabs>
                <w:tab w:val="left" w:pos="-179"/>
                <w:tab w:val="left" w:pos="-9"/>
              </w:tabs>
              <w:spacing w:after="120"/>
              <w:ind w:left="170" w:right="214"/>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958" w:type="dxa"/>
          </w:tcPr>
          <w:p w:rsidR="00FA5E3A" w:rsidRDefault="00DB128A" w:rsidP="005B7738">
            <w:pPr>
              <w:pBdr>
                <w:top w:val="nil"/>
                <w:left w:val="nil"/>
                <w:bottom w:val="nil"/>
                <w:right w:val="nil"/>
                <w:between w:val="nil"/>
              </w:pBdr>
              <w:tabs>
                <w:tab w:val="left" w:pos="-576"/>
                <w:tab w:val="left" w:pos="144"/>
              </w:tabs>
              <w:spacing w:after="120"/>
              <w:ind w:left="170" w:right="215"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FA5E3A" w:rsidRDefault="00DB128A" w:rsidP="005B7738">
            <w:pPr>
              <w:numPr>
                <w:ilvl w:val="1"/>
                <w:numId w:val="1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Expiry Date (as extended by any Extension Period exercised by the Relevant Authority under Clause 10.1.2); or</w:t>
            </w:r>
          </w:p>
          <w:p w:rsidR="00FA5E3A" w:rsidRDefault="00DB128A" w:rsidP="005B7738">
            <w:pPr>
              <w:numPr>
                <w:ilvl w:val="1"/>
                <w:numId w:val="1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7958" w:type="dxa"/>
          </w:tcPr>
          <w:p w:rsidR="00FA5E3A" w:rsidRDefault="00DB128A" w:rsidP="005B7738">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to </w:t>
            </w:r>
            <w:r w:rsidRPr="00DB128A">
              <w:rPr>
                <w:rFonts w:ascii="Arial" w:eastAsia="Arial" w:hAnsi="Arial" w:cs="Arial"/>
                <w:color w:val="000000"/>
                <w:sz w:val="24"/>
                <w:szCs w:val="24"/>
              </w:rPr>
              <w:t>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958" w:type="dxa"/>
          </w:tcPr>
          <w:p w:rsidR="00FA5E3A" w:rsidRDefault="00DB128A" w:rsidP="005B7738">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A5E3A" w:rsidTr="00DB128A">
        <w:tc>
          <w:tcPr>
            <w:tcW w:w="2287" w:type="dxa"/>
          </w:tcPr>
          <w:p w:rsidR="00FA5E3A" w:rsidRDefault="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958" w:type="dxa"/>
          </w:tcPr>
          <w:p w:rsidR="00FA5E3A" w:rsidRDefault="00DB128A" w:rsidP="005B7738">
            <w:pPr>
              <w:pBdr>
                <w:top w:val="nil"/>
                <w:left w:val="nil"/>
                <w:bottom w:val="nil"/>
                <w:right w:val="nil"/>
                <w:between w:val="nil"/>
              </w:pBdr>
              <w:tabs>
                <w:tab w:val="left" w:pos="-17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rsidR="00FA5E3A" w:rsidRDefault="00FA5E3A" w:rsidP="005B7738">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p>
        </w:tc>
      </w:tr>
      <w:tr w:rsidR="00DB128A" w:rsidTr="00DB128A">
        <w:tc>
          <w:tcPr>
            <w:tcW w:w="2287" w:type="dxa"/>
          </w:tcPr>
          <w:p w:rsidR="00DB128A" w:rsidRDefault="00DB128A" w:rsidP="00DB128A">
            <w:pPr>
              <w:pBdr>
                <w:top w:val="nil"/>
                <w:left w:val="nil"/>
                <w:bottom w:val="nil"/>
                <w:right w:val="nil"/>
                <w:between w:val="nil"/>
              </w:pBdr>
              <w:spacing w:after="120"/>
              <w:ind w:left="141" w:right="85"/>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958" w:type="dxa"/>
          </w:tcPr>
          <w:p w:rsidR="00DB128A" w:rsidRPr="00DB128A" w:rsidRDefault="00DB128A" w:rsidP="00DB128A">
            <w:pPr>
              <w:pBdr>
                <w:top w:val="nil"/>
                <w:left w:val="nil"/>
                <w:bottom w:val="nil"/>
                <w:right w:val="nil"/>
                <w:between w:val="nil"/>
              </w:pBdr>
              <w:tabs>
                <w:tab w:val="left" w:pos="-179"/>
              </w:tabs>
              <w:spacing w:after="120"/>
              <w:ind w:left="170" w:right="215"/>
              <w:jc w:val="both"/>
              <w:rPr>
                <w:rFonts w:ascii="Arial" w:eastAsia="Arial" w:hAnsi="Arial" w:cs="Arial"/>
                <w:color w:val="000000"/>
                <w:sz w:val="24"/>
                <w:szCs w:val="24"/>
              </w:rPr>
            </w:pPr>
            <w:r w:rsidRPr="00DB128A">
              <w:rPr>
                <w:rFonts w:ascii="Arial" w:eastAsia="Arial" w:hAnsi="Arial" w:cs="Arial"/>
                <w:color w:val="000000"/>
                <w:sz w:val="24"/>
                <w:szCs w:val="24"/>
              </w:rPr>
              <w:t>means for the purposes of calculating each Party’s annual liability under clause 11.2 :</w:t>
            </w:r>
          </w:p>
          <w:p w:rsidR="00DB128A" w:rsidRPr="00DB128A" w:rsidRDefault="00DB128A" w:rsidP="00D62029">
            <w:pPr>
              <w:pBdr>
                <w:top w:val="nil"/>
                <w:left w:val="nil"/>
                <w:bottom w:val="nil"/>
                <w:right w:val="nil"/>
                <w:between w:val="nil"/>
              </w:pBdr>
              <w:tabs>
                <w:tab w:val="left" w:pos="-179"/>
              </w:tabs>
              <w:spacing w:after="120"/>
              <w:ind w:left="568" w:right="215" w:hanging="284"/>
              <w:jc w:val="both"/>
              <w:rPr>
                <w:rFonts w:ascii="Arial" w:eastAsia="Arial" w:hAnsi="Arial" w:cs="Arial"/>
                <w:color w:val="000000"/>
                <w:sz w:val="24"/>
                <w:szCs w:val="24"/>
              </w:rPr>
            </w:pPr>
            <w:proofErr w:type="spellStart"/>
            <w:r w:rsidRPr="00DB128A">
              <w:rPr>
                <w:rFonts w:ascii="Arial" w:eastAsia="Arial" w:hAnsi="Arial" w:cs="Arial"/>
                <w:color w:val="000000"/>
                <w:sz w:val="24"/>
                <w:szCs w:val="24"/>
              </w:rPr>
              <w:t>i</w:t>
            </w:r>
            <w:proofErr w:type="spellEnd"/>
            <w:r w:rsidRPr="00DB128A">
              <w:rPr>
                <w:rFonts w:ascii="Arial" w:eastAsia="Arial" w:hAnsi="Arial" w:cs="Arial"/>
                <w:color w:val="000000"/>
                <w:sz w:val="24"/>
                <w:szCs w:val="24"/>
              </w:rPr>
              <w:t xml:space="preserve">)  in the first Contract Year, the Estimated Year 1 Charges; or </w:t>
            </w:r>
          </w:p>
          <w:p w:rsidR="00DB128A" w:rsidRPr="00DB128A" w:rsidRDefault="00DB128A" w:rsidP="00D62029">
            <w:pPr>
              <w:pBdr>
                <w:top w:val="nil"/>
                <w:left w:val="nil"/>
                <w:bottom w:val="nil"/>
                <w:right w:val="nil"/>
                <w:between w:val="nil"/>
              </w:pBdr>
              <w:tabs>
                <w:tab w:val="left" w:pos="-17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ii) in the any subsequent Contract Years, the Charges paid or payable in the previous Call-off Contract Year; or</w:t>
            </w:r>
          </w:p>
          <w:p w:rsidR="00DB128A" w:rsidRPr="00DB128A" w:rsidRDefault="00DB128A" w:rsidP="00D62029">
            <w:pPr>
              <w:pBdr>
                <w:top w:val="nil"/>
                <w:left w:val="nil"/>
                <w:bottom w:val="nil"/>
                <w:right w:val="nil"/>
                <w:between w:val="nil"/>
              </w:pBdr>
              <w:tabs>
                <w:tab w:val="left" w:pos="-179"/>
              </w:tabs>
              <w:spacing w:after="120"/>
              <w:ind w:left="568" w:right="215" w:hanging="284"/>
              <w:jc w:val="both"/>
              <w:rPr>
                <w:rFonts w:ascii="Arial" w:eastAsia="Arial" w:hAnsi="Arial" w:cs="Arial"/>
                <w:b/>
                <w:color w:val="000000"/>
                <w:sz w:val="24"/>
                <w:szCs w:val="24"/>
              </w:rPr>
            </w:pPr>
            <w:r w:rsidRPr="00DB128A">
              <w:rPr>
                <w:rFonts w:ascii="Arial" w:eastAsia="Arial" w:hAnsi="Arial" w:cs="Arial"/>
                <w:color w:val="000000"/>
                <w:sz w:val="24"/>
                <w:szCs w:val="24"/>
              </w:rPr>
              <w:t>iii) after the end of the Call-off Contract, the Charges paid or payable in the last Contract Year during the Call-off Contract Period;</w:t>
            </w:r>
            <w:r w:rsidRPr="00DB128A">
              <w:rPr>
                <w:rFonts w:ascii="Arial" w:eastAsia="Arial" w:hAnsi="Arial" w:cs="Arial"/>
                <w:b/>
                <w:color w:val="000000"/>
                <w:sz w:val="24"/>
                <w:szCs w:val="24"/>
              </w:rPr>
              <w:t xml:space="preserve">  </w:t>
            </w:r>
          </w:p>
        </w:tc>
      </w:tr>
      <w:tr w:rsidR="00DB128A" w:rsidTr="00DB128A">
        <w:tc>
          <w:tcPr>
            <w:tcW w:w="2287" w:type="dxa"/>
          </w:tcPr>
          <w:p w:rsidR="00DB128A" w:rsidRDefault="00DB128A" w:rsidP="00DB128A">
            <w:pPr>
              <w:pBdr>
                <w:top w:val="nil"/>
                <w:left w:val="nil"/>
                <w:bottom w:val="nil"/>
                <w:right w:val="nil"/>
                <w:between w:val="nil"/>
              </w:pBdr>
              <w:spacing w:after="120"/>
              <w:ind w:left="141" w:right="85"/>
              <w:rPr>
                <w:rFonts w:ascii="Arial" w:eastAsia="Arial" w:hAnsi="Arial" w:cs="Arial"/>
                <w:b/>
                <w:color w:val="000000"/>
                <w:sz w:val="24"/>
                <w:szCs w:val="24"/>
              </w:rPr>
            </w:pPr>
            <w:r w:rsidRPr="00DB128A">
              <w:rPr>
                <w:rFonts w:ascii="Arial" w:eastAsia="Arial" w:hAnsi="Arial" w:cs="Arial"/>
                <w:sz w:val="24"/>
                <w:szCs w:val="24"/>
              </w:rPr>
              <w:t>“</w:t>
            </w:r>
            <w:r w:rsidRPr="00DB128A">
              <w:rPr>
                <w:rFonts w:ascii="Arial" w:eastAsia="Arial" w:hAnsi="Arial" w:cs="Arial"/>
                <w:b/>
                <w:sz w:val="24"/>
                <w:szCs w:val="24"/>
              </w:rPr>
              <w:t>Exempt Buyer</w:t>
            </w:r>
            <w:r w:rsidRPr="00DB128A">
              <w:rPr>
                <w:rFonts w:ascii="Arial" w:eastAsia="Arial" w:hAnsi="Arial" w:cs="Arial"/>
                <w:sz w:val="24"/>
                <w:szCs w:val="24"/>
              </w:rPr>
              <w:t>”</w:t>
            </w:r>
          </w:p>
        </w:tc>
        <w:tc>
          <w:tcPr>
            <w:tcW w:w="7958" w:type="dxa"/>
          </w:tcPr>
          <w:p w:rsidR="00DB128A" w:rsidRPr="00DB128A" w:rsidRDefault="00DB128A" w:rsidP="00DB128A">
            <w:pPr>
              <w:pBdr>
                <w:top w:val="nil"/>
                <w:left w:val="nil"/>
                <w:bottom w:val="nil"/>
                <w:right w:val="nil"/>
                <w:between w:val="nil"/>
              </w:pBdr>
              <w:spacing w:after="200" w:line="276" w:lineRule="auto"/>
              <w:ind w:left="170" w:right="215"/>
              <w:jc w:val="both"/>
              <w:rPr>
                <w:rFonts w:ascii="Arial" w:eastAsia="Arial" w:hAnsi="Arial" w:cs="Arial"/>
                <w:color w:val="000000"/>
                <w:sz w:val="24"/>
                <w:szCs w:val="24"/>
              </w:rPr>
            </w:pPr>
            <w:r w:rsidRPr="00DB128A">
              <w:rPr>
                <w:rFonts w:ascii="Arial" w:eastAsia="Arial" w:hAnsi="Arial" w:cs="Arial"/>
                <w:color w:val="000000"/>
                <w:sz w:val="24"/>
                <w:szCs w:val="24"/>
              </w:rPr>
              <w:t>a public sector purchaser that is:</w:t>
            </w:r>
          </w:p>
          <w:p w:rsidR="00DB128A" w:rsidRPr="00DB128A" w:rsidRDefault="00DB128A" w:rsidP="00D62029">
            <w:pPr>
              <w:numPr>
                <w:ilvl w:val="0"/>
                <w:numId w:val="12"/>
              </w:numPr>
              <w:pBdr>
                <w:top w:val="nil"/>
                <w:left w:val="nil"/>
                <w:bottom w:val="nil"/>
                <w:right w:val="nil"/>
                <w:between w:val="nil"/>
              </w:pBdr>
              <w:tabs>
                <w:tab w:val="left" w:pos="-179"/>
                <w:tab w:val="left" w:pos="-9"/>
              </w:tabs>
              <w:spacing w:after="120"/>
              <w:ind w:left="454" w:right="215" w:hanging="284"/>
              <w:jc w:val="both"/>
              <w:rPr>
                <w:rFonts w:ascii="Arial" w:hAnsi="Arial" w:cs="Arial"/>
                <w:sz w:val="24"/>
                <w:szCs w:val="24"/>
              </w:rPr>
            </w:pPr>
            <w:r w:rsidRPr="00DB128A">
              <w:rPr>
                <w:rFonts w:ascii="Arial" w:eastAsia="Arial" w:hAnsi="Arial" w:cs="Arial"/>
                <w:color w:val="000000"/>
                <w:sz w:val="24"/>
                <w:szCs w:val="24"/>
              </w:rPr>
              <w:t>eligible to use the Framework Contract; and</w:t>
            </w:r>
          </w:p>
          <w:p w:rsidR="00DB128A" w:rsidRPr="00DB128A" w:rsidRDefault="00DB128A" w:rsidP="00D62029">
            <w:pPr>
              <w:numPr>
                <w:ilvl w:val="0"/>
                <w:numId w:val="12"/>
              </w:numPr>
              <w:pBdr>
                <w:top w:val="nil"/>
                <w:left w:val="nil"/>
                <w:bottom w:val="nil"/>
                <w:right w:val="nil"/>
                <w:between w:val="nil"/>
              </w:pBdr>
              <w:tabs>
                <w:tab w:val="left" w:pos="-179"/>
                <w:tab w:val="left" w:pos="-9"/>
              </w:tabs>
              <w:spacing w:after="120"/>
              <w:ind w:left="454" w:right="215" w:hanging="284"/>
              <w:jc w:val="both"/>
              <w:rPr>
                <w:rFonts w:ascii="Arial" w:hAnsi="Arial" w:cs="Arial"/>
                <w:sz w:val="24"/>
                <w:szCs w:val="24"/>
              </w:rPr>
            </w:pPr>
            <w:r w:rsidRPr="00DB128A">
              <w:rPr>
                <w:rFonts w:ascii="Arial" w:eastAsia="Arial" w:hAnsi="Arial" w:cs="Arial"/>
                <w:color w:val="000000"/>
                <w:sz w:val="24"/>
                <w:szCs w:val="24"/>
              </w:rPr>
              <w:t>is entering into an Exempt Call-off Contract that is not subject to (as applicable) any of:</w:t>
            </w:r>
          </w:p>
          <w:p w:rsidR="00DB128A" w:rsidRPr="00DB128A"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hAnsi="Arial" w:cs="Arial"/>
                <w:sz w:val="24"/>
                <w:szCs w:val="24"/>
              </w:rPr>
            </w:pPr>
            <w:r w:rsidRPr="00DB128A">
              <w:rPr>
                <w:rFonts w:ascii="Arial" w:eastAsia="Arial" w:hAnsi="Arial" w:cs="Arial"/>
                <w:color w:val="000000"/>
                <w:sz w:val="24"/>
                <w:szCs w:val="24"/>
              </w:rPr>
              <w:t>the Regulations;</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the Concession Contracts Regulations 2016 (SI 2016/273);</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the Utilities Contracts Regulations 2016 (SI 2016/274);</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lastRenderedPageBreak/>
              <w:t>the Defence and Security Public Contracts Regulations 2011 (SI 2011/1848);</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the Remedies Directive (2007/66/EC);</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Directive 2014/23/EU of the European Parliament and Council;</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Directive 2014/24/EU of the European Parliament and Council;</w:t>
            </w:r>
          </w:p>
          <w:p w:rsidR="00DB128A" w:rsidRPr="00971098"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eastAsia="Arial" w:hAnsi="Arial" w:cs="Arial"/>
                <w:color w:val="000000"/>
                <w:sz w:val="24"/>
                <w:szCs w:val="24"/>
              </w:rPr>
            </w:pPr>
            <w:r w:rsidRPr="00DB128A">
              <w:rPr>
                <w:rFonts w:ascii="Arial" w:eastAsia="Arial" w:hAnsi="Arial" w:cs="Arial"/>
                <w:color w:val="000000"/>
                <w:sz w:val="24"/>
                <w:szCs w:val="24"/>
              </w:rPr>
              <w:t>Directive 2014/25/EU of the European Parliament and Council; or</w:t>
            </w:r>
          </w:p>
          <w:p w:rsidR="00DB128A" w:rsidRPr="00DB128A" w:rsidRDefault="00DB128A" w:rsidP="00D62029">
            <w:pPr>
              <w:numPr>
                <w:ilvl w:val="1"/>
                <w:numId w:val="12"/>
              </w:numPr>
              <w:pBdr>
                <w:top w:val="nil"/>
                <w:left w:val="nil"/>
                <w:bottom w:val="nil"/>
                <w:right w:val="nil"/>
                <w:between w:val="nil"/>
              </w:pBdr>
              <w:tabs>
                <w:tab w:val="left" w:pos="-179"/>
                <w:tab w:val="left" w:pos="-9"/>
              </w:tabs>
              <w:spacing w:after="120"/>
              <w:ind w:left="568" w:right="215" w:hanging="284"/>
              <w:jc w:val="both"/>
              <w:rPr>
                <w:rFonts w:ascii="Arial" w:hAnsi="Arial" w:cs="Arial"/>
                <w:sz w:val="24"/>
                <w:szCs w:val="24"/>
              </w:rPr>
            </w:pPr>
            <w:r w:rsidRPr="00DB128A">
              <w:rPr>
                <w:rFonts w:ascii="Arial" w:eastAsia="Arial" w:hAnsi="Arial" w:cs="Arial"/>
                <w:color w:val="000000"/>
                <w:sz w:val="24"/>
                <w:szCs w:val="24"/>
              </w:rPr>
              <w:t>Directive 2009/81/EC of the European Parliament and Council;</w:t>
            </w:r>
          </w:p>
        </w:tc>
      </w:tr>
      <w:tr w:rsidR="00DB128A" w:rsidTr="00DB128A">
        <w:tc>
          <w:tcPr>
            <w:tcW w:w="2287" w:type="dxa"/>
            <w:tcBorders>
              <w:top w:val="single" w:sz="4" w:space="0" w:color="000000"/>
              <w:left w:val="single" w:sz="4" w:space="0" w:color="000000"/>
              <w:bottom w:val="single" w:sz="4" w:space="0" w:color="000000"/>
              <w:right w:val="single" w:sz="4" w:space="0" w:color="000000"/>
            </w:tcBorders>
          </w:tcPr>
          <w:p w:rsidR="00DB128A" w:rsidRPr="00DB128A" w:rsidRDefault="00DB128A" w:rsidP="00DB128A">
            <w:pPr>
              <w:pBdr>
                <w:top w:val="nil"/>
                <w:left w:val="nil"/>
                <w:bottom w:val="nil"/>
                <w:right w:val="nil"/>
                <w:between w:val="nil"/>
              </w:pBdr>
              <w:spacing w:after="120"/>
              <w:ind w:left="142"/>
              <w:rPr>
                <w:rFonts w:ascii="Arial" w:eastAsia="Arial" w:hAnsi="Arial" w:cs="Arial"/>
                <w:b/>
                <w:color w:val="000000"/>
                <w:sz w:val="24"/>
                <w:szCs w:val="24"/>
              </w:rPr>
            </w:pPr>
            <w:r w:rsidRPr="00DB128A">
              <w:rPr>
                <w:rFonts w:ascii="Arial" w:eastAsia="Arial" w:hAnsi="Arial" w:cs="Arial"/>
                <w:sz w:val="24"/>
                <w:szCs w:val="24"/>
              </w:rPr>
              <w:lastRenderedPageBreak/>
              <w:t>“</w:t>
            </w:r>
            <w:r w:rsidRPr="00DB128A">
              <w:rPr>
                <w:rFonts w:ascii="Arial" w:eastAsia="Arial" w:hAnsi="Arial" w:cs="Arial"/>
                <w:b/>
                <w:sz w:val="24"/>
                <w:szCs w:val="24"/>
              </w:rPr>
              <w:t>Exempt Call-off Contract</w:t>
            </w:r>
            <w:r w:rsidRPr="00DB128A">
              <w:rPr>
                <w:rFonts w:ascii="Arial" w:eastAsia="Arial" w:hAnsi="Arial" w:cs="Arial"/>
                <w:sz w:val="24"/>
                <w:szCs w:val="24"/>
              </w:rPr>
              <w:t>”</w:t>
            </w:r>
          </w:p>
        </w:tc>
        <w:tc>
          <w:tcPr>
            <w:tcW w:w="7958" w:type="dxa"/>
            <w:tcBorders>
              <w:top w:val="single" w:sz="4" w:space="0" w:color="000000"/>
              <w:left w:val="single" w:sz="4" w:space="0" w:color="000000"/>
              <w:bottom w:val="single" w:sz="4" w:space="0" w:color="000000"/>
              <w:right w:val="single" w:sz="4" w:space="0" w:color="000000"/>
            </w:tcBorders>
          </w:tcPr>
          <w:p w:rsidR="00DB128A" w:rsidRPr="00DB128A" w:rsidRDefault="00DB128A" w:rsidP="00DB128A">
            <w:pPr>
              <w:pBdr>
                <w:top w:val="nil"/>
                <w:left w:val="nil"/>
                <w:bottom w:val="nil"/>
                <w:right w:val="nil"/>
                <w:between w:val="nil"/>
              </w:pBdr>
              <w:spacing w:after="200" w:line="276" w:lineRule="auto"/>
              <w:ind w:left="170" w:right="215"/>
              <w:jc w:val="both"/>
              <w:rPr>
                <w:rFonts w:ascii="Arial" w:eastAsia="Arial" w:hAnsi="Arial" w:cs="Arial"/>
                <w:color w:val="000000"/>
                <w:sz w:val="24"/>
                <w:szCs w:val="24"/>
              </w:rPr>
            </w:pPr>
            <w:r w:rsidRPr="00DB128A">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DB128A" w:rsidTr="00DB128A">
        <w:tc>
          <w:tcPr>
            <w:tcW w:w="2287" w:type="dxa"/>
            <w:tcBorders>
              <w:top w:val="single" w:sz="4" w:space="0" w:color="000000"/>
              <w:left w:val="single" w:sz="4" w:space="0" w:color="000000"/>
              <w:bottom w:val="single" w:sz="4" w:space="0" w:color="000000"/>
              <w:right w:val="single" w:sz="4" w:space="0" w:color="000000"/>
            </w:tcBorders>
          </w:tcPr>
          <w:p w:rsidR="00DB128A" w:rsidRPr="00DB128A" w:rsidRDefault="00DB128A" w:rsidP="00DB128A">
            <w:pPr>
              <w:pBdr>
                <w:top w:val="nil"/>
                <w:left w:val="nil"/>
                <w:bottom w:val="nil"/>
                <w:right w:val="nil"/>
                <w:between w:val="nil"/>
              </w:pBdr>
              <w:spacing w:after="120"/>
              <w:ind w:left="142"/>
              <w:rPr>
                <w:rFonts w:ascii="Arial" w:eastAsia="Arial" w:hAnsi="Arial" w:cs="Arial"/>
                <w:b/>
                <w:sz w:val="24"/>
                <w:szCs w:val="24"/>
              </w:rPr>
            </w:pPr>
            <w:r w:rsidRPr="00DB128A">
              <w:rPr>
                <w:rFonts w:ascii="Arial" w:eastAsia="Arial" w:hAnsi="Arial" w:cs="Arial"/>
                <w:b/>
                <w:sz w:val="24"/>
                <w:szCs w:val="24"/>
              </w:rPr>
              <w:t>“Exempt Procurement Amendments”</w:t>
            </w:r>
          </w:p>
        </w:tc>
        <w:tc>
          <w:tcPr>
            <w:tcW w:w="7958" w:type="dxa"/>
            <w:tcBorders>
              <w:top w:val="single" w:sz="4" w:space="0" w:color="000000"/>
              <w:left w:val="single" w:sz="4" w:space="0" w:color="000000"/>
              <w:bottom w:val="single" w:sz="4" w:space="0" w:color="000000"/>
              <w:right w:val="single" w:sz="4" w:space="0" w:color="000000"/>
            </w:tcBorders>
          </w:tcPr>
          <w:p w:rsidR="00DB128A" w:rsidRPr="00DB128A" w:rsidRDefault="00DB128A" w:rsidP="00DB128A">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DB128A">
              <w:rPr>
                <w:rFonts w:ascii="Arial" w:eastAsia="Arial" w:hAnsi="Arial" w:cs="Arial"/>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tbl>
      <w:tblPr>
        <w:tblStyle w:val="a1"/>
        <w:tblW w:w="102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9"/>
        <w:gridCol w:w="7938"/>
      </w:tblGrid>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"Existing IPR"</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any and all IPR that are owned by or licensed to either Party and which are or have been developed independently of the Contract (whether prior to the Start Date or otherwise);</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“Exit Day”</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shall have the meaning in the European Union (Withdrawal) Act 2018;</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"Expiry Date"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 xml:space="preserve">the Framework Expiry Date or the Call-Off Expiry Date (as the context dictates); </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Framework Optional Extension Period or the Call-Off Optional Extension Period as the context dictates;</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"FOIA"</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"Force Majeure Event"</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rsidR="00FA5E3A" w:rsidRPr="00971098" w:rsidRDefault="00DB128A" w:rsidP="00D62029">
            <w:pPr>
              <w:numPr>
                <w:ilvl w:val="1"/>
                <w:numId w:val="10"/>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riots, civil commotion, war or armed conflict;</w:t>
            </w:r>
          </w:p>
          <w:p w:rsidR="00FA5E3A" w:rsidRPr="00971098" w:rsidRDefault="00DB128A" w:rsidP="00D62029">
            <w:pPr>
              <w:numPr>
                <w:ilvl w:val="1"/>
                <w:numId w:val="10"/>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lastRenderedPageBreak/>
              <w:t>acts of terrorism;</w:t>
            </w:r>
          </w:p>
          <w:p w:rsidR="00FA5E3A" w:rsidRPr="00971098" w:rsidRDefault="00DB128A" w:rsidP="00D62029">
            <w:pPr>
              <w:numPr>
                <w:ilvl w:val="1"/>
                <w:numId w:val="10"/>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acts of government, local government or regulatory bodies;</w:t>
            </w:r>
          </w:p>
          <w:p w:rsidR="00FA5E3A" w:rsidRPr="00971098" w:rsidRDefault="00DB128A" w:rsidP="00D62029">
            <w:pPr>
              <w:numPr>
                <w:ilvl w:val="1"/>
                <w:numId w:val="10"/>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fire, flood, storm or earthquake or other natural disaster,</w:t>
            </w:r>
          </w:p>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but excluding any industrial dispute relating to the Supplier, the Supplier Staff or any other failure in the Supplier or the Subcontractor's supply chain;</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"Force Majeure Notice"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 written notice served by the Affected Party on the other Party stating that the Affected Party believes that there is a Force Majeure Event;</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document outlining the Framework Incorporated Terms and crucial information required for the Framework Contract, to be executed by the Supplier and CCS;</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period from the Framework Start Date until the End Date of the Framework Contract;</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scheduled date of the end of the Framework Contract as stated in the Framework Award Form;</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contractual terms applicable to the Framework Contract specified in the Framework Award Form;</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such period or periods beyond which the Framework Contract Period may be extended as specified in the Framework Award Form;</w:t>
            </w:r>
          </w:p>
        </w:tc>
      </w:tr>
      <w:tr w:rsidR="00FA5E3A" w:rsidTr="00DB128A">
        <w:tc>
          <w:tcPr>
            <w:tcW w:w="2269" w:type="dxa"/>
          </w:tcPr>
          <w:p w:rsidR="00FA5E3A" w:rsidRDefault="00DB128A" w:rsidP="00DB128A">
            <w:pPr>
              <w:keepNext/>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price(s) applicable to the provision of the Deliverables set out in Framework Schedule 3 (Framework Prices);</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any additional terms and conditions specified in the Framework Award Form incorporated into the Framework Contract;</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date of start of the Framework Contract as stated in the Framework Award Form;</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tender submitted by the Supplier to CCS and annexed to or referred to in Framework Schedule 2 (Framework Tender);</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"Further Competition Procedure"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further competition procedure described in Framework Schedule 7 (Call-Off Award Procedure);</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"UK GDPR"</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retained EU law version of the General Data Protection Regulation (Regulation (EU) 2016/679);</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938" w:type="dxa"/>
          </w:tcPr>
          <w:p w:rsidR="00FA5E3A" w:rsidRPr="00971098" w:rsidRDefault="00DB128A" w:rsidP="00D62029">
            <w:pPr>
              <w:numPr>
                <w:ilvl w:val="1"/>
                <w:numId w:val="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the legislation in Part 5 of the Finance Act 2013 and; and </w:t>
            </w:r>
          </w:p>
          <w:p w:rsidR="00FA5E3A" w:rsidRPr="00971098" w:rsidRDefault="00DB128A" w:rsidP="00D62029">
            <w:pPr>
              <w:numPr>
                <w:ilvl w:val="1"/>
                <w:numId w:val="9"/>
              </w:numPr>
              <w:pBdr>
                <w:top w:val="nil"/>
                <w:left w:val="nil"/>
                <w:bottom w:val="nil"/>
                <w:right w:val="nil"/>
                <w:between w:val="nil"/>
              </w:pBdr>
              <w:tabs>
                <w:tab w:val="left" w:pos="-576"/>
                <w:tab w:val="left" w:pos="144"/>
              </w:tabs>
              <w:spacing w:after="120"/>
              <w:ind w:left="454" w:right="215" w:hanging="284"/>
              <w:jc w:val="both"/>
              <w:rPr>
                <w:sz w:val="24"/>
                <w:szCs w:val="24"/>
              </w:rPr>
            </w:pPr>
            <w:r w:rsidRPr="00971098">
              <w:rPr>
                <w:rFonts w:ascii="Arial" w:eastAsia="Arial" w:hAnsi="Arial" w:cs="Arial"/>
                <w:sz w:val="24"/>
                <w:szCs w:val="24"/>
              </w:rPr>
              <w:t>any future legislation introduced into parliament to counteract Tax advantages arising from abusive arrangements to avoid National Insurance contributions;</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 Change in Law where the change is of a general legislative nature (including Tax or duties of any sort affecting the Supplier) or which affects or relates to a Comparable Supply;</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"Goods"</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goods made available by the Supplier as specified in Framework Schedule 1 (Specification) and in relation to a Call-Off Contract as specified in the Order Form ;</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"Government"</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FA5E3A" w:rsidTr="00DB128A">
        <w:tc>
          <w:tcPr>
            <w:tcW w:w="2269" w:type="dxa"/>
          </w:tcPr>
          <w:p w:rsidR="00FA5E3A" w:rsidRDefault="00DB128A" w:rsidP="00DB128A">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"Government Data"</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FA5E3A" w:rsidRPr="00971098" w:rsidRDefault="00DB128A" w:rsidP="00D62029">
            <w:pPr>
              <w:numPr>
                <w:ilvl w:val="2"/>
                <w:numId w:val="9"/>
              </w:num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are supplied to the Supplier by or on behalf of the Authority; or</w:t>
            </w:r>
          </w:p>
          <w:p w:rsidR="00FA5E3A" w:rsidRPr="00971098" w:rsidRDefault="00DB128A" w:rsidP="00D62029">
            <w:pPr>
              <w:numPr>
                <w:ilvl w:val="2"/>
                <w:numId w:val="9"/>
              </w:num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 xml:space="preserve">the Supplier is required to generate, process, store or transmit pursuant to a Contract; </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"Guarantor"</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person (if any) who has entered into a guarantee in the form set out in Joint Schedule 8 (Guarantee) in relation to this Contract;</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principle explained in the CJEU Case C-255/02 Halifax and others;</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"HMRC"</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His Majesty’s Revenue and Customs;</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"ICT Policy"</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an assessment of the impact of a Variation request by the Relevant Authority completed in good faith, including:</w:t>
            </w:r>
          </w:p>
          <w:p w:rsidR="00FA5E3A" w:rsidRPr="00971098" w:rsidRDefault="00DB128A" w:rsidP="00D62029">
            <w:pPr>
              <w:numPr>
                <w:ilvl w:val="1"/>
                <w:numId w:val="13"/>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 xml:space="preserve">details of the impact of the proposed Variation on the Deliverables and the Supplier's ability to meet its other obligations under the Contract; </w:t>
            </w:r>
          </w:p>
          <w:p w:rsidR="00FA5E3A" w:rsidRPr="00971098" w:rsidRDefault="00DB128A" w:rsidP="00D62029">
            <w:pPr>
              <w:numPr>
                <w:ilvl w:val="1"/>
                <w:numId w:val="13"/>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details of the cost of implementing the proposed Variation;</w:t>
            </w:r>
          </w:p>
          <w:p w:rsidR="00FA5E3A" w:rsidRPr="00971098" w:rsidRDefault="00DB128A" w:rsidP="00D62029">
            <w:pPr>
              <w:numPr>
                <w:ilvl w:val="1"/>
                <w:numId w:val="13"/>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rsidR="00FA5E3A" w:rsidRPr="00971098" w:rsidRDefault="00DB128A" w:rsidP="00D62029">
            <w:pPr>
              <w:numPr>
                <w:ilvl w:val="1"/>
                <w:numId w:val="13"/>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a timetable for the implementation, together with any proposals for the testing of the Variation; and</w:t>
            </w:r>
          </w:p>
          <w:p w:rsidR="00FA5E3A" w:rsidRPr="00971098" w:rsidRDefault="00DB128A" w:rsidP="00D62029">
            <w:pPr>
              <w:numPr>
                <w:ilvl w:val="1"/>
                <w:numId w:val="13"/>
              </w:numPr>
              <w:pBdr>
                <w:top w:val="nil"/>
                <w:left w:val="nil"/>
                <w:bottom w:val="nil"/>
                <w:right w:val="nil"/>
                <w:between w:val="nil"/>
              </w:pBdr>
              <w:tabs>
                <w:tab w:val="left" w:pos="-576"/>
                <w:tab w:val="left" w:pos="144"/>
              </w:tabs>
              <w:spacing w:after="200" w:line="276" w:lineRule="auto"/>
              <w:ind w:left="454" w:right="215" w:hanging="284"/>
              <w:jc w:val="both"/>
              <w:rPr>
                <w:rFonts w:ascii="Arial" w:eastAsia="Arial" w:hAnsi="Arial" w:cs="Arial"/>
                <w:sz w:val="24"/>
                <w:szCs w:val="24"/>
              </w:rPr>
            </w:pPr>
            <w:r w:rsidRPr="00971098">
              <w:rPr>
                <w:rFonts w:ascii="Arial" w:eastAsia="Arial" w:hAnsi="Arial" w:cs="Arial"/>
                <w:sz w:val="24"/>
                <w:szCs w:val="24"/>
              </w:rPr>
              <w:t>such other information as the Relevant Authority may reasonably request in (or in response to) the Variation request;</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plan for provision of the Deliverables set out in Call-Off Schedule 13 (Implementation Plan and Testing) where that Schedule is used or otherwise as agreed between the Supplier and the Buyer;</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"Indemnifier"</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a Party from whom an indemnity is sought under this Contract;</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971098">
              <w:rPr>
                <w:rFonts w:ascii="Arial" w:eastAsia="Arial" w:hAnsi="Arial" w:cs="Arial"/>
                <w:b/>
                <w:sz w:val="24"/>
                <w:szCs w:val="24"/>
              </w:rPr>
              <w:t>Independent Controller</w:t>
            </w:r>
            <w:r w:rsidRPr="00971098">
              <w:rPr>
                <w:rFonts w:ascii="Arial" w:eastAsia="Arial" w:hAnsi="Arial" w:cs="Arial"/>
                <w:sz w:val="24"/>
                <w:szCs w:val="24"/>
              </w:rPr>
              <w:t>” shall be construed accordingly;</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"Indexation"</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the adjustment of an amount or sum in accordance with Framework Schedule 3 (Framework Prices) and the relevant Order Form;</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"Information"</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has the meaning given under section 84 of the Freedom of Information Act 2000;</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"Information Commissioner"</w:t>
            </w:r>
          </w:p>
        </w:tc>
        <w:tc>
          <w:tcPr>
            <w:tcW w:w="7938" w:type="dxa"/>
          </w:tcPr>
          <w:p w:rsidR="00FA5E3A" w:rsidRPr="00971098" w:rsidRDefault="00DB128A" w:rsidP="00D62029">
            <w:pPr>
              <w:pBdr>
                <w:top w:val="nil"/>
                <w:left w:val="nil"/>
                <w:bottom w:val="nil"/>
                <w:right w:val="nil"/>
                <w:between w:val="nil"/>
              </w:pBdr>
              <w:spacing w:after="200" w:line="276" w:lineRule="auto"/>
              <w:ind w:left="170" w:right="215"/>
              <w:jc w:val="both"/>
              <w:rPr>
                <w:rFonts w:ascii="Arial" w:eastAsia="Arial" w:hAnsi="Arial" w:cs="Arial"/>
                <w:sz w:val="24"/>
                <w:szCs w:val="24"/>
              </w:rPr>
            </w:pPr>
            <w:r w:rsidRPr="00971098">
              <w:rPr>
                <w:rFonts w:ascii="Arial" w:eastAsia="Arial" w:hAnsi="Arial"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"Initial Period"</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FA5E3A" w:rsidTr="00DB128A">
        <w:tc>
          <w:tcPr>
            <w:tcW w:w="2269" w:type="dxa"/>
          </w:tcPr>
          <w:p w:rsidR="00FA5E3A" w:rsidRDefault="00DB128A" w:rsidP="00971098">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with respect to any person, means:</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(f) where that person is a company, a LLP or a partnership:</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 xml:space="preserve">(ii) an application is made to court, or an order is made, for the appointment of an administrator, or if a notice of intention to </w:t>
            </w:r>
            <w:r>
              <w:rPr>
                <w:rFonts w:ascii="Arial" w:eastAsia="Arial" w:hAnsi="Arial" w:cs="Arial"/>
                <w:color w:val="000000"/>
                <w:sz w:val="24"/>
                <w:szCs w:val="24"/>
              </w:rPr>
              <w:lastRenderedPageBreak/>
              <w:t>appoint an administrator is filed at Court or given or if an administrator is appointed, over that person;</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rsidR="00FA5E3A" w:rsidRDefault="00DB128A" w:rsidP="00D62029">
            <w:pPr>
              <w:pBdr>
                <w:top w:val="nil"/>
                <w:left w:val="nil"/>
                <w:bottom w:val="nil"/>
                <w:right w:val="nil"/>
                <w:between w:val="nil"/>
              </w:pBdr>
              <w:tabs>
                <w:tab w:val="left" w:pos="-179"/>
                <w:tab w:val="left" w:pos="-9"/>
              </w:tabs>
              <w:spacing w:after="120"/>
              <w:ind w:left="794" w:right="215" w:hanging="340"/>
              <w:jc w:val="both"/>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938" w:type="dxa"/>
          </w:tcPr>
          <w:p w:rsidR="00FA5E3A" w:rsidRDefault="00DB128A" w:rsidP="00D62029">
            <w:pPr>
              <w:numPr>
                <w:ilvl w:val="1"/>
                <w:numId w:val="1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rsidR="00FA5E3A" w:rsidRDefault="00DB128A" w:rsidP="00D62029">
            <w:pPr>
              <w:numPr>
                <w:ilvl w:val="1"/>
                <w:numId w:val="1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rsidR="00FA5E3A" w:rsidRDefault="00DB128A" w:rsidP="00D62029">
            <w:pPr>
              <w:numPr>
                <w:ilvl w:val="1"/>
                <w:numId w:val="1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all other rights having equivalent or similar effect in any country or jurisdiction;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"IPR Claim"</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"IR35"</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7">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"Key Staff"</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FA5E3A" w:rsidTr="00DB128A">
        <w:trPr>
          <w:trHeight w:val="357"/>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"Key Sub-Contract"</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FA5E3A" w:rsidTr="00DB128A">
        <w:trPr>
          <w:trHeight w:val="426"/>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Subcontractor:</w:t>
            </w:r>
          </w:p>
          <w:p w:rsidR="00FA5E3A" w:rsidRDefault="00DB128A" w:rsidP="00D62029">
            <w:pPr>
              <w:numPr>
                <w:ilvl w:val="1"/>
                <w:numId w:val="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which is relied upon to deliver any work package within the Deliverables in their entirety; and/or</w:t>
            </w:r>
          </w:p>
          <w:p w:rsidR="00FA5E3A" w:rsidRDefault="00DB128A" w:rsidP="00D62029">
            <w:pPr>
              <w:numPr>
                <w:ilvl w:val="1"/>
                <w:numId w:val="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FA5E3A" w:rsidRDefault="00DB128A" w:rsidP="00D62029">
            <w:pPr>
              <w:numPr>
                <w:ilvl w:val="1"/>
                <w:numId w:val="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rsidR="00FA5E3A" w:rsidRDefault="00DB128A" w:rsidP="00D62029">
            <w:pPr>
              <w:pBdr>
                <w:top w:val="nil"/>
                <w:left w:val="nil"/>
                <w:bottom w:val="nil"/>
                <w:right w:val="nil"/>
                <w:between w:val="nil"/>
              </w:pBdr>
              <w:tabs>
                <w:tab w:val="left" w:pos="-576"/>
                <w:tab w:val="left" w:pos="144"/>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"Know-How"</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"Law"</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"Losses"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"Lots"</w:t>
            </w:r>
          </w:p>
        </w:tc>
        <w:tc>
          <w:tcPr>
            <w:tcW w:w="7938" w:type="dxa"/>
          </w:tcPr>
          <w:p w:rsidR="00FA5E3A" w:rsidRDefault="00DB128A" w:rsidP="00D62029">
            <w:pPr>
              <w:pBdr>
                <w:top w:val="nil"/>
                <w:left w:val="nil"/>
                <w:bottom w:val="nil"/>
                <w:right w:val="nil"/>
                <w:between w:val="nil"/>
              </w:pBdr>
              <w:tabs>
                <w:tab w:val="left" w:pos="-179"/>
                <w:tab w:val="left" w:pos="175"/>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“MI Default”</w:t>
            </w:r>
          </w:p>
        </w:tc>
        <w:tc>
          <w:tcPr>
            <w:tcW w:w="7938" w:type="dxa"/>
          </w:tcPr>
          <w:p w:rsidR="00FA5E3A" w:rsidRDefault="00DB128A" w:rsidP="00D62029">
            <w:pPr>
              <w:pBdr>
                <w:top w:val="nil"/>
                <w:left w:val="nil"/>
                <w:bottom w:val="nil"/>
                <w:right w:val="nil"/>
                <w:between w:val="nil"/>
              </w:pBdr>
              <w:tabs>
                <w:tab w:val="left" w:pos="-179"/>
                <w:tab w:val="left" w:pos="175"/>
              </w:tabs>
              <w:spacing w:after="120"/>
              <w:ind w:left="170" w:right="215"/>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"MI Failure"</w:t>
            </w:r>
          </w:p>
        </w:tc>
        <w:tc>
          <w:tcPr>
            <w:tcW w:w="7938" w:type="dxa"/>
          </w:tcPr>
          <w:p w:rsidR="00FA5E3A" w:rsidRDefault="00DB128A" w:rsidP="00D62029">
            <w:pPr>
              <w:pBdr>
                <w:top w:val="nil"/>
                <w:left w:val="nil"/>
                <w:bottom w:val="nil"/>
                <w:right w:val="nil"/>
                <w:between w:val="nil"/>
              </w:pBdr>
              <w:tabs>
                <w:tab w:val="left" w:pos="-179"/>
                <w:tab w:val="left" w:pos="175"/>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means when an MI report:</w:t>
            </w:r>
          </w:p>
          <w:p w:rsidR="00FA5E3A" w:rsidRDefault="00DB128A" w:rsidP="00D62029">
            <w:pPr>
              <w:numPr>
                <w:ilvl w:val="1"/>
                <w:numId w:val="4"/>
              </w:numPr>
              <w:pBdr>
                <w:top w:val="nil"/>
                <w:left w:val="nil"/>
                <w:bottom w:val="nil"/>
                <w:right w:val="nil"/>
                <w:between w:val="nil"/>
              </w:pBdr>
              <w:tabs>
                <w:tab w:val="left" w:pos="-576"/>
                <w:tab w:val="left" w:pos="175"/>
              </w:tabs>
              <w:spacing w:after="120"/>
              <w:ind w:left="454" w:right="215" w:hanging="284"/>
              <w:jc w:val="both"/>
              <w:rPr>
                <w:sz w:val="24"/>
                <w:szCs w:val="24"/>
              </w:rPr>
            </w:pPr>
            <w:r>
              <w:rPr>
                <w:rFonts w:ascii="Arial" w:eastAsia="Arial" w:hAnsi="Arial" w:cs="Arial"/>
                <w:color w:val="000000"/>
                <w:sz w:val="24"/>
                <w:szCs w:val="24"/>
              </w:rPr>
              <w:t xml:space="preserve">contains any material errors or material omissions or a missing mandatory field; or  </w:t>
            </w:r>
          </w:p>
          <w:p w:rsidR="00FA5E3A" w:rsidRDefault="00DB128A" w:rsidP="00D62029">
            <w:pPr>
              <w:numPr>
                <w:ilvl w:val="1"/>
                <w:numId w:val="4"/>
              </w:numPr>
              <w:pBdr>
                <w:top w:val="nil"/>
                <w:left w:val="nil"/>
                <w:bottom w:val="nil"/>
                <w:right w:val="nil"/>
                <w:between w:val="nil"/>
              </w:pBdr>
              <w:tabs>
                <w:tab w:val="left" w:pos="-576"/>
                <w:tab w:val="left" w:pos="175"/>
              </w:tabs>
              <w:spacing w:after="120"/>
              <w:ind w:left="454" w:right="215" w:hanging="284"/>
              <w:jc w:val="both"/>
              <w:rPr>
                <w:sz w:val="24"/>
                <w:szCs w:val="24"/>
              </w:rPr>
            </w:pPr>
            <w:r>
              <w:rPr>
                <w:rFonts w:ascii="Arial" w:eastAsia="Arial" w:hAnsi="Arial" w:cs="Arial"/>
                <w:color w:val="000000"/>
                <w:sz w:val="24"/>
                <w:szCs w:val="24"/>
              </w:rPr>
              <w:lastRenderedPageBreak/>
              <w:t xml:space="preserve">is submitted using an incorrect MI reporting Template; or </w:t>
            </w:r>
          </w:p>
          <w:p w:rsidR="00FA5E3A" w:rsidRDefault="00DB128A" w:rsidP="00D62029">
            <w:pPr>
              <w:numPr>
                <w:ilvl w:val="1"/>
                <w:numId w:val="4"/>
              </w:numPr>
              <w:pBdr>
                <w:top w:val="nil"/>
                <w:left w:val="nil"/>
                <w:bottom w:val="nil"/>
                <w:right w:val="nil"/>
                <w:between w:val="nil"/>
              </w:pBdr>
              <w:tabs>
                <w:tab w:val="left" w:pos="-576"/>
                <w:tab w:val="left" w:pos="175"/>
              </w:tabs>
              <w:spacing w:after="120"/>
              <w:ind w:left="454" w:right="215" w:hanging="284"/>
              <w:rPr>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938" w:type="dxa"/>
          </w:tcPr>
          <w:p w:rsidR="00FA5E3A" w:rsidRDefault="00DB128A" w:rsidP="00D62029">
            <w:pPr>
              <w:pBdr>
                <w:top w:val="nil"/>
                <w:left w:val="nil"/>
                <w:bottom w:val="nil"/>
                <w:right w:val="nil"/>
                <w:between w:val="nil"/>
              </w:pBdr>
              <w:tabs>
                <w:tab w:val="left" w:pos="-179"/>
                <w:tab w:val="left" w:pos="175"/>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938" w:type="dxa"/>
          </w:tcPr>
          <w:p w:rsidR="00FA5E3A" w:rsidRDefault="00DB128A" w:rsidP="00D62029">
            <w:pPr>
              <w:pBdr>
                <w:top w:val="nil"/>
                <w:left w:val="nil"/>
                <w:bottom w:val="nil"/>
                <w:right w:val="nil"/>
                <w:between w:val="nil"/>
              </w:pBdr>
              <w:tabs>
                <w:tab w:val="left" w:pos="-179"/>
                <w:tab w:val="left" w:pos="175"/>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"Milestone"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"Milestone Date"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"Month"</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"New IPR"</w:t>
            </w:r>
          </w:p>
        </w:tc>
        <w:tc>
          <w:tcPr>
            <w:tcW w:w="7938" w:type="dxa"/>
          </w:tcPr>
          <w:p w:rsidR="00FA5E3A" w:rsidRDefault="00DB128A" w:rsidP="00D62029">
            <w:pPr>
              <w:numPr>
                <w:ilvl w:val="1"/>
                <w:numId w:val="17"/>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FA5E3A" w:rsidRDefault="00DB128A" w:rsidP="00D62029">
            <w:pPr>
              <w:numPr>
                <w:ilvl w:val="1"/>
                <w:numId w:val="17"/>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where: </w:t>
            </w:r>
          </w:p>
          <w:p w:rsidR="00FA5E3A" w:rsidRDefault="00DB128A" w:rsidP="00D62029">
            <w:pPr>
              <w:numPr>
                <w:ilvl w:val="1"/>
                <w:numId w:val="18"/>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rsidR="00FA5E3A" w:rsidRDefault="00DB128A" w:rsidP="00D62029">
            <w:pPr>
              <w:numPr>
                <w:ilvl w:val="2"/>
                <w:numId w:val="18"/>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FA5E3A" w:rsidRDefault="00DB128A" w:rsidP="00D62029">
            <w:pPr>
              <w:numPr>
                <w:ilvl w:val="2"/>
                <w:numId w:val="18"/>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rsidR="00FA5E3A" w:rsidRDefault="00DB128A" w:rsidP="00D62029">
            <w:pPr>
              <w:numPr>
                <w:ilvl w:val="1"/>
                <w:numId w:val="18"/>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operating expenditure relating to the provision of the Deliverables including an analysis showing:</w:t>
            </w:r>
          </w:p>
          <w:p w:rsidR="00FA5E3A" w:rsidRDefault="00DB128A" w:rsidP="00D62029">
            <w:pPr>
              <w:numPr>
                <w:ilvl w:val="2"/>
                <w:numId w:val="19"/>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the unit costs and quantity of Goods and any other consumables and bought-in Deliverables;</w:t>
            </w:r>
          </w:p>
          <w:p w:rsidR="00FA5E3A" w:rsidRDefault="00DB128A" w:rsidP="00D62029">
            <w:pPr>
              <w:numPr>
                <w:ilvl w:val="2"/>
                <w:numId w:val="19"/>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rsidR="00FA5E3A" w:rsidRDefault="00DB128A" w:rsidP="00D62029">
            <w:pPr>
              <w:numPr>
                <w:ilvl w:val="2"/>
                <w:numId w:val="19"/>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a list of Costs underpinning those rates for each grade, being the agreed rate less the Supplier Profit Margin; and</w:t>
            </w:r>
          </w:p>
          <w:p w:rsidR="00FA5E3A" w:rsidRDefault="00DB128A" w:rsidP="00D62029">
            <w:pPr>
              <w:numPr>
                <w:ilvl w:val="2"/>
                <w:numId w:val="19"/>
              </w:numPr>
              <w:pBdr>
                <w:top w:val="nil"/>
                <w:left w:val="nil"/>
                <w:bottom w:val="nil"/>
                <w:right w:val="nil"/>
                <w:between w:val="nil"/>
              </w:pBdr>
              <w:tabs>
                <w:tab w:val="left" w:pos="-576"/>
                <w:tab w:val="left" w:pos="144"/>
              </w:tabs>
              <w:spacing w:after="120"/>
              <w:ind w:left="568" w:right="215" w:hanging="284"/>
              <w:jc w:val="both"/>
              <w:rPr>
                <w:color w:val="000000"/>
              </w:rPr>
            </w:pPr>
            <w:r>
              <w:rPr>
                <w:rFonts w:ascii="Arial" w:eastAsia="Arial" w:hAnsi="Arial" w:cs="Arial"/>
                <w:color w:val="000000"/>
                <w:sz w:val="24"/>
                <w:szCs w:val="24"/>
              </w:rPr>
              <w:t xml:space="preserve">Reimbursable Expenses, if allowed under the Order Form; </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Overheads; </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Supplier Profit achieved over the Framework Contract Period and on an annual basis;</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FA5E3A" w:rsidRDefault="00DB128A" w:rsidP="00D62029">
            <w:pPr>
              <w:numPr>
                <w:ilvl w:val="1"/>
                <w:numId w:val="19"/>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actual Costs profile for each Service Period;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"Order"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"Order Form"</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"Overhead"</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those amounts which are intended to recover a proportion of the Supplier’s or the Key Subcontractor’s (as the context requires) indirect corporate costs (including financing, marketing, advertising, research </w:t>
            </w:r>
            <w:r>
              <w:rPr>
                <w:rFonts w:ascii="Arial" w:eastAsia="Arial" w:hAnsi="Arial" w:cs="Arial"/>
                <w:color w:val="000000"/>
                <w:sz w:val="24"/>
                <w:szCs w:val="24"/>
              </w:rPr>
              <w:lastRenderedPageBreak/>
              <w:t>and development and insurance costs and any fines or penalties) but excluding allowable indirect costs apportioned to facilities and administration in the provision of Supplier Staff and accordingly included within limb (a) of the definition of "Costs";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sidRPr="00030BA6">
              <w:rPr>
                <w:rFonts w:ascii="Arial" w:eastAsia="Arial" w:hAnsi="Arial" w:cs="Arial"/>
                <w:b/>
                <w:color w:val="000000"/>
                <w:sz w:val="24"/>
                <w:szCs w:val="24"/>
              </w:rPr>
              <w:lastRenderedPageBreak/>
              <w:t>“Parent Undertaking”</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"Parliament"</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"Party"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"Personal Data"</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event that results, or may result, in unauthorised access to Personal Data held under this Contract, and/or actual or potential loss and/or destruction of Personal Data in breach of this Contract, including any Personal Data Breach as defined by UK GDPR;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“Personnel”</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“Processing”</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“Processor”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“Progress Report”</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“Prohibited Acts”</w:t>
            </w:r>
          </w:p>
        </w:tc>
        <w:tc>
          <w:tcPr>
            <w:tcW w:w="7938" w:type="dxa"/>
          </w:tcPr>
          <w:p w:rsidR="00FA5E3A" w:rsidRDefault="00DB128A" w:rsidP="00D62029">
            <w:pPr>
              <w:numPr>
                <w:ilvl w:val="1"/>
                <w:numId w:val="23"/>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FA5E3A" w:rsidRDefault="00DB128A" w:rsidP="00D62029">
            <w:pPr>
              <w:numPr>
                <w:ilvl w:val="2"/>
                <w:numId w:val="23"/>
              </w:numPr>
              <w:pBdr>
                <w:top w:val="nil"/>
                <w:left w:val="nil"/>
                <w:bottom w:val="nil"/>
                <w:right w:val="nil"/>
                <w:between w:val="nil"/>
              </w:pBdr>
              <w:tabs>
                <w:tab w:val="left" w:pos="-179"/>
                <w:tab w:val="left" w:pos="-9"/>
              </w:tabs>
              <w:spacing w:after="120"/>
              <w:ind w:left="568" w:right="215" w:hanging="284"/>
              <w:jc w:val="both"/>
              <w:rPr>
                <w:color w:val="000000"/>
              </w:rPr>
            </w:pPr>
            <w:r>
              <w:rPr>
                <w:rFonts w:ascii="Arial" w:eastAsia="Arial" w:hAnsi="Arial" w:cs="Arial"/>
                <w:color w:val="000000"/>
                <w:sz w:val="24"/>
                <w:szCs w:val="24"/>
              </w:rPr>
              <w:lastRenderedPageBreak/>
              <w:t>induce that person to perform improperly a relevant function or activity; or</w:t>
            </w:r>
          </w:p>
          <w:p w:rsidR="00FA5E3A" w:rsidRDefault="00DB128A" w:rsidP="00D62029">
            <w:pPr>
              <w:numPr>
                <w:ilvl w:val="2"/>
                <w:numId w:val="23"/>
              </w:numPr>
              <w:pBdr>
                <w:top w:val="nil"/>
                <w:left w:val="nil"/>
                <w:bottom w:val="nil"/>
                <w:right w:val="nil"/>
                <w:between w:val="nil"/>
              </w:pBdr>
              <w:tabs>
                <w:tab w:val="left" w:pos="-179"/>
                <w:tab w:val="left" w:pos="-9"/>
              </w:tabs>
              <w:spacing w:after="120"/>
              <w:ind w:left="568" w:right="215" w:hanging="284"/>
              <w:jc w:val="both"/>
              <w:rPr>
                <w:color w:val="000000"/>
              </w:rPr>
            </w:pPr>
            <w:r>
              <w:rPr>
                <w:rFonts w:ascii="Arial" w:eastAsia="Arial" w:hAnsi="Arial" w:cs="Arial"/>
                <w:color w:val="000000"/>
                <w:sz w:val="24"/>
                <w:szCs w:val="24"/>
              </w:rPr>
              <w:t xml:space="preserve">reward that person for improper performance of a relevant function or activity; </w:t>
            </w:r>
          </w:p>
          <w:p w:rsidR="00FA5E3A" w:rsidRDefault="00DB128A" w:rsidP="00D62029">
            <w:pPr>
              <w:numPr>
                <w:ilvl w:val="1"/>
                <w:numId w:val="23"/>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rsidR="00FA5E3A" w:rsidRDefault="00DB128A" w:rsidP="00D62029">
            <w:pPr>
              <w:numPr>
                <w:ilvl w:val="1"/>
                <w:numId w:val="23"/>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FA5E3A" w:rsidRDefault="00DB128A" w:rsidP="00D62029">
            <w:pPr>
              <w:numPr>
                <w:ilvl w:val="2"/>
                <w:numId w:val="23"/>
              </w:numPr>
              <w:pBdr>
                <w:top w:val="nil"/>
                <w:left w:val="nil"/>
                <w:bottom w:val="nil"/>
                <w:right w:val="nil"/>
                <w:between w:val="nil"/>
              </w:pBdr>
              <w:tabs>
                <w:tab w:val="left" w:pos="-179"/>
                <w:tab w:val="left" w:pos="-9"/>
              </w:tabs>
              <w:spacing w:after="120"/>
              <w:ind w:left="568" w:right="215" w:hanging="284"/>
              <w:jc w:val="both"/>
              <w:rPr>
                <w:color w:val="000000"/>
              </w:rPr>
            </w:pPr>
            <w:r>
              <w:rPr>
                <w:rFonts w:ascii="Arial" w:eastAsia="Arial" w:hAnsi="Arial" w:cs="Arial"/>
                <w:color w:val="000000"/>
                <w:sz w:val="24"/>
                <w:szCs w:val="24"/>
              </w:rPr>
              <w:t>under the Bribery Act 2010 (or any legislation repealed or revoked by such Act); or</w:t>
            </w:r>
          </w:p>
          <w:p w:rsidR="00FA5E3A" w:rsidRDefault="00DB128A" w:rsidP="00D62029">
            <w:pPr>
              <w:numPr>
                <w:ilvl w:val="2"/>
                <w:numId w:val="23"/>
              </w:numPr>
              <w:pBdr>
                <w:top w:val="nil"/>
                <w:left w:val="nil"/>
                <w:bottom w:val="nil"/>
                <w:right w:val="nil"/>
                <w:between w:val="nil"/>
              </w:pBdr>
              <w:tabs>
                <w:tab w:val="left" w:pos="-179"/>
                <w:tab w:val="left" w:pos="-9"/>
              </w:tabs>
              <w:spacing w:after="120"/>
              <w:ind w:left="568" w:right="215" w:hanging="284"/>
              <w:jc w:val="both"/>
              <w:rPr>
                <w:color w:val="000000"/>
              </w:rPr>
            </w:pPr>
            <w:r>
              <w:rPr>
                <w:rFonts w:ascii="Arial" w:eastAsia="Arial" w:hAnsi="Arial" w:cs="Arial"/>
                <w:color w:val="000000"/>
                <w:sz w:val="24"/>
                <w:szCs w:val="24"/>
              </w:rPr>
              <w:t>under legislation or common law concerning fraudulent acts; or</w:t>
            </w:r>
          </w:p>
          <w:p w:rsidR="00FA5E3A" w:rsidRDefault="00DB128A" w:rsidP="00D62029">
            <w:pPr>
              <w:numPr>
                <w:ilvl w:val="2"/>
                <w:numId w:val="23"/>
              </w:numPr>
              <w:pBdr>
                <w:top w:val="nil"/>
                <w:left w:val="nil"/>
                <w:bottom w:val="nil"/>
                <w:right w:val="nil"/>
                <w:between w:val="nil"/>
              </w:pBdr>
              <w:tabs>
                <w:tab w:val="left" w:pos="-179"/>
                <w:tab w:val="left" w:pos="-9"/>
              </w:tabs>
              <w:spacing w:after="120"/>
              <w:ind w:left="568" w:right="215" w:hanging="284"/>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rsidR="00FA5E3A" w:rsidRDefault="00DB128A" w:rsidP="00D62029">
            <w:pPr>
              <w:numPr>
                <w:ilvl w:val="1"/>
                <w:numId w:val="23"/>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“Recall”</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"Recipient Party"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rsidR="00FA5E3A" w:rsidRDefault="00DB128A" w:rsidP="00D62029">
            <w:pPr>
              <w:numPr>
                <w:ilvl w:val="1"/>
                <w:numId w:val="2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full details of the Default that has occurred, including a root cause analysis; </w:t>
            </w:r>
          </w:p>
          <w:p w:rsidR="00FA5E3A" w:rsidRDefault="00DB128A" w:rsidP="00D62029">
            <w:pPr>
              <w:numPr>
                <w:ilvl w:val="1"/>
                <w:numId w:val="2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actual or anticipated effect of the Default; and</w:t>
            </w:r>
          </w:p>
          <w:p w:rsidR="00FA5E3A" w:rsidRDefault="00DB128A" w:rsidP="00D62029">
            <w:pPr>
              <w:numPr>
                <w:ilvl w:val="1"/>
                <w:numId w:val="24"/>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"Regulations"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rsidR="00FA5E3A" w:rsidRDefault="00DB128A" w:rsidP="00D62029">
            <w:pPr>
              <w:numPr>
                <w:ilvl w:val="1"/>
                <w:numId w:val="2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rsidR="00FA5E3A" w:rsidRDefault="00DB128A" w:rsidP="00D62029">
            <w:pPr>
              <w:numPr>
                <w:ilvl w:val="1"/>
                <w:numId w:val="21"/>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938" w:type="dxa"/>
          </w:tcPr>
          <w:p w:rsidR="00FA5E3A" w:rsidRDefault="00DB128A" w:rsidP="00D62029">
            <w:pPr>
              <w:numPr>
                <w:ilvl w:val="1"/>
                <w:numId w:val="22"/>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FA5E3A" w:rsidRDefault="00DB128A" w:rsidP="00D62029">
            <w:pPr>
              <w:numPr>
                <w:ilvl w:val="1"/>
                <w:numId w:val="22"/>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"Reminder Notice"</w:t>
            </w:r>
          </w:p>
        </w:tc>
        <w:tc>
          <w:tcPr>
            <w:tcW w:w="7938" w:type="dxa"/>
          </w:tcPr>
          <w:p w:rsidR="00FA5E3A" w:rsidRDefault="00DB128A" w:rsidP="00D62029">
            <w:pPr>
              <w:pBdr>
                <w:top w:val="nil"/>
                <w:left w:val="nil"/>
                <w:bottom w:val="nil"/>
                <w:right w:val="nil"/>
                <w:between w:val="nil"/>
              </w:pBdr>
              <w:tabs>
                <w:tab w:val="left" w:pos="1985"/>
                <w:tab w:val="left" w:pos="2127"/>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938" w:type="dxa"/>
          </w:tcPr>
          <w:p w:rsidR="00FA5E3A" w:rsidRDefault="00DB128A" w:rsidP="00D62029">
            <w:pPr>
              <w:pBdr>
                <w:top w:val="nil"/>
                <w:left w:val="nil"/>
                <w:bottom w:val="nil"/>
                <w:right w:val="nil"/>
                <w:between w:val="nil"/>
              </w:pBdr>
              <w:tabs>
                <w:tab w:val="left" w:pos="1985"/>
                <w:tab w:val="left" w:pos="2127"/>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any third party provider of Replacement Deliverables appointed by or at the direction of the Buyer from time to time or where the Buyer is </w:t>
            </w:r>
            <w:r>
              <w:rPr>
                <w:rFonts w:ascii="Arial" w:eastAsia="Arial" w:hAnsi="Arial" w:cs="Arial"/>
                <w:color w:val="000000"/>
                <w:sz w:val="24"/>
                <w:szCs w:val="24"/>
              </w:rPr>
              <w:lastRenderedPageBreak/>
              <w:t>providing Replacement Deliverables for its own account, shall also include the Buyer;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"Security Policy"</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“Service Levels”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Call-Off Contract (which, where Call-Off Schedule 14 (Service Levels) is used in this Contract, are specified in the Annex to Part A of such Schedule);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"Service Period"</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"Services"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FA5E3A" w:rsidTr="00DB128A">
        <w:tc>
          <w:tcPr>
            <w:tcW w:w="2269" w:type="dxa"/>
          </w:tcPr>
          <w:p w:rsidR="00FA5E3A" w:rsidRPr="00030BA6"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"Service Transfer Date"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"Sites"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rsidR="00FA5E3A" w:rsidRDefault="00DB128A" w:rsidP="00D62029">
            <w:pPr>
              <w:numPr>
                <w:ilvl w:val="1"/>
                <w:numId w:val="16"/>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Deliverables are (or are to be) provided; or</w:t>
            </w:r>
          </w:p>
          <w:p w:rsidR="00FA5E3A" w:rsidRDefault="00DB128A" w:rsidP="00D62029">
            <w:pPr>
              <w:numPr>
                <w:ilvl w:val="1"/>
                <w:numId w:val="16"/>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FA5E3A" w:rsidTr="00DB128A">
        <w:trPr>
          <w:trHeight w:val="945"/>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"SME"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FA5E3A" w:rsidTr="00D62029">
        <w:trPr>
          <w:trHeight w:val="692"/>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"Special Terms"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FA5E3A" w:rsidTr="00DB128A">
        <w:trPr>
          <w:trHeight w:val="945"/>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FA5E3A" w:rsidTr="00DB128A">
        <w:trPr>
          <w:trHeight w:val="945"/>
        </w:trPr>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"Specification"</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"Standards"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any:</w:t>
            </w:r>
          </w:p>
          <w:p w:rsidR="00FA5E3A" w:rsidRDefault="00DB128A" w:rsidP="00D62029">
            <w:pPr>
              <w:numPr>
                <w:ilvl w:val="1"/>
                <w:numId w:val="2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FA5E3A" w:rsidRDefault="00DB128A" w:rsidP="00D62029">
            <w:pPr>
              <w:numPr>
                <w:ilvl w:val="1"/>
                <w:numId w:val="2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standards detailed in the specification in Schedule 1 (Specification);</w:t>
            </w:r>
          </w:p>
          <w:p w:rsidR="00FA5E3A" w:rsidRDefault="00DB128A" w:rsidP="00D62029">
            <w:pPr>
              <w:numPr>
                <w:ilvl w:val="1"/>
                <w:numId w:val="2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standards detailed by the Buyer in the Order Form or agreed between the Parties from time to time;</w:t>
            </w:r>
          </w:p>
          <w:p w:rsidR="00FA5E3A" w:rsidRDefault="00DB128A" w:rsidP="00D62029">
            <w:pPr>
              <w:numPr>
                <w:ilvl w:val="1"/>
                <w:numId w:val="2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relevant Government codes of practice and guidance applicable from time to time;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"Start Date"</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"Storage Media"</w:t>
            </w:r>
          </w:p>
        </w:tc>
        <w:tc>
          <w:tcPr>
            <w:tcW w:w="7938" w:type="dxa"/>
          </w:tcPr>
          <w:p w:rsidR="00FA5E3A" w:rsidRDefault="00DB128A" w:rsidP="00D62029">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"Sub-Contract"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FA5E3A" w:rsidRDefault="00DB128A" w:rsidP="00D62029">
            <w:pPr>
              <w:numPr>
                <w:ilvl w:val="1"/>
                <w:numId w:val="26"/>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provides the Deliverables (or any part of them);</w:t>
            </w:r>
          </w:p>
          <w:p w:rsidR="00FA5E3A" w:rsidRDefault="00DB128A" w:rsidP="00D62029">
            <w:pPr>
              <w:numPr>
                <w:ilvl w:val="1"/>
                <w:numId w:val="26"/>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rsidR="00FA5E3A" w:rsidRDefault="00DB128A" w:rsidP="00D62029">
            <w:pPr>
              <w:numPr>
                <w:ilvl w:val="1"/>
                <w:numId w:val="26"/>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"Subcontractor"</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sidRPr="00030BA6">
              <w:rPr>
                <w:rFonts w:ascii="Arial" w:eastAsia="Arial" w:hAnsi="Arial" w:cs="Arial"/>
                <w:b/>
                <w:color w:val="000000"/>
                <w:sz w:val="24"/>
                <w:szCs w:val="24"/>
              </w:rPr>
              <w:t>“Subsidiary Undertaking”</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sidRPr="00030BA6">
              <w:rPr>
                <w:rFonts w:ascii="Arial" w:eastAsia="Arial" w:hAnsi="Arial" w:cs="Arial"/>
                <w:b/>
                <w:color w:val="000000"/>
                <w:sz w:val="24"/>
                <w:szCs w:val="24"/>
              </w:rPr>
              <w:t>“Supplier Group”</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 and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Assets"</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938" w:type="dxa"/>
          </w:tcPr>
          <w:p w:rsidR="00FA5E3A" w:rsidRDefault="00DB128A" w:rsidP="00030BA6">
            <w:pPr>
              <w:numPr>
                <w:ilvl w:val="1"/>
                <w:numId w:val="27"/>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FA5E3A" w:rsidRDefault="00DB128A" w:rsidP="00030BA6">
            <w:pPr>
              <w:numPr>
                <w:ilvl w:val="1"/>
                <w:numId w:val="27"/>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rsidR="00FA5E3A" w:rsidRDefault="00DB128A" w:rsidP="00030BA6">
            <w:pPr>
              <w:numPr>
                <w:ilvl w:val="1"/>
                <w:numId w:val="27"/>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Information derived from any of (a) and (b) above;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938" w:type="dxa"/>
          </w:tcPr>
          <w:p w:rsidR="00FA5E3A" w:rsidRPr="00030BA6"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Marketing Contact"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rsidR="00FA5E3A" w:rsidRDefault="00DB128A" w:rsidP="00030BA6">
            <w:pPr>
              <w:numPr>
                <w:ilvl w:val="1"/>
                <w:numId w:val="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Achieve a Milestone by its Milestone Date;</w:t>
            </w:r>
          </w:p>
          <w:p w:rsidR="00FA5E3A" w:rsidRDefault="00DB128A" w:rsidP="00030BA6">
            <w:pPr>
              <w:numPr>
                <w:ilvl w:val="1"/>
                <w:numId w:val="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provide the Goods and/or Services in accordance with the Service Levels ; and/or</w:t>
            </w:r>
          </w:p>
          <w:p w:rsidR="00FA5E3A" w:rsidRDefault="00DB128A" w:rsidP="00030BA6">
            <w:pPr>
              <w:numPr>
                <w:ilvl w:val="1"/>
                <w:numId w:val="5"/>
              </w:numPr>
              <w:pBdr>
                <w:top w:val="nil"/>
                <w:left w:val="nil"/>
                <w:bottom w:val="nil"/>
                <w:right w:val="nil"/>
                <w:between w:val="nil"/>
              </w:pBdr>
              <w:tabs>
                <w:tab w:val="left" w:pos="-576"/>
                <w:tab w:val="left" w:pos="144"/>
              </w:tabs>
              <w:spacing w:after="120"/>
              <w:ind w:left="454" w:right="215" w:hanging="284"/>
              <w:jc w:val="both"/>
              <w:rPr>
                <w:sz w:val="24"/>
                <w:szCs w:val="24"/>
              </w:rPr>
            </w:pPr>
            <w:r>
              <w:rPr>
                <w:rFonts w:ascii="Arial" w:eastAsia="Arial" w:hAnsi="Arial" w:cs="Arial"/>
                <w:color w:val="000000"/>
                <w:sz w:val="24"/>
                <w:szCs w:val="24"/>
              </w:rPr>
              <w:t>comply with an obligation under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Profit"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in relation to a period, the difference between the total Charges (in nominal cash flow terms but excluding any Deductions) and total Costs </w:t>
            </w:r>
            <w:r>
              <w:rPr>
                <w:rFonts w:ascii="Arial" w:eastAsia="Arial" w:hAnsi="Arial" w:cs="Arial"/>
                <w:color w:val="000000"/>
                <w:sz w:val="24"/>
                <w:szCs w:val="24"/>
              </w:rPr>
              <w:lastRenderedPageBreak/>
              <w:t>(in nominal cash flow terms) in respect of a Call-Off Contract for the relevant period;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"Supplier Profit Margin"</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"Supplier Staff"</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“Tax”</w:t>
            </w:r>
          </w:p>
        </w:tc>
        <w:tc>
          <w:tcPr>
            <w:tcW w:w="7938" w:type="dxa"/>
          </w:tcPr>
          <w:p w:rsidR="00FA5E3A" w:rsidRPr="00030BA6" w:rsidRDefault="00DB128A" w:rsidP="00030BA6">
            <w:pPr>
              <w:numPr>
                <w:ilvl w:val="0"/>
                <w:numId w:val="2"/>
              </w:num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rsidR="00FA5E3A" w:rsidRPr="00030BA6" w:rsidRDefault="00DB128A" w:rsidP="00030BA6">
            <w:pPr>
              <w:numPr>
                <w:ilvl w:val="0"/>
                <w:numId w:val="2"/>
              </w:num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rsidR="00FA5E3A" w:rsidRPr="00030BA6" w:rsidRDefault="00DB128A" w:rsidP="00030BA6">
            <w:pPr>
              <w:numPr>
                <w:ilvl w:val="0"/>
                <w:numId w:val="2"/>
              </w:num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proofErr w:type="gramStart"/>
            <w:r>
              <w:rPr>
                <w:rFonts w:ascii="Arial" w:eastAsia="Arial" w:hAnsi="Arial" w:cs="Arial"/>
                <w:color w:val="000000"/>
                <w:sz w:val="24"/>
                <w:szCs w:val="24"/>
              </w:rPr>
              <w:t>all</w:t>
            </w:r>
            <w:proofErr w:type="gramEnd"/>
            <w:r>
              <w:rPr>
                <w:rFonts w:ascii="Arial" w:eastAsia="Arial" w:hAnsi="Arial" w:cs="Arial"/>
                <w:color w:val="000000"/>
                <w:sz w:val="24"/>
                <w:szCs w:val="24"/>
              </w:rPr>
              <w:t xml:space="preserve"> statutory, governmental, state, federal, provincial, local government or municipal charges, duties, imports, contributions. levies or liabilities (other than in return  for goods or services supplied or performed or to be performed) and withholdings; and</w:t>
            </w:r>
          </w:p>
          <w:p w:rsidR="00FA5E3A" w:rsidRPr="00030BA6" w:rsidRDefault="00DB128A" w:rsidP="00030BA6">
            <w:pPr>
              <w:numPr>
                <w:ilvl w:val="0"/>
                <w:numId w:val="2"/>
              </w:numPr>
              <w:pBdr>
                <w:top w:val="nil"/>
                <w:left w:val="nil"/>
                <w:bottom w:val="nil"/>
                <w:right w:val="nil"/>
                <w:between w:val="nil"/>
              </w:pBdr>
              <w:tabs>
                <w:tab w:val="left" w:pos="-179"/>
                <w:tab w:val="left" w:pos="-9"/>
              </w:tabs>
              <w:spacing w:after="120"/>
              <w:ind w:left="454" w:right="215" w:hanging="284"/>
              <w:jc w:val="both"/>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"Test Issue"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"Test Plan"</w:t>
            </w:r>
          </w:p>
        </w:tc>
        <w:tc>
          <w:tcPr>
            <w:tcW w:w="7938" w:type="dxa"/>
          </w:tcPr>
          <w:p w:rsidR="00030BA6"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plan:</w:t>
            </w:r>
          </w:p>
          <w:p w:rsidR="00030BA6" w:rsidRDefault="00DB128A" w:rsidP="00030BA6">
            <w:pPr>
              <w:pStyle w:val="ListParagraph"/>
              <w:numPr>
                <w:ilvl w:val="1"/>
                <w:numId w:val="7"/>
              </w:numPr>
              <w:pBdr>
                <w:top w:val="nil"/>
                <w:left w:val="nil"/>
                <w:bottom w:val="nil"/>
                <w:right w:val="nil"/>
                <w:between w:val="nil"/>
              </w:pBdr>
              <w:tabs>
                <w:tab w:val="left" w:pos="-179"/>
                <w:tab w:val="left" w:pos="-9"/>
              </w:tabs>
              <w:spacing w:after="120"/>
              <w:ind w:right="215"/>
              <w:jc w:val="both"/>
              <w:rPr>
                <w:rFonts w:ascii="Arial" w:eastAsia="Arial" w:hAnsi="Arial" w:cs="Arial"/>
                <w:color w:val="000000"/>
                <w:sz w:val="24"/>
                <w:szCs w:val="24"/>
              </w:rPr>
            </w:pPr>
            <w:r w:rsidRPr="00030BA6">
              <w:rPr>
                <w:rFonts w:ascii="Arial" w:eastAsia="Arial" w:hAnsi="Arial" w:cs="Arial"/>
                <w:color w:val="000000"/>
                <w:sz w:val="24"/>
                <w:szCs w:val="24"/>
              </w:rPr>
              <w:t xml:space="preserve">for the Testing of the Deliverables; and </w:t>
            </w:r>
          </w:p>
          <w:p w:rsidR="00030BA6" w:rsidRDefault="00030BA6" w:rsidP="00030BA6">
            <w:pPr>
              <w:pStyle w:val="ListParagraph"/>
              <w:pBdr>
                <w:top w:val="nil"/>
                <w:left w:val="nil"/>
                <w:bottom w:val="nil"/>
                <w:right w:val="nil"/>
                <w:between w:val="nil"/>
              </w:pBdr>
              <w:tabs>
                <w:tab w:val="left" w:pos="-179"/>
                <w:tab w:val="left" w:pos="-9"/>
              </w:tabs>
              <w:spacing w:after="120"/>
              <w:ind w:left="432" w:right="215"/>
              <w:jc w:val="both"/>
              <w:rPr>
                <w:rFonts w:ascii="Arial" w:eastAsia="Arial" w:hAnsi="Arial" w:cs="Arial"/>
                <w:color w:val="000000"/>
                <w:sz w:val="24"/>
                <w:szCs w:val="24"/>
              </w:rPr>
            </w:pPr>
          </w:p>
          <w:p w:rsidR="00FA5E3A" w:rsidRPr="00030BA6" w:rsidRDefault="00DB128A" w:rsidP="00030BA6">
            <w:pPr>
              <w:pStyle w:val="ListParagraph"/>
              <w:numPr>
                <w:ilvl w:val="1"/>
                <w:numId w:val="7"/>
              </w:numPr>
              <w:pBdr>
                <w:top w:val="nil"/>
                <w:left w:val="nil"/>
                <w:bottom w:val="nil"/>
                <w:right w:val="nil"/>
                <w:between w:val="nil"/>
              </w:pBdr>
              <w:tabs>
                <w:tab w:val="left" w:pos="-179"/>
                <w:tab w:val="left" w:pos="-9"/>
              </w:tabs>
              <w:spacing w:before="240" w:after="120"/>
              <w:ind w:right="215"/>
              <w:jc w:val="both"/>
              <w:rPr>
                <w:rFonts w:ascii="Arial" w:eastAsia="Arial" w:hAnsi="Arial" w:cs="Arial"/>
                <w:color w:val="000000"/>
                <w:sz w:val="24"/>
                <w:szCs w:val="24"/>
              </w:rPr>
            </w:pPr>
            <w:r w:rsidRPr="00030BA6">
              <w:rPr>
                <w:rFonts w:ascii="Arial" w:eastAsia="Arial" w:hAnsi="Arial" w:cs="Arial"/>
                <w:color w:val="000000"/>
                <w:sz w:val="24"/>
                <w:szCs w:val="24"/>
              </w:rPr>
              <w:t>setting out other agreed criteria related to the achievement of Milestones;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"Tests "</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"Third Party IPR"</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lastRenderedPageBreak/>
              <w:t>"Transparency Information"</w:t>
            </w:r>
          </w:p>
        </w:tc>
        <w:tc>
          <w:tcPr>
            <w:tcW w:w="7938" w:type="dxa"/>
          </w:tcPr>
          <w:p w:rsidR="00FA5E3A" w:rsidRDefault="00DB128A" w:rsidP="00030BA6">
            <w:pPr>
              <w:keepNext/>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FA5E3A" w:rsidRDefault="00DB128A" w:rsidP="00030BA6">
            <w:pPr>
              <w:keepNext/>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rsidR="00FA5E3A" w:rsidRDefault="00DB128A" w:rsidP="00030BA6">
            <w:pPr>
              <w:keepNext/>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"Variation"</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"Variation Form"</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"VAT"</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"VCSE"</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"Worker"</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w:t>
            </w:r>
            <w:hyperlink r:id="rId9" w:history="1">
              <w:r w:rsidR="00030BA6" w:rsidRPr="004523B3">
                <w:rPr>
                  <w:rStyle w:val="Hyperlink"/>
                  <w:rFonts w:ascii="Arial" w:eastAsia="Arial" w:hAnsi="Arial" w:cs="Arial"/>
                  <w:sz w:val="24"/>
                  <w:szCs w:val="24"/>
                </w:rPr>
                <w:t>https://www.gov.uk/government/publications/procurement-policy-note-0815-tax-arrangements-of-appointees</w:t>
              </w:r>
            </w:hyperlink>
            <w:r>
              <w:rPr>
                <w:rFonts w:ascii="Arial" w:eastAsia="Arial" w:hAnsi="Arial" w:cs="Arial"/>
                <w:color w:val="000000"/>
                <w:sz w:val="24"/>
                <w:szCs w:val="24"/>
              </w:rPr>
              <w:t>) applies in respect of the Deliverables;</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"Working Day"</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"Work Day"</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FA5E3A" w:rsidTr="00DB128A">
        <w:tc>
          <w:tcPr>
            <w:tcW w:w="2269" w:type="dxa"/>
          </w:tcPr>
          <w:p w:rsidR="00FA5E3A" w:rsidRDefault="00DB128A" w:rsidP="00030BA6">
            <w:pPr>
              <w:pBdr>
                <w:top w:val="nil"/>
                <w:left w:val="nil"/>
                <w:bottom w:val="nil"/>
                <w:right w:val="nil"/>
                <w:between w:val="nil"/>
              </w:pBdr>
              <w:spacing w:after="120"/>
              <w:ind w:left="142" w:right="85"/>
              <w:rPr>
                <w:rFonts w:ascii="Arial" w:eastAsia="Arial" w:hAnsi="Arial" w:cs="Arial"/>
                <w:b/>
                <w:color w:val="000000"/>
                <w:sz w:val="24"/>
                <w:szCs w:val="24"/>
              </w:rPr>
            </w:pPr>
            <w:r>
              <w:rPr>
                <w:rFonts w:ascii="Arial" w:eastAsia="Arial" w:hAnsi="Arial" w:cs="Arial"/>
                <w:b/>
                <w:color w:val="000000"/>
                <w:sz w:val="24"/>
                <w:szCs w:val="24"/>
              </w:rPr>
              <w:t>"Work Hours"</w:t>
            </w:r>
          </w:p>
        </w:tc>
        <w:tc>
          <w:tcPr>
            <w:tcW w:w="7938" w:type="dxa"/>
          </w:tcPr>
          <w:p w:rsidR="00FA5E3A" w:rsidRDefault="00DB128A" w:rsidP="00030BA6">
            <w:pPr>
              <w:pBdr>
                <w:top w:val="nil"/>
                <w:left w:val="nil"/>
                <w:bottom w:val="nil"/>
                <w:right w:val="nil"/>
                <w:between w:val="nil"/>
              </w:pBdr>
              <w:tabs>
                <w:tab w:val="left" w:pos="-179"/>
                <w:tab w:val="left" w:pos="-9"/>
              </w:tabs>
              <w:spacing w:after="120"/>
              <w:ind w:left="170" w:right="215"/>
              <w:jc w:val="both"/>
              <w:rPr>
                <w:rFonts w:ascii="Arial" w:eastAsia="Arial" w:hAnsi="Arial" w:cs="Arial"/>
                <w:color w:val="000000"/>
                <w:sz w:val="24"/>
                <w:szCs w:val="24"/>
              </w:rPr>
            </w:pPr>
            <w:proofErr w:type="gramStart"/>
            <w:r>
              <w:rPr>
                <w:rFonts w:ascii="Arial" w:eastAsia="Arial" w:hAnsi="Arial" w:cs="Arial"/>
                <w:color w:val="000000"/>
                <w:sz w:val="24"/>
                <w:szCs w:val="24"/>
              </w:rPr>
              <w:t>the</w:t>
            </w:r>
            <w:proofErr w:type="gramEnd"/>
            <w:r>
              <w:rPr>
                <w:rFonts w:ascii="Arial" w:eastAsia="Arial" w:hAnsi="Arial" w:cs="Arial"/>
                <w:color w:val="000000"/>
                <w:sz w:val="24"/>
                <w:szCs w:val="24"/>
              </w:rPr>
              <w:t xml:space="preserve"> hours spent by the Supplier Staff properly working on the provision of the Deliverables including time spent travelling (other than to and from the Supplier's offices, or to and from the Sites) but excluding lunch breaks.</w:t>
            </w:r>
          </w:p>
        </w:tc>
      </w:tr>
    </w:tbl>
    <w:p w:rsidR="00FA5E3A" w:rsidRDefault="00FA5E3A">
      <w:pPr>
        <w:spacing w:after="0" w:line="240" w:lineRule="auto"/>
        <w:rPr>
          <w:rFonts w:ascii="Arial" w:eastAsia="Arial" w:hAnsi="Arial" w:cs="Arial"/>
          <w:sz w:val="24"/>
          <w:szCs w:val="24"/>
        </w:rPr>
      </w:pPr>
      <w:bookmarkStart w:id="6" w:name="_tyjcwt" w:colFirst="0" w:colLast="0"/>
      <w:bookmarkEnd w:id="6"/>
    </w:p>
    <w:sectPr w:rsidR="00FA5E3A">
      <w:headerReference w:type="default"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10E" w:rsidRDefault="009D010E">
      <w:pPr>
        <w:spacing w:after="0" w:line="240" w:lineRule="auto"/>
      </w:pPr>
      <w:r>
        <w:separator/>
      </w:r>
    </w:p>
  </w:endnote>
  <w:endnote w:type="continuationSeparator" w:id="0">
    <w:p w:rsidR="009D010E" w:rsidRDefault="009D0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9F" w:rsidRDefault="00B5039F">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RM6315 Vehicle Telematics Solutions</w:t>
    </w:r>
    <w:r>
      <w:rPr>
        <w:rFonts w:ascii="Arial" w:eastAsia="Arial" w:hAnsi="Arial" w:cs="Arial"/>
        <w:sz w:val="20"/>
        <w:szCs w:val="20"/>
      </w:rPr>
      <w:tab/>
      <w:t xml:space="preserve">                                           </w:t>
    </w:r>
  </w:p>
  <w:p w:rsidR="00B5039F" w:rsidRDefault="00B5039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6E2E45">
      <w:rPr>
        <w:rFonts w:ascii="Arial" w:eastAsia="Arial" w:hAnsi="Arial" w:cs="Arial"/>
        <w:noProof/>
        <w:color w:val="000000"/>
        <w:sz w:val="20"/>
        <w:szCs w:val="20"/>
      </w:rPr>
      <w:t>26</w:t>
    </w:r>
    <w:r>
      <w:rPr>
        <w:rFonts w:ascii="Arial" w:eastAsia="Arial" w:hAnsi="Arial" w:cs="Arial"/>
        <w:color w:val="000000"/>
        <w:sz w:val="20"/>
        <w:szCs w:val="20"/>
      </w:rPr>
      <w:fldChar w:fldCharType="end"/>
    </w:r>
  </w:p>
  <w:p w:rsidR="00B5039F" w:rsidRDefault="00B5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v3.12</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9F" w:rsidRDefault="00B5039F">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B5039F" w:rsidRDefault="00B5039F">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B5039F" w:rsidRDefault="00B503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10E" w:rsidRDefault="009D010E">
      <w:pPr>
        <w:spacing w:after="0" w:line="240" w:lineRule="auto"/>
      </w:pPr>
      <w:r>
        <w:separator/>
      </w:r>
    </w:p>
  </w:footnote>
  <w:footnote w:type="continuationSeparator" w:id="0">
    <w:p w:rsidR="009D010E" w:rsidRDefault="009D0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9F" w:rsidRDefault="00B5039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Joint Schedule 1 (Definitions) </w:t>
    </w:r>
  </w:p>
  <w:p w:rsidR="00B5039F" w:rsidRDefault="00B5039F">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2023</w:t>
    </w:r>
    <w:r>
      <w:rPr>
        <w:rFonts w:ascii="Arial" w:eastAsia="Arial" w:hAnsi="Arial" w:cs="Arial"/>
        <w:color w:val="BFBFBF"/>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39F" w:rsidRDefault="00B5039F">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B5039F" w:rsidRDefault="00B5039F">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031FE"/>
    <w:multiLevelType w:val="multilevel"/>
    <w:tmpl w:val="2584BFFC"/>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12E10250"/>
    <w:multiLevelType w:val="multilevel"/>
    <w:tmpl w:val="3C04E3B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F71404"/>
    <w:multiLevelType w:val="multilevel"/>
    <w:tmpl w:val="073040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4CD3C70"/>
    <w:multiLevelType w:val="multilevel"/>
    <w:tmpl w:val="8E0E21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7B5539"/>
    <w:multiLevelType w:val="multilevel"/>
    <w:tmpl w:val="510CC41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96A4054"/>
    <w:multiLevelType w:val="multilevel"/>
    <w:tmpl w:val="0AD848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C43651C"/>
    <w:multiLevelType w:val="multilevel"/>
    <w:tmpl w:val="66261F0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07B3E1E"/>
    <w:multiLevelType w:val="multilevel"/>
    <w:tmpl w:val="79A09420"/>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BA1715"/>
    <w:multiLevelType w:val="multilevel"/>
    <w:tmpl w:val="45543E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3341F0"/>
    <w:multiLevelType w:val="multilevel"/>
    <w:tmpl w:val="AA2A96BE"/>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0" w15:restartNumberingAfterBreak="0">
    <w:nsid w:val="2AEC65C8"/>
    <w:multiLevelType w:val="multilevel"/>
    <w:tmpl w:val="E208FCE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E066D7"/>
    <w:multiLevelType w:val="multilevel"/>
    <w:tmpl w:val="36049B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1327828"/>
    <w:multiLevelType w:val="multilevel"/>
    <w:tmpl w:val="E6D4CE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CE66A5"/>
    <w:multiLevelType w:val="multilevel"/>
    <w:tmpl w:val="1FE4F08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51514E9"/>
    <w:multiLevelType w:val="multilevel"/>
    <w:tmpl w:val="EB20B25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0E79AD"/>
    <w:multiLevelType w:val="multilevel"/>
    <w:tmpl w:val="809AF5A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C6636F2"/>
    <w:multiLevelType w:val="multilevel"/>
    <w:tmpl w:val="38D6CB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D0201F8"/>
    <w:multiLevelType w:val="multilevel"/>
    <w:tmpl w:val="49CC83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ED92768"/>
    <w:multiLevelType w:val="multilevel"/>
    <w:tmpl w:val="EE80676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3FD50B3"/>
    <w:multiLevelType w:val="multilevel"/>
    <w:tmpl w:val="2F06711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8D5A1E"/>
    <w:multiLevelType w:val="multilevel"/>
    <w:tmpl w:val="F084C27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5F6630F"/>
    <w:multiLevelType w:val="multilevel"/>
    <w:tmpl w:val="E6D4CE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5A61E5"/>
    <w:multiLevelType w:val="multilevel"/>
    <w:tmpl w:val="C8A2815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324F43"/>
    <w:multiLevelType w:val="multilevel"/>
    <w:tmpl w:val="1FC6517A"/>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24" w15:restartNumberingAfterBreak="0">
    <w:nsid w:val="6AB03A6D"/>
    <w:multiLevelType w:val="multilevel"/>
    <w:tmpl w:val="6412650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36F4020"/>
    <w:multiLevelType w:val="multilevel"/>
    <w:tmpl w:val="B8CCD97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CF6543"/>
    <w:multiLevelType w:val="multilevel"/>
    <w:tmpl w:val="142A005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785220"/>
    <w:multiLevelType w:val="multilevel"/>
    <w:tmpl w:val="AD261912"/>
    <w:lvl w:ilvl="0">
      <w:start w:val="1"/>
      <w:numFmt w:val="decimal"/>
      <w:lvlText w:val="%1."/>
      <w:lvlJc w:val="left"/>
      <w:pPr>
        <w:ind w:left="644" w:hanging="357"/>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4"/>
  </w:num>
  <w:num w:numId="2">
    <w:abstractNumId w:val="7"/>
  </w:num>
  <w:num w:numId="3">
    <w:abstractNumId w:val="0"/>
  </w:num>
  <w:num w:numId="4">
    <w:abstractNumId w:val="19"/>
  </w:num>
  <w:num w:numId="5">
    <w:abstractNumId w:val="3"/>
  </w:num>
  <w:num w:numId="6">
    <w:abstractNumId w:val="27"/>
  </w:num>
  <w:num w:numId="7">
    <w:abstractNumId w:val="1"/>
  </w:num>
  <w:num w:numId="8">
    <w:abstractNumId w:val="9"/>
  </w:num>
  <w:num w:numId="9">
    <w:abstractNumId w:val="17"/>
  </w:num>
  <w:num w:numId="10">
    <w:abstractNumId w:val="11"/>
  </w:num>
  <w:num w:numId="11">
    <w:abstractNumId w:val="22"/>
  </w:num>
  <w:num w:numId="12">
    <w:abstractNumId w:val="23"/>
  </w:num>
  <w:num w:numId="13">
    <w:abstractNumId w:val="8"/>
  </w:num>
  <w:num w:numId="14">
    <w:abstractNumId w:val="18"/>
  </w:num>
  <w:num w:numId="15">
    <w:abstractNumId w:val="26"/>
  </w:num>
  <w:num w:numId="16">
    <w:abstractNumId w:val="2"/>
  </w:num>
  <w:num w:numId="17">
    <w:abstractNumId w:val="5"/>
  </w:num>
  <w:num w:numId="18">
    <w:abstractNumId w:val="24"/>
  </w:num>
  <w:num w:numId="19">
    <w:abstractNumId w:val="10"/>
  </w:num>
  <w:num w:numId="20">
    <w:abstractNumId w:val="12"/>
  </w:num>
  <w:num w:numId="21">
    <w:abstractNumId w:val="16"/>
  </w:num>
  <w:num w:numId="22">
    <w:abstractNumId w:val="6"/>
  </w:num>
  <w:num w:numId="23">
    <w:abstractNumId w:val="15"/>
  </w:num>
  <w:num w:numId="24">
    <w:abstractNumId w:val="4"/>
  </w:num>
  <w:num w:numId="25">
    <w:abstractNumId w:val="20"/>
  </w:num>
  <w:num w:numId="26">
    <w:abstractNumId w:val="25"/>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3A"/>
    <w:rsid w:val="00030BA6"/>
    <w:rsid w:val="005B7738"/>
    <w:rsid w:val="005C0055"/>
    <w:rsid w:val="006E2E45"/>
    <w:rsid w:val="00971098"/>
    <w:rsid w:val="009D010E"/>
    <w:rsid w:val="00B5039F"/>
    <w:rsid w:val="00D62029"/>
    <w:rsid w:val="00DB128A"/>
    <w:rsid w:val="00E02E76"/>
    <w:rsid w:val="00FA5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663E8F-1E0B-42A8-85A4-431DBF52E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0">
    <w:basedOn w:val="TableNormal"/>
    <w:pPr>
      <w:spacing w:after="0" w:line="240" w:lineRule="auto"/>
    </w:pPr>
    <w:rPr>
      <w:sz w:val="20"/>
      <w:szCs w:val="20"/>
    </w:rPr>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DB12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128A"/>
  </w:style>
  <w:style w:type="paragraph" w:styleId="Footer">
    <w:name w:val="footer"/>
    <w:basedOn w:val="Normal"/>
    <w:link w:val="FooterChar"/>
    <w:uiPriority w:val="99"/>
    <w:unhideWhenUsed/>
    <w:rsid w:val="00DB1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128A"/>
  </w:style>
  <w:style w:type="character" w:styleId="Hyperlink">
    <w:name w:val="Hyperlink"/>
    <w:basedOn w:val="DefaultParagraphFont"/>
    <w:uiPriority w:val="99"/>
    <w:unhideWhenUsed/>
    <w:rsid w:val="00030BA6"/>
    <w:rPr>
      <w:color w:val="0000FF" w:themeColor="hyperlink"/>
      <w:u w:val="single"/>
    </w:rPr>
  </w:style>
  <w:style w:type="paragraph" w:styleId="ListParagraph">
    <w:name w:val="List Paragraph"/>
    <w:basedOn w:val="Normal"/>
    <w:uiPriority w:val="34"/>
    <w:qFormat/>
    <w:rsid w:val="00030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publications/procurement-policy-note-0815-tax-arrangements-of-appoint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27</Pages>
  <Words>9575</Words>
  <Characters>54584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6</cp:revision>
  <dcterms:created xsi:type="dcterms:W3CDTF">2023-10-10T11:25:00Z</dcterms:created>
  <dcterms:modified xsi:type="dcterms:W3CDTF">2023-10-26T14:30:00Z</dcterms:modified>
</cp:coreProperties>
</file>