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79E" w:rsidRDefault="00577DEF">
      <w:pPr>
        <w:pBdr>
          <w:top w:val="nil"/>
          <w:left w:val="nil"/>
          <w:bottom w:val="nil"/>
          <w:right w:val="nil"/>
          <w:between w:val="nil"/>
        </w:pBdr>
        <w:tabs>
          <w:tab w:val="center" w:pos="4513"/>
          <w:tab w:val="right" w:pos="9026"/>
        </w:tabs>
        <w:spacing w:after="0"/>
        <w:jc w:val="left"/>
        <w:rPr>
          <w:rFonts w:ascii="Arial" w:eastAsia="Arial" w:hAnsi="Arial" w:cs="Arial"/>
          <w:b/>
          <w:color w:val="000000"/>
          <w:sz w:val="36"/>
          <w:szCs w:val="36"/>
        </w:rPr>
      </w:pPr>
      <w:r>
        <w:rPr>
          <w:rFonts w:ascii="Arial" w:eastAsia="Arial" w:hAnsi="Arial" w:cs="Arial"/>
          <w:b/>
          <w:color w:val="000000"/>
          <w:sz w:val="36"/>
          <w:szCs w:val="36"/>
        </w:rPr>
        <w:t>Joint Schedule 7 (Financial Difficulties)</w:t>
      </w:r>
    </w:p>
    <w:p w:rsidR="0078379E" w:rsidRDefault="0078379E">
      <w:pPr>
        <w:pBdr>
          <w:top w:val="nil"/>
          <w:left w:val="nil"/>
          <w:bottom w:val="nil"/>
          <w:right w:val="nil"/>
          <w:between w:val="nil"/>
        </w:pBdr>
        <w:tabs>
          <w:tab w:val="left" w:pos="1985"/>
        </w:tabs>
        <w:spacing w:before="120" w:after="120"/>
        <w:ind w:left="-142" w:hanging="720"/>
        <w:jc w:val="left"/>
        <w:rPr>
          <w:rFonts w:ascii="Arial" w:eastAsia="Arial" w:hAnsi="Arial" w:cs="Arial"/>
          <w:color w:val="000000"/>
          <w:sz w:val="24"/>
          <w:szCs w:val="24"/>
        </w:rPr>
      </w:pPr>
    </w:p>
    <w:p w:rsidR="0078379E" w:rsidRDefault="00577DEF" w:rsidP="005A0C6B">
      <w:pPr>
        <w:keepNext/>
        <w:numPr>
          <w:ilvl w:val="0"/>
          <w:numId w:val="2"/>
        </w:numPr>
        <w:pBdr>
          <w:top w:val="nil"/>
          <w:left w:val="nil"/>
          <w:bottom w:val="nil"/>
          <w:right w:val="nil"/>
          <w:between w:val="nil"/>
        </w:pBdr>
        <w:tabs>
          <w:tab w:val="left" w:pos="142"/>
        </w:tabs>
        <w:spacing w:before="120"/>
        <w:ind w:left="357" w:hanging="357"/>
        <w:jc w:val="left"/>
      </w:pPr>
      <w:r>
        <w:rPr>
          <w:rFonts w:ascii="Arial Bold" w:eastAsia="Arial Bold" w:hAnsi="Arial Bold" w:cs="Arial Bold"/>
          <w:b/>
          <w:color w:val="000000"/>
          <w:sz w:val="24"/>
          <w:szCs w:val="24"/>
        </w:rPr>
        <w:t>Definitions</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pPr>
      <w:r>
        <w:rPr>
          <w:rFonts w:ascii="Arial" w:eastAsia="Arial" w:hAnsi="Arial" w:cs="Arial"/>
          <w:color w:val="000000"/>
          <w:sz w:val="24"/>
          <w:szCs w:val="24"/>
        </w:rPr>
        <w:t>In this Schedule, the following definitions shall apply:</w:t>
      </w:r>
    </w:p>
    <w:tbl>
      <w:tblPr>
        <w:tblStyle w:val="a"/>
        <w:tblW w:w="8655"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3075"/>
        <w:gridCol w:w="5580"/>
      </w:tblGrid>
      <w:tr w:rsidR="0078379E">
        <w:tc>
          <w:tcPr>
            <w:tcW w:w="3075" w:type="dxa"/>
          </w:tcPr>
          <w:p w:rsidR="0078379E" w:rsidRDefault="00577DEF">
            <w:pPr>
              <w:pBdr>
                <w:top w:val="nil"/>
                <w:left w:val="nil"/>
                <w:bottom w:val="nil"/>
                <w:right w:val="nil"/>
                <w:between w:val="nil"/>
              </w:pBdr>
              <w:tabs>
                <w:tab w:val="left" w:pos="1134"/>
              </w:tabs>
              <w:spacing w:before="120" w:after="120"/>
              <w:ind w:left="644" w:hanging="644"/>
              <w:jc w:val="left"/>
              <w:rPr>
                <w:rFonts w:ascii="Arial" w:eastAsia="Arial" w:hAnsi="Arial" w:cs="Arial"/>
                <w:b/>
                <w:color w:val="000000"/>
                <w:sz w:val="24"/>
                <w:szCs w:val="24"/>
              </w:rPr>
            </w:pPr>
            <w:r>
              <w:rPr>
                <w:rFonts w:ascii="Arial" w:eastAsia="Arial" w:hAnsi="Arial" w:cs="Arial"/>
                <w:b/>
                <w:color w:val="000000"/>
                <w:sz w:val="24"/>
                <w:szCs w:val="24"/>
              </w:rPr>
              <w:t>“Applicable Financial Indicators”</w:t>
            </w:r>
          </w:p>
        </w:tc>
        <w:tc>
          <w:tcPr>
            <w:tcW w:w="5580" w:type="dxa"/>
          </w:tcPr>
          <w:p w:rsidR="0078379E" w:rsidRDefault="00577DEF">
            <w:pPr>
              <w:keepNext/>
              <w:pBdr>
                <w:top w:val="nil"/>
                <w:left w:val="nil"/>
                <w:bottom w:val="nil"/>
                <w:right w:val="nil"/>
                <w:between w:val="nil"/>
              </w:pBdr>
              <w:spacing w:after="240"/>
              <w:jc w:val="left"/>
              <w:rPr>
                <w:rFonts w:ascii="Arial" w:eastAsia="Arial" w:hAnsi="Arial" w:cs="Arial"/>
                <w:smallCaps/>
                <w:color w:val="000000"/>
                <w:sz w:val="24"/>
                <w:szCs w:val="24"/>
              </w:rPr>
            </w:pPr>
            <w:r>
              <w:rPr>
                <w:rFonts w:ascii="Arial" w:eastAsia="Arial" w:hAnsi="Arial" w:cs="Arial"/>
                <w:color w:val="000000"/>
                <w:sz w:val="24"/>
                <w:szCs w:val="24"/>
              </w:rPr>
              <w:t xml:space="preserve">means the financial indicators from Paragraph </w:t>
            </w:r>
            <w:r>
              <w:rPr>
                <w:rFonts w:ascii="Arial" w:eastAsia="Arial" w:hAnsi="Arial" w:cs="Arial"/>
                <w:smallCaps/>
                <w:color w:val="000000"/>
                <w:sz w:val="24"/>
                <w:szCs w:val="24"/>
              </w:rPr>
              <w:t xml:space="preserve">5.1 </w:t>
            </w:r>
            <w:r>
              <w:rPr>
                <w:rFonts w:ascii="Arial" w:eastAsia="Arial" w:hAnsi="Arial" w:cs="Arial"/>
                <w:color w:val="000000"/>
                <w:sz w:val="24"/>
                <w:szCs w:val="24"/>
              </w:rPr>
              <w:t>of this Schedule which are to apply to the Monitored Suppliers as set out in Paragraph 5.2 of this Schedule;</w:t>
            </w:r>
          </w:p>
        </w:tc>
      </w:tr>
      <w:tr w:rsidR="0078379E">
        <w:tc>
          <w:tcPr>
            <w:tcW w:w="3075" w:type="dxa"/>
          </w:tcPr>
          <w:p w:rsidR="0078379E" w:rsidRDefault="00577DEF">
            <w:pPr>
              <w:pBdr>
                <w:top w:val="nil"/>
                <w:left w:val="nil"/>
                <w:bottom w:val="nil"/>
                <w:right w:val="nil"/>
                <w:between w:val="nil"/>
              </w:pBdr>
              <w:tabs>
                <w:tab w:val="left" w:pos="1134"/>
              </w:tabs>
              <w:spacing w:before="120" w:after="120"/>
              <w:ind w:left="644" w:hanging="644"/>
              <w:jc w:val="left"/>
              <w:rPr>
                <w:rFonts w:ascii="Arial" w:eastAsia="Arial" w:hAnsi="Arial" w:cs="Arial"/>
                <w:b/>
                <w:color w:val="000000"/>
                <w:sz w:val="24"/>
                <w:szCs w:val="24"/>
              </w:rPr>
            </w:pPr>
            <w:r>
              <w:rPr>
                <w:rFonts w:ascii="Arial" w:eastAsia="Arial" w:hAnsi="Arial" w:cs="Arial"/>
                <w:b/>
                <w:color w:val="000000"/>
                <w:sz w:val="24"/>
                <w:szCs w:val="24"/>
              </w:rPr>
              <w:t>“Board”</w:t>
            </w:r>
          </w:p>
        </w:tc>
        <w:tc>
          <w:tcPr>
            <w:tcW w:w="5580" w:type="dxa"/>
          </w:tcPr>
          <w:p w:rsidR="0078379E" w:rsidRDefault="00577DEF">
            <w:pPr>
              <w:pBdr>
                <w:top w:val="nil"/>
                <w:left w:val="nil"/>
                <w:bottom w:val="nil"/>
                <w:right w:val="nil"/>
                <w:between w:val="nil"/>
              </w:pBdr>
              <w:tabs>
                <w:tab w:val="left" w:pos="1134"/>
              </w:tabs>
              <w:spacing w:before="120" w:after="120"/>
              <w:ind w:left="644" w:hanging="644"/>
              <w:jc w:val="left"/>
              <w:rPr>
                <w:rFonts w:ascii="Arial" w:eastAsia="Arial" w:hAnsi="Arial" w:cs="Arial"/>
                <w:color w:val="000000"/>
                <w:sz w:val="24"/>
                <w:szCs w:val="24"/>
              </w:rPr>
            </w:pPr>
            <w:r>
              <w:rPr>
                <w:rFonts w:ascii="Arial" w:eastAsia="Arial" w:hAnsi="Arial" w:cs="Arial"/>
                <w:color w:val="000000"/>
                <w:sz w:val="24"/>
                <w:szCs w:val="24"/>
              </w:rPr>
              <w:t>means the Supplier’s board of directors;</w:t>
            </w:r>
          </w:p>
        </w:tc>
      </w:tr>
      <w:tr w:rsidR="0078379E">
        <w:tc>
          <w:tcPr>
            <w:tcW w:w="3075" w:type="dxa"/>
          </w:tcPr>
          <w:p w:rsidR="0078379E" w:rsidRDefault="00577DEF">
            <w:pPr>
              <w:pBdr>
                <w:top w:val="nil"/>
                <w:left w:val="nil"/>
                <w:bottom w:val="nil"/>
                <w:right w:val="nil"/>
                <w:between w:val="nil"/>
              </w:pBdr>
              <w:tabs>
                <w:tab w:val="left" w:pos="1134"/>
              </w:tabs>
              <w:spacing w:before="120" w:after="120"/>
              <w:ind w:left="644" w:hanging="644"/>
              <w:jc w:val="left"/>
              <w:rPr>
                <w:rFonts w:ascii="Arial" w:eastAsia="Arial" w:hAnsi="Arial" w:cs="Arial"/>
                <w:b/>
                <w:color w:val="000000"/>
                <w:sz w:val="24"/>
                <w:szCs w:val="24"/>
              </w:rPr>
            </w:pPr>
            <w:r>
              <w:rPr>
                <w:rFonts w:ascii="Arial" w:eastAsia="Arial" w:hAnsi="Arial" w:cs="Arial"/>
                <w:b/>
                <w:color w:val="000000"/>
                <w:sz w:val="24"/>
                <w:szCs w:val="24"/>
              </w:rPr>
              <w:t>“Board Confirmation”</w:t>
            </w:r>
          </w:p>
        </w:tc>
        <w:tc>
          <w:tcPr>
            <w:tcW w:w="5580" w:type="dxa"/>
          </w:tcPr>
          <w:p w:rsidR="0078379E" w:rsidRDefault="00577DEF">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means written confirmation from the Board in accordance with Paragraph 8 of this Schedule;</w:t>
            </w:r>
          </w:p>
        </w:tc>
      </w:tr>
      <w:tr w:rsidR="0078379E">
        <w:tc>
          <w:tcPr>
            <w:tcW w:w="3075"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b/>
                <w:color w:val="000000"/>
                <w:sz w:val="24"/>
                <w:szCs w:val="24"/>
              </w:rPr>
            </w:pPr>
            <w:r>
              <w:rPr>
                <w:rFonts w:ascii="Arial" w:eastAsia="Arial" w:hAnsi="Arial" w:cs="Arial"/>
                <w:b/>
                <w:color w:val="000000"/>
                <w:sz w:val="24"/>
                <w:szCs w:val="24"/>
              </w:rPr>
              <w:t>“Cabinet Office Markets and Suppliers Team”</w:t>
            </w:r>
          </w:p>
        </w:tc>
        <w:tc>
          <w:tcPr>
            <w:tcW w:w="5580"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color w:val="000000"/>
                <w:sz w:val="24"/>
                <w:szCs w:val="24"/>
              </w:rPr>
            </w:pPr>
            <w:r>
              <w:rPr>
                <w:rFonts w:ascii="Arial" w:eastAsia="Arial" w:hAnsi="Arial" w:cs="Arial"/>
                <w:color w:val="000000"/>
                <w:sz w:val="24"/>
                <w:szCs w:val="24"/>
              </w:rPr>
              <w:t>means the UK Government’s team responsible for managing the relationship between government and its Strategic Suppliers,</w:t>
            </w:r>
            <w:r>
              <w:rPr>
                <w:rFonts w:ascii="Arial" w:eastAsia="Arial" w:hAnsi="Arial" w:cs="Arial"/>
                <w:color w:val="000000"/>
                <w:sz w:val="24"/>
                <w:szCs w:val="24"/>
              </w:rPr>
              <w:t xml:space="preserve"> or any replacement or successor body carrying out the same function;</w:t>
            </w:r>
          </w:p>
        </w:tc>
      </w:tr>
      <w:tr w:rsidR="0078379E">
        <w:tc>
          <w:tcPr>
            <w:tcW w:w="3075"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b/>
                <w:color w:val="000000"/>
                <w:sz w:val="24"/>
                <w:szCs w:val="24"/>
              </w:rPr>
            </w:pPr>
            <w:r>
              <w:rPr>
                <w:rFonts w:ascii="Arial" w:eastAsia="Arial" w:hAnsi="Arial" w:cs="Arial"/>
                <w:b/>
                <w:color w:val="000000"/>
                <w:sz w:val="24"/>
                <w:szCs w:val="24"/>
              </w:rPr>
              <w:t>“Credit Rating Threshold”</w:t>
            </w:r>
          </w:p>
        </w:tc>
        <w:tc>
          <w:tcPr>
            <w:tcW w:w="5580"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color w:val="000000"/>
                <w:sz w:val="24"/>
                <w:szCs w:val="24"/>
              </w:rPr>
            </w:pPr>
            <w:r>
              <w:rPr>
                <w:rFonts w:ascii="Arial" w:eastAsia="Arial" w:hAnsi="Arial" w:cs="Arial"/>
                <w:color w:val="000000"/>
                <w:sz w:val="24"/>
                <w:szCs w:val="24"/>
              </w:rPr>
              <w:t>the minimum credit rating level for each entity in the FDE Group as set out in Annex 1 to this Schedule;</w:t>
            </w:r>
          </w:p>
        </w:tc>
      </w:tr>
      <w:tr w:rsidR="0078379E">
        <w:tc>
          <w:tcPr>
            <w:tcW w:w="3075"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b/>
                <w:color w:val="000000"/>
                <w:sz w:val="24"/>
                <w:szCs w:val="24"/>
              </w:rPr>
            </w:pPr>
            <w:r>
              <w:rPr>
                <w:rFonts w:ascii="Arial" w:eastAsia="Arial" w:hAnsi="Arial" w:cs="Arial"/>
                <w:b/>
                <w:color w:val="000000"/>
                <w:sz w:val="24"/>
                <w:szCs w:val="24"/>
              </w:rPr>
              <w:t>“FDE Group”</w:t>
            </w:r>
          </w:p>
        </w:tc>
        <w:tc>
          <w:tcPr>
            <w:tcW w:w="5580"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color w:val="000000"/>
                <w:sz w:val="24"/>
                <w:szCs w:val="24"/>
              </w:rPr>
            </w:pPr>
            <w:r>
              <w:rPr>
                <w:rFonts w:ascii="Arial" w:eastAsia="Arial" w:hAnsi="Arial" w:cs="Arial"/>
                <w:color w:val="000000"/>
                <w:sz w:val="24"/>
                <w:szCs w:val="24"/>
              </w:rPr>
              <w:t xml:space="preserve">means the </w:t>
            </w:r>
            <w:r>
              <w:rPr>
                <w:rFonts w:ascii="Arial" w:eastAsia="Arial" w:hAnsi="Arial" w:cs="Arial"/>
                <w:color w:val="000000"/>
                <w:sz w:val="24"/>
                <w:szCs w:val="24"/>
                <w:highlight w:val="yellow"/>
              </w:rPr>
              <w:t>[Supplier, Key Sub-contractors, [the Guarantor] and the [Monitored Suppliers]]</w:t>
            </w:r>
            <w:r>
              <w:rPr>
                <w:rFonts w:ascii="Arial" w:eastAsia="Arial" w:hAnsi="Arial" w:cs="Arial"/>
                <w:color w:val="000000"/>
                <w:sz w:val="24"/>
                <w:szCs w:val="24"/>
              </w:rPr>
              <w:t>;</w:t>
            </w:r>
          </w:p>
        </w:tc>
      </w:tr>
      <w:tr w:rsidR="0078379E">
        <w:tc>
          <w:tcPr>
            <w:tcW w:w="3075"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b/>
                <w:color w:val="000000"/>
                <w:sz w:val="24"/>
                <w:szCs w:val="24"/>
              </w:rPr>
            </w:pPr>
            <w:r>
              <w:rPr>
                <w:rFonts w:ascii="Arial" w:eastAsia="Arial" w:hAnsi="Arial" w:cs="Arial"/>
                <w:b/>
                <w:color w:val="000000"/>
                <w:sz w:val="24"/>
                <w:szCs w:val="24"/>
              </w:rPr>
              <w:t>“Financial Distress Event”</w:t>
            </w:r>
          </w:p>
        </w:tc>
        <w:tc>
          <w:tcPr>
            <w:tcW w:w="5580"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color w:val="000000"/>
                <w:sz w:val="24"/>
                <w:szCs w:val="24"/>
              </w:rPr>
            </w:pPr>
            <w:r>
              <w:rPr>
                <w:rFonts w:ascii="Arial" w:eastAsia="Arial" w:hAnsi="Arial" w:cs="Arial"/>
                <w:color w:val="000000"/>
                <w:sz w:val="24"/>
                <w:szCs w:val="24"/>
              </w:rPr>
              <w:t>Any of the events listed in Paragraph 3.1 of this Schedule;</w:t>
            </w:r>
          </w:p>
        </w:tc>
      </w:tr>
      <w:tr w:rsidR="0078379E">
        <w:tc>
          <w:tcPr>
            <w:tcW w:w="3075"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b/>
                <w:color w:val="000000"/>
                <w:sz w:val="24"/>
                <w:szCs w:val="24"/>
              </w:rPr>
            </w:pPr>
            <w:r>
              <w:rPr>
                <w:rFonts w:ascii="Arial" w:eastAsia="Arial" w:hAnsi="Arial" w:cs="Arial"/>
                <w:b/>
                <w:color w:val="000000"/>
                <w:sz w:val="24"/>
                <w:szCs w:val="24"/>
              </w:rPr>
              <w:t>“Financial Distress Remediation Plan”</w:t>
            </w:r>
          </w:p>
        </w:tc>
        <w:tc>
          <w:tcPr>
            <w:tcW w:w="5580"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color w:val="000000"/>
                <w:sz w:val="24"/>
                <w:szCs w:val="24"/>
              </w:rPr>
            </w:pPr>
            <w:r>
              <w:rPr>
                <w:rFonts w:ascii="Arial" w:eastAsia="Arial" w:hAnsi="Arial" w:cs="Arial"/>
                <w:color w:val="000000"/>
                <w:sz w:val="24"/>
                <w:szCs w:val="24"/>
              </w:rPr>
              <w:t>a plan setting out how the Supplier will ensure t</w:t>
            </w:r>
            <w:r>
              <w:rPr>
                <w:rFonts w:ascii="Arial" w:eastAsia="Arial" w:hAnsi="Arial" w:cs="Arial"/>
                <w:color w:val="000000"/>
                <w:sz w:val="24"/>
                <w:szCs w:val="24"/>
              </w:rPr>
              <w:t>he continued performance and delivery of the Deliverables in accordance with the Contract in the event that a Financial Distress Event occurs;</w:t>
            </w:r>
          </w:p>
        </w:tc>
      </w:tr>
      <w:tr w:rsidR="0078379E">
        <w:tc>
          <w:tcPr>
            <w:tcW w:w="3075"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b/>
                <w:color w:val="000000"/>
                <w:sz w:val="24"/>
                <w:szCs w:val="24"/>
              </w:rPr>
            </w:pPr>
            <w:bookmarkStart w:id="0" w:name="_gjdgxs" w:colFirst="0" w:colLast="0"/>
            <w:bookmarkEnd w:id="0"/>
            <w:r>
              <w:rPr>
                <w:rFonts w:ascii="Arial" w:eastAsia="Arial" w:hAnsi="Arial" w:cs="Arial"/>
                <w:b/>
                <w:color w:val="000000"/>
                <w:sz w:val="24"/>
                <w:szCs w:val="24"/>
              </w:rPr>
              <w:t>“Financial Indicators”</w:t>
            </w:r>
          </w:p>
        </w:tc>
        <w:tc>
          <w:tcPr>
            <w:tcW w:w="5580"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color w:val="000000"/>
                <w:sz w:val="24"/>
                <w:szCs w:val="24"/>
              </w:rPr>
            </w:pPr>
            <w:r>
              <w:rPr>
                <w:rFonts w:ascii="Arial" w:eastAsia="Arial" w:hAnsi="Arial" w:cs="Arial"/>
                <w:color w:val="000000"/>
                <w:sz w:val="24"/>
                <w:szCs w:val="24"/>
              </w:rPr>
              <w:t>in respect of the Supplier, Key Sub-contractors and the Guarantor, means each of the fina</w:t>
            </w:r>
            <w:r>
              <w:rPr>
                <w:rFonts w:ascii="Arial" w:eastAsia="Arial" w:hAnsi="Arial" w:cs="Arial"/>
                <w:color w:val="000000"/>
                <w:sz w:val="24"/>
                <w:szCs w:val="24"/>
              </w:rPr>
              <w:t>ncial indicators set out at paragraph 5.1 of this Schedule and in respect of each Monitored Supplier, means those Applicable Financial Indicators;</w:t>
            </w:r>
          </w:p>
        </w:tc>
      </w:tr>
      <w:tr w:rsidR="0078379E">
        <w:tc>
          <w:tcPr>
            <w:tcW w:w="3075"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b/>
                <w:color w:val="000000"/>
                <w:sz w:val="24"/>
                <w:szCs w:val="24"/>
              </w:rPr>
            </w:pPr>
            <w:r>
              <w:rPr>
                <w:rFonts w:ascii="Arial" w:eastAsia="Arial" w:hAnsi="Arial" w:cs="Arial"/>
                <w:b/>
                <w:color w:val="000000"/>
                <w:sz w:val="24"/>
                <w:szCs w:val="24"/>
              </w:rPr>
              <w:t>“Financial Target Thresholds”</w:t>
            </w:r>
          </w:p>
        </w:tc>
        <w:tc>
          <w:tcPr>
            <w:tcW w:w="5580"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color w:val="000000"/>
                <w:sz w:val="24"/>
                <w:szCs w:val="24"/>
              </w:rPr>
            </w:pPr>
            <w:r>
              <w:rPr>
                <w:rFonts w:ascii="Arial" w:eastAsia="Arial" w:hAnsi="Arial" w:cs="Arial"/>
                <w:color w:val="000000"/>
                <w:sz w:val="24"/>
                <w:szCs w:val="24"/>
              </w:rPr>
              <w:t>means the target thresholds for each of the Financial Indicators set out at paragraph 5.1 of this Schedule;</w:t>
            </w:r>
          </w:p>
        </w:tc>
      </w:tr>
      <w:tr w:rsidR="0078379E">
        <w:tc>
          <w:tcPr>
            <w:tcW w:w="3075"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b/>
                <w:color w:val="000000"/>
                <w:sz w:val="24"/>
                <w:szCs w:val="24"/>
              </w:rPr>
            </w:pPr>
            <w:r>
              <w:rPr>
                <w:rFonts w:ascii="Arial" w:eastAsia="Arial" w:hAnsi="Arial" w:cs="Arial"/>
                <w:b/>
                <w:color w:val="000000"/>
                <w:sz w:val="24"/>
                <w:szCs w:val="24"/>
              </w:rPr>
              <w:lastRenderedPageBreak/>
              <w:t>“Monitored Suppliers”</w:t>
            </w:r>
          </w:p>
        </w:tc>
        <w:tc>
          <w:tcPr>
            <w:tcW w:w="5580"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color w:val="000000"/>
                <w:sz w:val="24"/>
                <w:szCs w:val="24"/>
              </w:rPr>
            </w:pPr>
            <w:r>
              <w:rPr>
                <w:rFonts w:ascii="Arial" w:eastAsia="Arial" w:hAnsi="Arial" w:cs="Arial"/>
                <w:color w:val="000000"/>
                <w:sz w:val="24"/>
                <w:szCs w:val="24"/>
              </w:rPr>
              <w:t>means those entities specified at paragraph 5.2 of this Schedule;</w:t>
            </w:r>
          </w:p>
        </w:tc>
      </w:tr>
      <w:tr w:rsidR="0078379E">
        <w:tc>
          <w:tcPr>
            <w:tcW w:w="3075"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b/>
                <w:color w:val="000000"/>
                <w:sz w:val="24"/>
                <w:szCs w:val="24"/>
              </w:rPr>
            </w:pPr>
            <w:r>
              <w:rPr>
                <w:rFonts w:ascii="Arial" w:eastAsia="Arial" w:hAnsi="Arial" w:cs="Arial"/>
                <w:b/>
                <w:color w:val="000000"/>
                <w:sz w:val="24"/>
                <w:szCs w:val="24"/>
              </w:rPr>
              <w:t>“Rating Agencies”</w:t>
            </w:r>
          </w:p>
        </w:tc>
        <w:tc>
          <w:tcPr>
            <w:tcW w:w="5580"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color w:val="000000"/>
                <w:sz w:val="24"/>
                <w:szCs w:val="24"/>
              </w:rPr>
            </w:pPr>
            <w:r>
              <w:rPr>
                <w:rFonts w:ascii="Arial" w:eastAsia="Arial" w:hAnsi="Arial" w:cs="Arial"/>
                <w:color w:val="000000"/>
                <w:sz w:val="24"/>
                <w:szCs w:val="24"/>
              </w:rPr>
              <w:t>The rating agencies listed in Annex 1 of</w:t>
            </w:r>
            <w:r>
              <w:rPr>
                <w:rFonts w:ascii="Arial" w:eastAsia="Arial" w:hAnsi="Arial" w:cs="Arial"/>
                <w:color w:val="000000"/>
                <w:sz w:val="24"/>
                <w:szCs w:val="24"/>
              </w:rPr>
              <w:t xml:space="preserve"> this Schedule;</w:t>
            </w:r>
          </w:p>
        </w:tc>
      </w:tr>
      <w:tr w:rsidR="0078379E">
        <w:tc>
          <w:tcPr>
            <w:tcW w:w="3075"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b/>
                <w:color w:val="000000"/>
                <w:sz w:val="24"/>
                <w:szCs w:val="24"/>
              </w:rPr>
            </w:pPr>
            <w:r>
              <w:rPr>
                <w:rFonts w:ascii="Arial" w:eastAsia="Arial" w:hAnsi="Arial" w:cs="Arial"/>
                <w:b/>
                <w:color w:val="000000"/>
                <w:sz w:val="24"/>
                <w:szCs w:val="24"/>
              </w:rPr>
              <w:t>“Strategic Supplier”</w:t>
            </w:r>
          </w:p>
        </w:tc>
        <w:tc>
          <w:tcPr>
            <w:tcW w:w="5580" w:type="dxa"/>
          </w:tcPr>
          <w:p w:rsidR="0078379E" w:rsidRDefault="00577DEF">
            <w:pPr>
              <w:pBdr>
                <w:top w:val="nil"/>
                <w:left w:val="nil"/>
                <w:bottom w:val="nil"/>
                <w:right w:val="nil"/>
                <w:between w:val="nil"/>
              </w:pBdr>
              <w:tabs>
                <w:tab w:val="left" w:pos="1134"/>
              </w:tabs>
              <w:spacing w:before="120" w:after="120"/>
              <w:ind w:left="141"/>
              <w:jc w:val="left"/>
              <w:rPr>
                <w:rFonts w:ascii="Arial" w:eastAsia="Arial" w:hAnsi="Arial" w:cs="Arial"/>
                <w:color w:val="000000"/>
                <w:sz w:val="24"/>
                <w:szCs w:val="24"/>
              </w:rPr>
            </w:pPr>
            <w:r>
              <w:rPr>
                <w:rFonts w:ascii="Arial" w:eastAsia="Arial" w:hAnsi="Arial" w:cs="Arial"/>
                <w:color w:val="000000"/>
                <w:sz w:val="24"/>
                <w:szCs w:val="24"/>
              </w:rPr>
              <w:t xml:space="preserve">means those suppliers </w:t>
            </w:r>
            <w:r>
              <w:rPr>
                <w:rFonts w:ascii="Arial" w:eastAsia="Arial" w:hAnsi="Arial" w:cs="Arial"/>
                <w:sz w:val="24"/>
                <w:szCs w:val="24"/>
              </w:rPr>
              <w:t>to the government</w:t>
            </w:r>
            <w:r>
              <w:rPr>
                <w:rFonts w:ascii="Arial" w:eastAsia="Arial" w:hAnsi="Arial" w:cs="Arial"/>
                <w:color w:val="000000"/>
                <w:sz w:val="24"/>
                <w:szCs w:val="24"/>
              </w:rPr>
              <w:t xml:space="preserve"> listed at</w:t>
            </w:r>
            <w:r>
              <w:rPr>
                <w:rFonts w:ascii="Arial" w:eastAsia="Arial" w:hAnsi="Arial" w:cs="Arial"/>
                <w:sz w:val="24"/>
                <w:szCs w:val="24"/>
              </w:rPr>
              <w:t xml:space="preserve">: </w:t>
            </w:r>
            <w:hyperlink r:id="rId7">
              <w:r>
                <w:rPr>
                  <w:rFonts w:ascii="Arial" w:eastAsia="Arial" w:hAnsi="Arial" w:cs="Arial"/>
                  <w:color w:val="000000"/>
                  <w:sz w:val="24"/>
                  <w:szCs w:val="24"/>
                </w:rPr>
                <w:t>https://www.gov.uk/government/publications/strategic-suppliers</w:t>
              </w:r>
            </w:hyperlink>
            <w:r w:rsidR="005A0C6B">
              <w:rPr>
                <w:rFonts w:ascii="Arial" w:eastAsia="Arial" w:hAnsi="Arial" w:cs="Arial"/>
                <w:color w:val="000000"/>
                <w:sz w:val="24"/>
                <w:szCs w:val="24"/>
              </w:rPr>
              <w:t xml:space="preserve"> </w:t>
            </w:r>
          </w:p>
        </w:tc>
      </w:tr>
    </w:tbl>
    <w:p w:rsidR="0078379E" w:rsidRDefault="00577DEF" w:rsidP="005A0C6B">
      <w:pPr>
        <w:numPr>
          <w:ilvl w:val="1"/>
          <w:numId w:val="2"/>
        </w:numPr>
        <w:pBdr>
          <w:top w:val="nil"/>
          <w:left w:val="nil"/>
          <w:bottom w:val="nil"/>
          <w:right w:val="nil"/>
          <w:between w:val="nil"/>
        </w:pBdr>
        <w:tabs>
          <w:tab w:val="left" w:pos="1134"/>
        </w:tabs>
        <w:spacing w:before="120"/>
        <w:ind w:hanging="567"/>
        <w:jc w:val="left"/>
      </w:pPr>
      <w:r>
        <w:rPr>
          <w:rFonts w:ascii="Arial" w:eastAsia="Arial" w:hAnsi="Arial" w:cs="Arial"/>
          <w:color w:val="000000"/>
          <w:sz w:val="24"/>
          <w:szCs w:val="24"/>
        </w:rPr>
        <w:t>The Parties shall comply with the provisions of this Schedule in relation to the assessment of the financial standing of the FDE Group and the consequences of a change to that financial standing.</w:t>
      </w:r>
    </w:p>
    <w:p w:rsidR="0078379E" w:rsidRDefault="00577DEF" w:rsidP="005A0C6B">
      <w:pPr>
        <w:numPr>
          <w:ilvl w:val="1"/>
          <w:numId w:val="2"/>
        </w:numPr>
        <w:pBdr>
          <w:top w:val="nil"/>
          <w:left w:val="nil"/>
          <w:bottom w:val="nil"/>
          <w:right w:val="nil"/>
          <w:between w:val="nil"/>
        </w:pBdr>
        <w:tabs>
          <w:tab w:val="left" w:pos="1134"/>
        </w:tabs>
        <w:spacing w:before="120"/>
        <w:ind w:hanging="567"/>
        <w:jc w:val="left"/>
      </w:pPr>
      <w:r>
        <w:rPr>
          <w:rFonts w:ascii="Arial" w:eastAsia="Arial" w:hAnsi="Arial" w:cs="Arial"/>
          <w:color w:val="000000"/>
          <w:sz w:val="24"/>
          <w:szCs w:val="24"/>
        </w:rPr>
        <w:t>The terms of this Schedule shall survive: </w:t>
      </w:r>
    </w:p>
    <w:p w:rsidR="0078379E" w:rsidRDefault="00577DEF" w:rsidP="005A0C6B">
      <w:pPr>
        <w:numPr>
          <w:ilvl w:val="2"/>
          <w:numId w:val="2"/>
        </w:numPr>
        <w:pBdr>
          <w:top w:val="nil"/>
          <w:left w:val="nil"/>
          <w:bottom w:val="nil"/>
          <w:right w:val="nil"/>
          <w:between w:val="nil"/>
        </w:pBdr>
        <w:tabs>
          <w:tab w:val="left" w:pos="1985"/>
        </w:tabs>
        <w:spacing w:before="120"/>
        <w:ind w:left="1967" w:hanging="720"/>
      </w:pPr>
      <w:r>
        <w:rPr>
          <w:rFonts w:ascii="Arial" w:eastAsia="Arial" w:hAnsi="Arial" w:cs="Arial"/>
          <w:color w:val="000000"/>
          <w:sz w:val="24"/>
          <w:szCs w:val="24"/>
        </w:rPr>
        <w:t>under the Framewo</w:t>
      </w:r>
      <w:r>
        <w:rPr>
          <w:rFonts w:ascii="Arial" w:eastAsia="Arial" w:hAnsi="Arial" w:cs="Arial"/>
          <w:color w:val="000000"/>
          <w:sz w:val="24"/>
          <w:szCs w:val="24"/>
        </w:rPr>
        <w:t>rk Contract until the later of (a) the termination or expiry of the Framework Contract or (b) the latest date of termination or expiry of any call-off contract entered into under the Framework Contract (which might be after the date of termination or expir</w:t>
      </w:r>
      <w:r>
        <w:rPr>
          <w:rFonts w:ascii="Arial" w:eastAsia="Arial" w:hAnsi="Arial" w:cs="Arial"/>
          <w:color w:val="000000"/>
          <w:sz w:val="24"/>
          <w:szCs w:val="24"/>
        </w:rPr>
        <w:t>y of the Framework Contract); and</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under the Call-Off Contract until the termination or expiry of the Call-Off Contract.</w:t>
      </w:r>
    </w:p>
    <w:p w:rsidR="0078379E" w:rsidRDefault="00577DEF">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Warranties and duty to notify</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sidRPr="005A0C6B">
        <w:rPr>
          <w:rFonts w:ascii="Arial" w:eastAsia="Arial" w:hAnsi="Arial" w:cs="Arial"/>
          <w:color w:val="000000"/>
          <w:sz w:val="24"/>
          <w:szCs w:val="24"/>
        </w:rPr>
        <w:t>The Supplier warrants and represents to the Relevant Authority for the benefit of the Relevant Authority that as at the Effective Date:</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the long term credit ratings issued for each entity in the FDE Group by each of the Rating Agencies are as set out in An</w:t>
      </w:r>
      <w:r>
        <w:rPr>
          <w:rFonts w:ascii="Arial" w:eastAsia="Arial" w:hAnsi="Arial" w:cs="Arial"/>
          <w:color w:val="000000"/>
          <w:sz w:val="24"/>
          <w:szCs w:val="24"/>
        </w:rPr>
        <w:t>nex 2 to this Schedule; and</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the financial position or, as appropriate, the financial performance of each of the Supplier, Guarantor and Key Sub-contractors satisfies the Financial Target Thresholds.</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sidRPr="005A0C6B">
        <w:rPr>
          <w:rFonts w:ascii="Arial" w:eastAsia="Arial" w:hAnsi="Arial" w:cs="Arial"/>
          <w:color w:val="000000"/>
          <w:sz w:val="24"/>
          <w:szCs w:val="24"/>
        </w:rPr>
        <w:t xml:space="preserve">The Supplier shall promptly notify (or shall procure that its auditors promptly notify) the Relevant Authority in writing if there is any downgrade in the credit rating issued by any Rating Agency for any entity in the FDE Group (and in any event within 5 </w:t>
      </w:r>
      <w:r w:rsidRPr="005A0C6B">
        <w:rPr>
          <w:rFonts w:ascii="Arial" w:eastAsia="Arial" w:hAnsi="Arial" w:cs="Arial"/>
          <w:color w:val="000000"/>
          <w:sz w:val="24"/>
          <w:szCs w:val="24"/>
        </w:rPr>
        <w:t>Working Days of the occurrence of the downgrade)</w:t>
      </w:r>
      <w:r>
        <w:rPr>
          <w:rFonts w:ascii="Arial" w:eastAsia="Arial" w:hAnsi="Arial" w:cs="Arial"/>
          <w:color w:val="000000"/>
          <w:sz w:val="24"/>
          <w:szCs w:val="24"/>
        </w:rPr>
        <w:t>.</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Pr>
          <w:rFonts w:ascii="Arial" w:eastAsia="Arial" w:hAnsi="Arial" w:cs="Arial"/>
          <w:color w:val="000000"/>
          <w:sz w:val="24"/>
          <w:szCs w:val="24"/>
        </w:rPr>
        <w:t>The Supplier shall:</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regularly monitor the credit ratings of each entity in the FDE Group with the Rating Agencies;</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lastRenderedPageBreak/>
        <w:t>monitor and report on the Financial Indicators for each entity in the FDE Group against the</w:t>
      </w:r>
      <w:r>
        <w:rPr>
          <w:rFonts w:ascii="Arial" w:eastAsia="Arial" w:hAnsi="Arial" w:cs="Arial"/>
          <w:color w:val="000000"/>
          <w:sz w:val="24"/>
          <w:szCs w:val="24"/>
        </w:rPr>
        <w:t xml:space="preserve"> Financial Target Thresholds at least at the frequency set out for each at Paragraph 5.1 (where specified) and in any event, on a regular basis and no less than once a year within ninety (90) days after the Accounting Reference Date; and</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promptly notify (o</w:t>
      </w:r>
      <w:r>
        <w:rPr>
          <w:rFonts w:ascii="Arial" w:eastAsia="Arial" w:hAnsi="Arial" w:cs="Arial"/>
          <w:color w:val="000000"/>
          <w:sz w:val="24"/>
          <w:szCs w:val="24"/>
        </w:rPr>
        <w:t>r shall procure that its auditors promptly notify) the Relevant Authority in writing following the occurrence of a Financial Distress Event or any fact, circumstance or matter which could cause a Financial Distress Event (and in any event, ensure that such</w:t>
      </w:r>
      <w:r>
        <w:rPr>
          <w:rFonts w:ascii="Arial" w:eastAsia="Arial" w:hAnsi="Arial" w:cs="Arial"/>
          <w:color w:val="000000"/>
          <w:sz w:val="24"/>
          <w:szCs w:val="24"/>
        </w:rPr>
        <w:t xml:space="preserve"> notification is made within 10 Working Days of the date on which the Supplier first becomes aware of the Financial Distress Event or the fact, circumstance or matter which could cause a Financial Distress Event).</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Pr>
          <w:rFonts w:ascii="Arial" w:eastAsia="Arial" w:hAnsi="Arial" w:cs="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w:t>
      </w:r>
      <w:r>
        <w:rPr>
          <w:rFonts w:ascii="Arial" w:eastAsia="Arial" w:hAnsi="Arial" w:cs="Arial"/>
          <w:color w:val="000000"/>
          <w:sz w:val="24"/>
          <w:szCs w:val="24"/>
        </w:rPr>
        <w:t>ropped below the applicable Credit Rating Threshold if any of the Rating Agencies have rated that entity at or below the applicable Credit Rating Threshold.</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Pr>
          <w:rFonts w:ascii="Arial" w:eastAsia="Arial" w:hAnsi="Arial" w:cs="Arial"/>
          <w:color w:val="000000"/>
          <w:sz w:val="24"/>
          <w:szCs w:val="24"/>
        </w:rPr>
        <w:t>Each report submitted by the Supplier pursuant to paragraph 2.3.2 shall:</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be a single report with se</w:t>
      </w:r>
      <w:r>
        <w:rPr>
          <w:rFonts w:ascii="Arial" w:eastAsia="Arial" w:hAnsi="Arial" w:cs="Arial"/>
          <w:color w:val="000000"/>
          <w:sz w:val="24"/>
          <w:szCs w:val="24"/>
        </w:rPr>
        <w:t>parate sections for each of the FDE Group entities;</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contain a sufficient level of information to enable the Relevant Authority to verify the calculations that have been made in respect of the Financial Indicators;</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include key financial and other supporting</w:t>
      </w:r>
      <w:r>
        <w:rPr>
          <w:rFonts w:ascii="Arial" w:eastAsia="Arial" w:hAnsi="Arial" w:cs="Arial"/>
          <w:color w:val="000000"/>
          <w:sz w:val="24"/>
          <w:szCs w:val="24"/>
        </w:rPr>
        <w:t xml:space="preserve"> information (including any accounts data that has been relied on) as separate annexes;</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be based on the audited accounts for the date or period on which the Financial Indicator is based or, where the Financial Indicator is not linked to an accounting perio</w:t>
      </w:r>
      <w:r>
        <w:rPr>
          <w:rFonts w:ascii="Arial" w:eastAsia="Arial" w:hAnsi="Arial" w:cs="Arial"/>
          <w:color w:val="000000"/>
          <w:sz w:val="24"/>
          <w:szCs w:val="24"/>
        </w:rPr>
        <w:t>d or an accounting reference date, on unaudited management accounts prepared in accordance with their normal timetable; and</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include a history of the Financial Indicators reported by the Supplier in graph form to enable the Relevant Authority to easily anal</w:t>
      </w:r>
      <w:r>
        <w:rPr>
          <w:rFonts w:ascii="Arial" w:eastAsia="Arial" w:hAnsi="Arial" w:cs="Arial"/>
          <w:color w:val="000000"/>
          <w:sz w:val="24"/>
          <w:szCs w:val="24"/>
        </w:rPr>
        <w:t>yse and assess the trends in financial performance.</w:t>
      </w:r>
    </w:p>
    <w:p w:rsidR="0078379E" w:rsidRDefault="00577DEF">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Financial Distress events</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Pr>
          <w:rFonts w:ascii="Arial" w:eastAsia="Arial" w:hAnsi="Arial" w:cs="Arial"/>
          <w:color w:val="000000"/>
          <w:sz w:val="24"/>
          <w:szCs w:val="24"/>
        </w:rPr>
        <w:t>The following shall be Financial Distress Events:</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the credit rating of an FDE Group entity dropping below the applicable Credit Rating Threshold;</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lastRenderedPageBreak/>
        <w:t>an FDE Group entity issuing a profits warning to a stock exchange or making any other public announcement, in each case about a material deterioration in its financial position or prospects;</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there being a public investigation into improper financial accoun</w:t>
      </w:r>
      <w:r>
        <w:rPr>
          <w:rFonts w:ascii="Arial" w:eastAsia="Arial" w:hAnsi="Arial" w:cs="Arial"/>
          <w:color w:val="000000"/>
          <w:sz w:val="24"/>
          <w:szCs w:val="24"/>
        </w:rPr>
        <w:t>ting and reporting, suspected fraud or any other impropriety of an FDE Group entity;</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an FDE Group entity committing a material breach of covenant to its lenders;</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 xml:space="preserve">a Key </w:t>
      </w:r>
      <w:r w:rsidRPr="005A0C6B">
        <w:rPr>
          <w:rFonts w:ascii="Arial" w:eastAsia="Arial" w:hAnsi="Arial" w:cs="Arial"/>
          <w:color w:val="000000"/>
          <w:sz w:val="24"/>
          <w:szCs w:val="24"/>
        </w:rPr>
        <w:t>Subcontractor</w:t>
      </w:r>
      <w:r>
        <w:rPr>
          <w:rFonts w:ascii="Arial" w:eastAsia="Arial" w:hAnsi="Arial" w:cs="Arial"/>
          <w:color w:val="000000"/>
          <w:sz w:val="24"/>
          <w:szCs w:val="24"/>
        </w:rPr>
        <w:t xml:space="preserve"> notifying CCS or the Buyer that the Supplier has not satisfied any materia</w:t>
      </w:r>
      <w:r>
        <w:rPr>
          <w:rFonts w:ascii="Arial" w:eastAsia="Arial" w:hAnsi="Arial" w:cs="Arial"/>
          <w:color w:val="000000"/>
          <w:sz w:val="24"/>
          <w:szCs w:val="24"/>
        </w:rPr>
        <w:t>l sums properly due under a specified invoice and not subject to a genuine dispute;</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any of the following:</w:t>
      </w:r>
    </w:p>
    <w:p w:rsidR="0078379E" w:rsidRDefault="00577DEF" w:rsidP="005A0C6B">
      <w:pPr>
        <w:numPr>
          <w:ilvl w:val="3"/>
          <w:numId w:val="2"/>
        </w:numPr>
        <w:pBdr>
          <w:top w:val="nil"/>
          <w:left w:val="nil"/>
          <w:bottom w:val="nil"/>
          <w:right w:val="nil"/>
          <w:between w:val="nil"/>
        </w:pBdr>
        <w:tabs>
          <w:tab w:val="left" w:pos="1985"/>
        </w:tabs>
        <w:spacing w:before="120"/>
        <w:ind w:left="2552" w:hanging="567"/>
      </w:pPr>
      <w:r>
        <w:rPr>
          <w:rFonts w:ascii="Arial" w:eastAsia="Arial" w:hAnsi="Arial" w:cs="Arial"/>
          <w:color w:val="000000"/>
          <w:sz w:val="24"/>
          <w:szCs w:val="24"/>
        </w:rPr>
        <w:t>commencement of any litigation against an FDE Group entity with respect to financial indebtedness greater than £5m or obligations under a service cont</w:t>
      </w:r>
      <w:r>
        <w:rPr>
          <w:rFonts w:ascii="Arial" w:eastAsia="Arial" w:hAnsi="Arial" w:cs="Arial"/>
          <w:color w:val="000000"/>
          <w:sz w:val="24"/>
          <w:szCs w:val="24"/>
        </w:rPr>
        <w:t xml:space="preserve">ract with a total contract value greater than £5m; </w:t>
      </w:r>
    </w:p>
    <w:p w:rsidR="0078379E" w:rsidRPr="005A0C6B" w:rsidRDefault="00577DEF" w:rsidP="005A0C6B">
      <w:pPr>
        <w:numPr>
          <w:ilvl w:val="3"/>
          <w:numId w:val="2"/>
        </w:numPr>
        <w:pBdr>
          <w:top w:val="nil"/>
          <w:left w:val="nil"/>
          <w:bottom w:val="nil"/>
          <w:right w:val="nil"/>
          <w:between w:val="nil"/>
        </w:pBdr>
        <w:tabs>
          <w:tab w:val="left" w:pos="1985"/>
        </w:tabs>
        <w:spacing w:before="120"/>
        <w:ind w:left="2552" w:hanging="567"/>
        <w:rPr>
          <w:rFonts w:ascii="Arial" w:eastAsia="Arial" w:hAnsi="Arial" w:cs="Arial"/>
          <w:color w:val="000000"/>
          <w:sz w:val="24"/>
          <w:szCs w:val="24"/>
        </w:rPr>
      </w:pPr>
      <w:r>
        <w:rPr>
          <w:rFonts w:ascii="Arial" w:eastAsia="Arial" w:hAnsi="Arial" w:cs="Arial"/>
          <w:color w:val="000000"/>
          <w:sz w:val="24"/>
          <w:szCs w:val="24"/>
        </w:rPr>
        <w:t>non-payment by an FDE Group entity of any financial indebtedness;</w:t>
      </w:r>
    </w:p>
    <w:p w:rsidR="0078379E" w:rsidRPr="005A0C6B" w:rsidRDefault="00577DEF" w:rsidP="005A0C6B">
      <w:pPr>
        <w:numPr>
          <w:ilvl w:val="3"/>
          <w:numId w:val="2"/>
        </w:numPr>
        <w:pBdr>
          <w:top w:val="nil"/>
          <w:left w:val="nil"/>
          <w:bottom w:val="nil"/>
          <w:right w:val="nil"/>
          <w:between w:val="nil"/>
        </w:pBdr>
        <w:tabs>
          <w:tab w:val="left" w:pos="1985"/>
        </w:tabs>
        <w:spacing w:before="120"/>
        <w:ind w:left="2552" w:hanging="567"/>
        <w:rPr>
          <w:rFonts w:ascii="Arial" w:eastAsia="Arial" w:hAnsi="Arial" w:cs="Arial"/>
          <w:color w:val="000000"/>
          <w:sz w:val="24"/>
          <w:szCs w:val="24"/>
        </w:rPr>
      </w:pPr>
      <w:r>
        <w:rPr>
          <w:rFonts w:ascii="Arial" w:eastAsia="Arial" w:hAnsi="Arial" w:cs="Arial"/>
          <w:color w:val="000000"/>
          <w:sz w:val="24"/>
          <w:szCs w:val="24"/>
        </w:rPr>
        <w:t>any financial indebtedness of an FDE Group entity becoming due as a result of an event of default;</w:t>
      </w:r>
    </w:p>
    <w:p w:rsidR="0078379E" w:rsidRPr="005A0C6B" w:rsidRDefault="00577DEF" w:rsidP="005A0C6B">
      <w:pPr>
        <w:numPr>
          <w:ilvl w:val="3"/>
          <w:numId w:val="2"/>
        </w:numPr>
        <w:pBdr>
          <w:top w:val="nil"/>
          <w:left w:val="nil"/>
          <w:bottom w:val="nil"/>
          <w:right w:val="nil"/>
          <w:between w:val="nil"/>
        </w:pBdr>
        <w:tabs>
          <w:tab w:val="left" w:pos="1985"/>
        </w:tabs>
        <w:spacing w:before="120"/>
        <w:ind w:left="2552" w:hanging="567"/>
        <w:rPr>
          <w:rFonts w:ascii="Arial" w:eastAsia="Arial" w:hAnsi="Arial" w:cs="Arial"/>
          <w:color w:val="000000"/>
          <w:sz w:val="24"/>
          <w:szCs w:val="24"/>
        </w:rPr>
      </w:pPr>
      <w:r>
        <w:rPr>
          <w:rFonts w:ascii="Arial" w:eastAsia="Arial" w:hAnsi="Arial" w:cs="Arial"/>
          <w:color w:val="000000"/>
          <w:sz w:val="24"/>
          <w:szCs w:val="24"/>
        </w:rPr>
        <w:t>the cancellation or suspension of any f</w:t>
      </w:r>
      <w:r>
        <w:rPr>
          <w:rFonts w:ascii="Arial" w:eastAsia="Arial" w:hAnsi="Arial" w:cs="Arial"/>
          <w:color w:val="000000"/>
          <w:sz w:val="24"/>
          <w:szCs w:val="24"/>
        </w:rPr>
        <w:t>inancial indebtedness in respect of an FDE Group entity; or</w:t>
      </w:r>
    </w:p>
    <w:p w:rsidR="0078379E" w:rsidRPr="005A0C6B" w:rsidRDefault="00577DEF" w:rsidP="005A0C6B">
      <w:pPr>
        <w:numPr>
          <w:ilvl w:val="3"/>
          <w:numId w:val="2"/>
        </w:numPr>
        <w:pBdr>
          <w:top w:val="nil"/>
          <w:left w:val="nil"/>
          <w:bottom w:val="nil"/>
          <w:right w:val="nil"/>
          <w:between w:val="nil"/>
        </w:pBdr>
        <w:tabs>
          <w:tab w:val="left" w:pos="1980"/>
        </w:tabs>
        <w:spacing w:before="120"/>
        <w:ind w:left="2552" w:hanging="567"/>
        <w:rPr>
          <w:rFonts w:ascii="Arial" w:eastAsia="Arial" w:hAnsi="Arial" w:cs="Arial"/>
          <w:color w:val="000000"/>
          <w:sz w:val="24"/>
          <w:szCs w:val="24"/>
        </w:rPr>
      </w:pPr>
      <w:r>
        <w:rPr>
          <w:rFonts w:ascii="Arial" w:eastAsia="Arial" w:hAnsi="Arial" w:cs="Arial"/>
          <w:color w:val="000000"/>
          <w:sz w:val="24"/>
          <w:szCs w:val="24"/>
        </w:rPr>
        <w:t>the external auditor of an FDE Group entity expressing a qualified opinion on, or including an emphasis of matter in, its opinion on the statutory accounts of that FDE entity;</w:t>
      </w:r>
    </w:p>
    <w:p w:rsidR="0078379E" w:rsidRPr="005A0C6B" w:rsidRDefault="00577DEF" w:rsidP="005A0C6B">
      <w:pPr>
        <w:numPr>
          <w:ilvl w:val="3"/>
          <w:numId w:val="2"/>
        </w:numPr>
        <w:pBdr>
          <w:top w:val="nil"/>
          <w:left w:val="nil"/>
          <w:bottom w:val="nil"/>
          <w:right w:val="nil"/>
          <w:between w:val="nil"/>
        </w:pBdr>
        <w:tabs>
          <w:tab w:val="left" w:pos="1980"/>
        </w:tabs>
        <w:spacing w:before="120"/>
        <w:ind w:left="2552" w:hanging="567"/>
        <w:rPr>
          <w:rFonts w:ascii="Arial" w:eastAsia="Arial" w:hAnsi="Arial" w:cs="Arial"/>
          <w:color w:val="000000"/>
          <w:sz w:val="24"/>
          <w:szCs w:val="24"/>
        </w:rPr>
      </w:pPr>
      <w:r w:rsidRPr="005A0C6B">
        <w:rPr>
          <w:rFonts w:ascii="Arial" w:eastAsia="Arial" w:hAnsi="Arial" w:cs="Arial"/>
          <w:color w:val="000000"/>
          <w:sz w:val="24"/>
          <w:szCs w:val="24"/>
        </w:rPr>
        <w:t xml:space="preserve">in each </w:t>
      </w:r>
      <w:r w:rsidRPr="005A0C6B">
        <w:rPr>
          <w:rFonts w:ascii="Arial" w:eastAsia="Arial" w:hAnsi="Arial" w:cs="Arial"/>
          <w:color w:val="000000"/>
          <w:sz w:val="24"/>
          <w:szCs w:val="24"/>
        </w:rPr>
        <w:t>case which the Relevant Authority reasonably believes (or would be likely reasonably to believe) could directly impact on the continued performance and delivery of the Deliverables in accordance with the Contract; and</w:t>
      </w:r>
    </w:p>
    <w:p w:rsidR="0078379E" w:rsidRPr="005A0C6B" w:rsidRDefault="00577DEF" w:rsidP="005A0C6B">
      <w:pPr>
        <w:numPr>
          <w:ilvl w:val="3"/>
          <w:numId w:val="2"/>
        </w:numPr>
        <w:pBdr>
          <w:top w:val="nil"/>
          <w:left w:val="nil"/>
          <w:bottom w:val="nil"/>
          <w:right w:val="nil"/>
          <w:between w:val="nil"/>
        </w:pBdr>
        <w:tabs>
          <w:tab w:val="left" w:pos="1985"/>
        </w:tabs>
        <w:spacing w:before="120"/>
        <w:ind w:left="2552" w:hanging="567"/>
        <w:rPr>
          <w:rFonts w:ascii="Arial" w:eastAsia="Arial" w:hAnsi="Arial" w:cs="Arial"/>
          <w:color w:val="000000"/>
          <w:sz w:val="24"/>
          <w:szCs w:val="24"/>
        </w:rPr>
      </w:pPr>
      <w:r>
        <w:rPr>
          <w:rFonts w:ascii="Arial" w:eastAsia="Arial" w:hAnsi="Arial" w:cs="Arial"/>
          <w:color w:val="000000"/>
          <w:sz w:val="24"/>
          <w:szCs w:val="24"/>
        </w:rPr>
        <w:t>any [one] of the Financial Indicators set out at Paragraph 5 for any of the FDE Group entities failing to meet the required Financial Target Threshold.</w:t>
      </w:r>
    </w:p>
    <w:p w:rsidR="0078379E" w:rsidRDefault="00577DEF">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Consequences</w:t>
      </w:r>
      <w:r>
        <w:rPr>
          <w:rFonts w:ascii="Arial Bold" w:eastAsia="Arial Bold" w:hAnsi="Arial Bold" w:cs="Arial Bold"/>
          <w:color w:val="000000"/>
          <w:sz w:val="24"/>
          <w:szCs w:val="24"/>
        </w:rPr>
        <w:t xml:space="preserve"> of Financial Distress Events</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Pr>
          <w:rFonts w:ascii="Arial" w:eastAsia="Arial" w:hAnsi="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w:t>
      </w:r>
      <w:r>
        <w:rPr>
          <w:rFonts w:ascii="Arial" w:eastAsia="Arial" w:hAnsi="Arial" w:cs="Arial"/>
          <w:color w:val="000000"/>
          <w:sz w:val="24"/>
          <w:szCs w:val="24"/>
        </w:rPr>
        <w:t>bligations and the Relevant Authority shall have the rights and remedies as set out in Paragraphs 4.3 to 4.6.</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Pr>
          <w:rFonts w:ascii="Arial" w:eastAsia="Arial" w:hAnsi="Arial" w:cs="Arial"/>
          <w:color w:val="000000"/>
          <w:sz w:val="24"/>
          <w:szCs w:val="24"/>
        </w:rPr>
        <w:lastRenderedPageBreak/>
        <w:t>In the event of a late or non-payment of a Key Sub-contractor pursuant to Paragraph 3.1.5, the Relevant Authority shall not exercise any of its ri</w:t>
      </w:r>
      <w:r>
        <w:rPr>
          <w:rFonts w:ascii="Arial" w:eastAsia="Arial" w:hAnsi="Arial" w:cs="Arial"/>
          <w:color w:val="000000"/>
          <w:sz w:val="24"/>
          <w:szCs w:val="24"/>
        </w:rPr>
        <w:t>ghts or remedies under Paragraph 4.3 without first giving the Supplier 10 Working Days to:</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rectify such late or non-payment; or</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demonstrate to the Relevant Authority’s reasonable satisfaction that there is a valid reason for late or non-payment.</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Pr>
          <w:rFonts w:ascii="Arial" w:eastAsia="Arial" w:hAnsi="Arial" w:cs="Arial"/>
          <w:color w:val="000000"/>
          <w:sz w:val="24"/>
          <w:szCs w:val="24"/>
        </w:rPr>
        <w:t>The Suppli</w:t>
      </w:r>
      <w:r>
        <w:rPr>
          <w:rFonts w:ascii="Arial" w:eastAsia="Arial" w:hAnsi="Arial" w:cs="Arial"/>
          <w:color w:val="000000"/>
          <w:sz w:val="24"/>
          <w:szCs w:val="24"/>
        </w:rPr>
        <w:t>er shall (and shall procure that any Monitored Supplier, the Guarantor and/or any relevant Key Sub-contractor shall):</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at the request of the Relevant Authority, meet the Relevant Authority as soon as reasonably practicable (and in any event within 3 Working</w:t>
      </w:r>
      <w:r>
        <w:rPr>
          <w:rFonts w:ascii="Arial" w:eastAsia="Arial" w:hAnsi="Arial" w:cs="Arial"/>
          <w:color w:val="000000"/>
          <w:sz w:val="24"/>
          <w:szCs w:val="24"/>
        </w:rPr>
        <w:t xml:space="preserve"> Days of the initial notification (or awareness) of the Financial Distress Event or such other period as the Relevant Authority may permit and notify to the Supplier in writing) to review the effect of the Financial Distress Event on the continued performa</w:t>
      </w:r>
      <w:r>
        <w:rPr>
          <w:rFonts w:ascii="Arial" w:eastAsia="Arial" w:hAnsi="Arial" w:cs="Arial"/>
          <w:color w:val="000000"/>
          <w:sz w:val="24"/>
          <w:szCs w:val="24"/>
        </w:rPr>
        <w:t>nce and delivery of the Services in accordance with the Contract; and</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where the Relevant Authority reasonably believes (taking into account the discussions and any representations made under Paragraph 4.3.1) that the Financial Distress Event could impact o</w:t>
      </w:r>
      <w:r>
        <w:rPr>
          <w:rFonts w:ascii="Arial" w:eastAsia="Arial" w:hAnsi="Arial" w:cs="Arial"/>
          <w:color w:val="000000"/>
          <w:sz w:val="24"/>
          <w:szCs w:val="24"/>
        </w:rPr>
        <w:t>n the continued performance and delivery of the Deliverables in accordance with the Contract:</w:t>
      </w:r>
    </w:p>
    <w:p w:rsidR="0078379E" w:rsidRPr="005A0C6B" w:rsidRDefault="00577DEF" w:rsidP="005A0C6B">
      <w:pPr>
        <w:numPr>
          <w:ilvl w:val="3"/>
          <w:numId w:val="2"/>
        </w:numPr>
        <w:pBdr>
          <w:top w:val="nil"/>
          <w:left w:val="nil"/>
          <w:bottom w:val="nil"/>
          <w:right w:val="nil"/>
          <w:between w:val="nil"/>
        </w:pBdr>
        <w:tabs>
          <w:tab w:val="left" w:pos="1985"/>
        </w:tabs>
        <w:spacing w:before="120"/>
        <w:ind w:left="2552" w:hanging="567"/>
        <w:rPr>
          <w:rFonts w:ascii="Arial" w:eastAsia="Arial" w:hAnsi="Arial" w:cs="Arial"/>
          <w:color w:val="000000"/>
          <w:sz w:val="24"/>
          <w:szCs w:val="24"/>
        </w:rPr>
      </w:pPr>
      <w:r>
        <w:rPr>
          <w:rFonts w:ascii="Arial" w:eastAsia="Arial" w:hAnsi="Arial" w:cs="Arial"/>
          <w:color w:val="000000"/>
          <w:sz w:val="24"/>
          <w:szCs w:val="24"/>
        </w:rPr>
        <w:t>submit to the Relevant Authority for its approval, a draft Financial Distress Remediation Plan as soon as reasonably practicable (and in any event, within 10 Work</w:t>
      </w:r>
      <w:r>
        <w:rPr>
          <w:rFonts w:ascii="Arial" w:eastAsia="Arial" w:hAnsi="Arial" w:cs="Arial"/>
          <w:color w:val="000000"/>
          <w:sz w:val="24"/>
          <w:szCs w:val="24"/>
        </w:rPr>
        <w:t>ing Days of the initial notification (or awareness) of the Financial Distress Event or such other period as the Relevant Authority may permit and notify to the Supplier in writing); and</w:t>
      </w:r>
    </w:p>
    <w:p w:rsidR="0078379E" w:rsidRPr="005A0C6B" w:rsidRDefault="00577DEF" w:rsidP="005A0C6B">
      <w:pPr>
        <w:numPr>
          <w:ilvl w:val="3"/>
          <w:numId w:val="2"/>
        </w:numPr>
        <w:pBdr>
          <w:top w:val="nil"/>
          <w:left w:val="nil"/>
          <w:bottom w:val="nil"/>
          <w:right w:val="nil"/>
          <w:between w:val="nil"/>
        </w:pBdr>
        <w:tabs>
          <w:tab w:val="left" w:pos="1985"/>
        </w:tabs>
        <w:spacing w:before="120"/>
        <w:ind w:left="2552" w:hanging="567"/>
        <w:rPr>
          <w:rFonts w:ascii="Arial" w:eastAsia="Arial" w:hAnsi="Arial" w:cs="Arial"/>
          <w:color w:val="000000"/>
          <w:sz w:val="24"/>
          <w:szCs w:val="24"/>
        </w:rPr>
      </w:pPr>
      <w:r>
        <w:rPr>
          <w:rFonts w:ascii="Arial" w:eastAsia="Arial" w:hAnsi="Arial" w:cs="Arial"/>
          <w:color w:val="000000"/>
          <w:sz w:val="24"/>
          <w:szCs w:val="24"/>
        </w:rPr>
        <w:t>to the extent that it is legally permitted to do so and subject to Par</w:t>
      </w:r>
      <w:r>
        <w:rPr>
          <w:rFonts w:ascii="Arial" w:eastAsia="Arial" w:hAnsi="Arial" w:cs="Arial"/>
          <w:color w:val="000000"/>
          <w:sz w:val="24"/>
          <w:szCs w:val="24"/>
        </w:rPr>
        <w:t>agraph 4.8, provide such information relating to the Supplier, any Monitored Supplier, Key Sub-contractors and/or the Guarantor as the Buyer may reasonably require in order to understand the risk to the Deliverables, which may include forecasts in relation</w:t>
      </w:r>
      <w:r>
        <w:rPr>
          <w:rFonts w:ascii="Arial" w:eastAsia="Arial" w:hAnsi="Arial" w:cs="Arial"/>
          <w:color w:val="000000"/>
          <w:sz w:val="24"/>
          <w:szCs w:val="24"/>
        </w:rPr>
        <w:t xml:space="preserve"> to cash flow, orders and profits and details of financial measures being considered to mitigate the impact of the Financial Distress Event.</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Pr>
          <w:rFonts w:ascii="Arial" w:eastAsia="Arial" w:hAnsi="Arial" w:cs="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w:t>
      </w:r>
      <w:r>
        <w:rPr>
          <w:rFonts w:ascii="Arial" w:eastAsia="Arial" w:hAnsi="Arial" w:cs="Arial"/>
          <w:color w:val="000000"/>
          <w:sz w:val="24"/>
          <w:szCs w:val="24"/>
        </w:rPr>
        <w:t>e Supplier shall take those reasons into account in the preparation of a further draft Financial Distress Remediation Plan, which shall be resubmitted to the Relevant Authority within 5 Working Days of the rejection of the first draft. This process shall b</w:t>
      </w:r>
      <w:r>
        <w:rPr>
          <w:rFonts w:ascii="Arial" w:eastAsia="Arial" w:hAnsi="Arial" w:cs="Arial"/>
          <w:color w:val="000000"/>
          <w:sz w:val="24"/>
          <w:szCs w:val="24"/>
        </w:rPr>
        <w:t xml:space="preserve">e repeated until </w:t>
      </w:r>
      <w:r>
        <w:rPr>
          <w:rFonts w:ascii="Arial" w:eastAsia="Arial" w:hAnsi="Arial" w:cs="Arial"/>
          <w:color w:val="000000"/>
          <w:sz w:val="24"/>
          <w:szCs w:val="24"/>
        </w:rPr>
        <w:lastRenderedPageBreak/>
        <w:t>the Financial Distress Remediation Plan is approved by the Relevant Authority or referred to the Dispute Resolution Procedure set out in Clause 34 of the Core Terms under Paragraph 4.5.</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Pr>
          <w:rFonts w:ascii="Arial" w:eastAsia="Arial" w:hAnsi="Arial" w:cs="Arial"/>
          <w:color w:val="000000"/>
          <w:sz w:val="24"/>
          <w:szCs w:val="24"/>
        </w:rPr>
        <w:t>If the Relevant Authority considers that the draft Fi</w:t>
      </w:r>
      <w:r>
        <w:rPr>
          <w:rFonts w:ascii="Arial" w:eastAsia="Arial" w:hAnsi="Arial" w:cs="Arial"/>
          <w:color w:val="000000"/>
          <w:sz w:val="24"/>
          <w:szCs w:val="24"/>
        </w:rPr>
        <w:t>nancial Distress Remediation Plan is insufficiently detailed to be properly evaluated, will take too long to complete or will not ensure the continued performance of the Supplier’s obligations in accordance with the Contract, then it may either agree a fur</w:t>
      </w:r>
      <w:r>
        <w:rPr>
          <w:rFonts w:ascii="Arial" w:eastAsia="Arial" w:hAnsi="Arial" w:cs="Arial"/>
          <w:color w:val="000000"/>
          <w:sz w:val="24"/>
          <w:szCs w:val="24"/>
        </w:rPr>
        <w:t>ther time period for the development and agreement of the Financial Distress Remediation Plan or escalate any issues with the draft Financial Distress Remediation Plan using the Dispute Resolution Procedure in Clause 34 of the Core Terms.</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Pr>
          <w:rFonts w:ascii="Arial" w:eastAsia="Arial" w:hAnsi="Arial" w:cs="Arial"/>
          <w:color w:val="000000"/>
          <w:sz w:val="24"/>
          <w:szCs w:val="24"/>
        </w:rPr>
        <w:t>Following approva</w:t>
      </w:r>
      <w:r>
        <w:rPr>
          <w:rFonts w:ascii="Arial" w:eastAsia="Arial" w:hAnsi="Arial" w:cs="Arial"/>
          <w:color w:val="000000"/>
          <w:sz w:val="24"/>
          <w:szCs w:val="24"/>
        </w:rPr>
        <w:t>l of the Financial Distress Remediation Plan by the Relevant Authority, the Supplier shall:</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on a regular basis (which shall not be less than fortnightly):</w:t>
      </w:r>
    </w:p>
    <w:p w:rsidR="0078379E" w:rsidRPr="005A0C6B" w:rsidRDefault="00577DEF" w:rsidP="005A0C6B">
      <w:pPr>
        <w:numPr>
          <w:ilvl w:val="3"/>
          <w:numId w:val="2"/>
        </w:numPr>
        <w:pBdr>
          <w:top w:val="nil"/>
          <w:left w:val="nil"/>
          <w:bottom w:val="nil"/>
          <w:right w:val="nil"/>
          <w:between w:val="nil"/>
        </w:pBdr>
        <w:tabs>
          <w:tab w:val="left" w:pos="1985"/>
        </w:tabs>
        <w:spacing w:before="120"/>
        <w:ind w:left="2552" w:hanging="567"/>
        <w:rPr>
          <w:rFonts w:ascii="Arial" w:eastAsia="Arial" w:hAnsi="Arial" w:cs="Arial"/>
          <w:color w:val="000000"/>
          <w:sz w:val="24"/>
          <w:szCs w:val="24"/>
        </w:rPr>
      </w:pPr>
      <w:r>
        <w:rPr>
          <w:rFonts w:ascii="Arial" w:eastAsia="Arial" w:hAnsi="Arial" w:cs="Arial"/>
          <w:color w:val="000000"/>
          <w:sz w:val="24"/>
          <w:szCs w:val="24"/>
        </w:rPr>
        <w:t>review and make any updates to the Financial Distress Remediation Plan as the Supplier may deem reaso</w:t>
      </w:r>
      <w:r>
        <w:rPr>
          <w:rFonts w:ascii="Arial" w:eastAsia="Arial" w:hAnsi="Arial" w:cs="Arial"/>
          <w:color w:val="000000"/>
          <w:sz w:val="24"/>
          <w:szCs w:val="24"/>
        </w:rPr>
        <w:t>nably necessary and/or as may be reasonably requested by the Relevant Authority, so that the plan remains adequate, up to date and ensures the continued performance and delivery of the Deliverables in accordance with this Contract; and</w:t>
      </w:r>
    </w:p>
    <w:p w:rsidR="0078379E" w:rsidRPr="005A0C6B" w:rsidRDefault="00577DEF" w:rsidP="005A0C6B">
      <w:pPr>
        <w:numPr>
          <w:ilvl w:val="3"/>
          <w:numId w:val="2"/>
        </w:numPr>
        <w:pBdr>
          <w:top w:val="nil"/>
          <w:left w:val="nil"/>
          <w:bottom w:val="nil"/>
          <w:right w:val="nil"/>
          <w:between w:val="nil"/>
        </w:pBdr>
        <w:tabs>
          <w:tab w:val="left" w:pos="1985"/>
        </w:tabs>
        <w:spacing w:before="120"/>
        <w:ind w:left="2552" w:hanging="567"/>
        <w:rPr>
          <w:rFonts w:ascii="Arial" w:eastAsia="Arial" w:hAnsi="Arial" w:cs="Arial"/>
          <w:color w:val="000000"/>
          <w:sz w:val="24"/>
          <w:szCs w:val="24"/>
        </w:rPr>
      </w:pPr>
      <w:r>
        <w:rPr>
          <w:rFonts w:ascii="Arial" w:eastAsia="Arial" w:hAnsi="Arial" w:cs="Arial"/>
          <w:color w:val="000000"/>
          <w:sz w:val="24"/>
          <w:szCs w:val="24"/>
        </w:rPr>
        <w:t>provide a written re</w:t>
      </w:r>
      <w:r>
        <w:rPr>
          <w:rFonts w:ascii="Arial" w:eastAsia="Arial" w:hAnsi="Arial" w:cs="Arial"/>
          <w:color w:val="000000"/>
          <w:sz w:val="24"/>
          <w:szCs w:val="24"/>
        </w:rPr>
        <w:t>port to the Relevant Authority setting out its progress against the Financial Distress Remediation Plan, the reasons for any changes made to the Financial Distress Remediation Plan by the Supplier and/or the reasons why the Supplier may have decided not to</w:t>
      </w:r>
      <w:r>
        <w:rPr>
          <w:rFonts w:ascii="Arial" w:eastAsia="Arial" w:hAnsi="Arial" w:cs="Arial"/>
          <w:color w:val="000000"/>
          <w:sz w:val="24"/>
          <w:szCs w:val="24"/>
        </w:rPr>
        <w:t xml:space="preserve"> make any changes;</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 xml:space="preserve">where updates are made to the Financial Distress Remediation Plan in accordance with Paragraph 4.6.1, submit an updated Financial Distress Remediation Plan to the Relevant Authority for its approval, and the provisions of Paragraphs 4.4 </w:t>
      </w:r>
      <w:r>
        <w:rPr>
          <w:rFonts w:ascii="Arial" w:eastAsia="Arial" w:hAnsi="Arial" w:cs="Arial"/>
          <w:color w:val="000000"/>
          <w:sz w:val="24"/>
          <w:szCs w:val="24"/>
        </w:rPr>
        <w:t>and 4.5 shall apply to the review and approval process for the updated Financial Distress Remediation Plan; and</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 xml:space="preserve">comply with the Financial Distress Remediation Plan (including any updated Financial Distress Remediation Plan) and ensure that it achieves the </w:t>
      </w:r>
      <w:r>
        <w:rPr>
          <w:rFonts w:ascii="Arial" w:eastAsia="Arial" w:hAnsi="Arial" w:cs="Arial"/>
          <w:color w:val="000000"/>
          <w:sz w:val="24"/>
          <w:szCs w:val="24"/>
        </w:rPr>
        <w:t>financial and performance requirements set out in the Financial Distress Remediation Plan.</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Pr>
          <w:rFonts w:ascii="Arial" w:eastAsia="Arial" w:hAnsi="Arial" w:cs="Arial"/>
          <w:color w:val="000000"/>
          <w:sz w:val="24"/>
          <w:szCs w:val="24"/>
        </w:rPr>
        <w:t>Where the Supplier reasonably believes that the relevant Financial Distress Event under Paragraph 4.1 (or the circumstance or matter which has caused or otherwise le</w:t>
      </w:r>
      <w:r>
        <w:rPr>
          <w:rFonts w:ascii="Arial" w:eastAsia="Arial" w:hAnsi="Arial" w:cs="Arial"/>
          <w:color w:val="000000"/>
          <w:sz w:val="24"/>
          <w:szCs w:val="24"/>
        </w:rPr>
        <w:t>d to it) no longer exists, it shall notify the Relevant Authority and the Parties may agree that the Supplier shall be relieved of its obligations under Paragraph 4.6.</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Pr>
          <w:rFonts w:ascii="Arial" w:eastAsia="Arial" w:hAnsi="Arial" w:cs="Arial"/>
          <w:color w:val="000000"/>
          <w:sz w:val="24"/>
          <w:szCs w:val="24"/>
        </w:rPr>
        <w:t xml:space="preserve">The Supplier shall use reasonable endeavours to put in place the necessary measures to ensure that the information specified at paragraph </w:t>
      </w:r>
      <w:r>
        <w:rPr>
          <w:rFonts w:ascii="Arial" w:eastAsia="Arial" w:hAnsi="Arial" w:cs="Arial"/>
          <w:color w:val="000000"/>
          <w:sz w:val="24"/>
          <w:szCs w:val="24"/>
        </w:rPr>
        <w:lastRenderedPageBreak/>
        <w:t xml:space="preserve">4.3.2(b) is available when required and on request from the Relevant Authority and within reasonable timescales. Such </w:t>
      </w:r>
      <w:r>
        <w:rPr>
          <w:rFonts w:ascii="Arial" w:eastAsia="Arial" w:hAnsi="Arial" w:cs="Arial"/>
          <w:color w:val="000000"/>
          <w:sz w:val="24"/>
          <w:szCs w:val="24"/>
        </w:rPr>
        <w:t>measures may include:</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w:t>
      </w:r>
      <w:r>
        <w:rPr>
          <w:rFonts w:ascii="Arial" w:eastAsia="Arial" w:hAnsi="Arial" w:cs="Arial"/>
          <w:color w:val="000000"/>
          <w:sz w:val="24"/>
          <w:szCs w:val="24"/>
        </w:rPr>
        <w:t>re;</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w:t>
      </w:r>
      <w:r>
        <w:rPr>
          <w:rFonts w:ascii="Arial" w:eastAsia="Arial" w:hAnsi="Arial" w:cs="Arial"/>
          <w:color w:val="000000"/>
          <w:sz w:val="24"/>
          <w:szCs w:val="24"/>
        </w:rPr>
        <w:t>ty;</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w:t>
      </w:r>
      <w:r>
        <w:rPr>
          <w:rFonts w:ascii="Arial" w:eastAsia="Arial" w:hAnsi="Arial" w:cs="Arial"/>
          <w:color w:val="000000"/>
          <w:sz w:val="24"/>
          <w:szCs w:val="24"/>
        </w:rPr>
        <w:t>idential arrangements, subject to their consent); and</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disclosing the information to the fullest extent that it is lawfully entitled to do so, including through the use of redaction, anonymisation and any other techniques to permit disclosure of the informa</w:t>
      </w:r>
      <w:r>
        <w:rPr>
          <w:rFonts w:ascii="Arial" w:eastAsia="Arial" w:hAnsi="Arial" w:cs="Arial"/>
          <w:color w:val="000000"/>
          <w:sz w:val="24"/>
          <w:szCs w:val="24"/>
        </w:rPr>
        <w:t>tion without breaching a duty of confidentiality.</w:t>
      </w:r>
    </w:p>
    <w:p w:rsidR="0078379E" w:rsidRDefault="00577DEF">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Financial Indicators</w:t>
      </w:r>
    </w:p>
    <w:p w:rsidR="0078379E" w:rsidRDefault="00577DEF">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Buyer Guidance</w:t>
      </w:r>
      <w:r>
        <w:rPr>
          <w:rFonts w:ascii="Arial" w:eastAsia="Arial" w:hAnsi="Arial" w:cs="Arial"/>
          <w:sz w:val="24"/>
          <w:szCs w:val="24"/>
          <w:highlight w:val="yellow"/>
        </w:rPr>
        <w:t xml:space="preserve">: The Financial Indicators set out in the table at paragraph 5.1 are  established at Framework level to satisfy Cabinet Office Contract Tiering Tool requirements. For the purposes of your call off activity you may check that the original assessment of the </w:t>
      </w:r>
      <w:r>
        <w:rPr>
          <w:rFonts w:ascii="Arial" w:eastAsia="Arial" w:hAnsi="Arial" w:cs="Arial"/>
          <w:sz w:val="24"/>
          <w:szCs w:val="24"/>
          <w:highlight w:val="yellow"/>
        </w:rPr>
        <w:t>indicators remains valid, but you may not re-run those assessments. You may also opt to ask the Supplier to monitor themselves according to some, rather than all, of the indicators in accordance with your internal procedures but you should not introduce ne</w:t>
      </w:r>
      <w:r>
        <w:rPr>
          <w:rFonts w:ascii="Arial" w:eastAsia="Arial" w:hAnsi="Arial" w:cs="Arial"/>
          <w:sz w:val="24"/>
          <w:szCs w:val="24"/>
          <w:highlight w:val="yellow"/>
        </w:rPr>
        <w:t>w indicators or amend those set out below. Please take your own legal advice if you are uncertain how to proceed.  ]</w:t>
      </w:r>
    </w:p>
    <w:p w:rsidR="0078379E" w:rsidRDefault="00577DEF" w:rsidP="005A0C6B">
      <w:pPr>
        <w:numPr>
          <w:ilvl w:val="1"/>
          <w:numId w:val="2"/>
        </w:numPr>
        <w:pBdr>
          <w:top w:val="nil"/>
          <w:left w:val="nil"/>
          <w:bottom w:val="nil"/>
          <w:right w:val="nil"/>
          <w:between w:val="nil"/>
        </w:pBdr>
        <w:tabs>
          <w:tab w:val="left" w:pos="1134"/>
        </w:tabs>
        <w:spacing w:before="120"/>
        <w:ind w:hanging="567"/>
        <w:jc w:val="left"/>
      </w:pPr>
      <w:r>
        <w:rPr>
          <w:rFonts w:ascii="Arial" w:eastAsia="Arial" w:hAnsi="Arial" w:cs="Arial"/>
          <w:color w:val="000000"/>
          <w:sz w:val="24"/>
          <w:szCs w:val="24"/>
        </w:rPr>
        <w:t>Subject to the calculation methodology set out at Annex 3 of this Schedule, the Financial Indicators and the corresponding calculations and</w:t>
      </w:r>
      <w:r>
        <w:rPr>
          <w:rFonts w:ascii="Arial" w:eastAsia="Arial" w:hAnsi="Arial" w:cs="Arial"/>
          <w:color w:val="000000"/>
          <w:sz w:val="24"/>
          <w:szCs w:val="24"/>
        </w:rPr>
        <w:t xml:space="preserve"> thresholds used to determine whether a Financial Distress Event has occurred in respect of those Financial Indicators, shall be as follows:</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78379E">
        <w:tc>
          <w:tcPr>
            <w:tcW w:w="2253" w:type="dxa"/>
            <w:shd w:val="clear" w:color="auto" w:fill="D9D9D9"/>
            <w:vAlign w:val="center"/>
          </w:tcPr>
          <w:p w:rsidR="0078379E" w:rsidRDefault="00577DE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Indicator</w:t>
            </w:r>
          </w:p>
        </w:tc>
        <w:tc>
          <w:tcPr>
            <w:tcW w:w="1977" w:type="dxa"/>
            <w:shd w:val="clear" w:color="auto" w:fill="D9D9D9"/>
            <w:vAlign w:val="center"/>
          </w:tcPr>
          <w:p w:rsidR="0078379E" w:rsidRDefault="00577DE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Calculation</w:t>
            </w:r>
            <w:r>
              <w:rPr>
                <w:rFonts w:ascii="Arial" w:eastAsia="Arial" w:hAnsi="Arial" w:cs="Arial"/>
                <w:b/>
                <w:color w:val="000000"/>
                <w:sz w:val="24"/>
                <w:szCs w:val="24"/>
                <w:vertAlign w:val="superscript"/>
              </w:rPr>
              <w:t>1</w:t>
            </w:r>
          </w:p>
        </w:tc>
        <w:tc>
          <w:tcPr>
            <w:tcW w:w="1697" w:type="dxa"/>
            <w:shd w:val="clear" w:color="auto" w:fill="D9D9D9"/>
            <w:vAlign w:val="center"/>
          </w:tcPr>
          <w:p w:rsidR="0078379E" w:rsidRDefault="00577DE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Target Threshold:</w:t>
            </w:r>
          </w:p>
        </w:tc>
        <w:tc>
          <w:tcPr>
            <w:tcW w:w="3089" w:type="dxa"/>
            <w:shd w:val="clear" w:color="auto" w:fill="D9D9D9"/>
            <w:vAlign w:val="center"/>
          </w:tcPr>
          <w:p w:rsidR="0078379E" w:rsidRDefault="00577DEF">
            <w:pPr>
              <w:pBdr>
                <w:top w:val="nil"/>
                <w:left w:val="nil"/>
                <w:bottom w:val="nil"/>
                <w:right w:val="nil"/>
                <w:between w:val="nil"/>
              </w:pBdr>
              <w:spacing w:before="100" w:after="200"/>
              <w:jc w:val="center"/>
              <w:rPr>
                <w:rFonts w:ascii="Arial" w:eastAsia="Arial" w:hAnsi="Arial" w:cs="Arial"/>
                <w:b/>
                <w:color w:val="000000"/>
                <w:sz w:val="24"/>
                <w:szCs w:val="24"/>
              </w:rPr>
            </w:pPr>
            <w:bookmarkStart w:id="1" w:name="_30j0zll" w:colFirst="0" w:colLast="0"/>
            <w:bookmarkEnd w:id="1"/>
            <w:r>
              <w:rPr>
                <w:rFonts w:ascii="Arial" w:eastAsia="Arial" w:hAnsi="Arial" w:cs="Arial"/>
                <w:b/>
                <w:color w:val="000000"/>
                <w:sz w:val="24"/>
                <w:szCs w:val="24"/>
              </w:rPr>
              <w:t xml:space="preserve">Monitoring and Reporting Frequency </w:t>
            </w:r>
          </w:p>
        </w:tc>
      </w:tr>
      <w:tr w:rsidR="0078379E">
        <w:tc>
          <w:tcPr>
            <w:tcW w:w="2253" w:type="dxa"/>
            <w:vAlign w:val="center"/>
          </w:tcPr>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1</w:t>
            </w:r>
          </w:p>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Operating Margin</w:t>
            </w:r>
          </w:p>
          <w:p w:rsidR="0078379E" w:rsidRDefault="0078379E">
            <w:pPr>
              <w:pBdr>
                <w:top w:val="nil"/>
                <w:left w:val="nil"/>
                <w:bottom w:val="nil"/>
                <w:right w:val="nil"/>
                <w:between w:val="nil"/>
              </w:pBdr>
              <w:spacing w:before="100" w:after="200"/>
              <w:jc w:val="left"/>
              <w:rPr>
                <w:rFonts w:ascii="Arial" w:eastAsia="Arial" w:hAnsi="Arial" w:cs="Arial"/>
                <w:b/>
                <w:color w:val="000000"/>
                <w:sz w:val="24"/>
                <w:szCs w:val="24"/>
              </w:rPr>
            </w:pPr>
          </w:p>
        </w:tc>
        <w:tc>
          <w:tcPr>
            <w:tcW w:w="1977" w:type="dxa"/>
            <w:vAlign w:val="center"/>
          </w:tcPr>
          <w:p w:rsidR="0078379E" w:rsidRDefault="00577DE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Operating Margin = Operating Profit / Revenue</w:t>
            </w:r>
          </w:p>
        </w:tc>
        <w:tc>
          <w:tcPr>
            <w:tcW w:w="1697" w:type="dxa"/>
            <w:vAlign w:val="center"/>
          </w:tcPr>
          <w:p w:rsidR="0078379E" w:rsidRDefault="00577DE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sz w:val="24"/>
                <w:szCs w:val="24"/>
              </w:rPr>
              <w:t>&lt;</w:t>
            </w:r>
            <w:r>
              <w:rPr>
                <w:rFonts w:ascii="Arial" w:eastAsia="Arial" w:hAnsi="Arial" w:cs="Arial"/>
                <w:i/>
                <w:color w:val="000000"/>
                <w:sz w:val="24"/>
                <w:szCs w:val="24"/>
              </w:rPr>
              <w:t xml:space="preserve"> </w:t>
            </w:r>
            <w:r>
              <w:rPr>
                <w:rFonts w:ascii="Arial" w:eastAsia="Arial" w:hAnsi="Arial" w:cs="Arial"/>
                <w:i/>
                <w:sz w:val="24"/>
                <w:szCs w:val="24"/>
              </w:rPr>
              <w:t>1</w:t>
            </w:r>
            <w:r>
              <w:rPr>
                <w:rFonts w:ascii="Arial" w:eastAsia="Arial" w:hAnsi="Arial" w:cs="Arial"/>
                <w:i/>
                <w:color w:val="000000"/>
                <w:sz w:val="24"/>
                <w:szCs w:val="24"/>
              </w:rPr>
              <w:t>%</w:t>
            </w:r>
          </w:p>
        </w:tc>
        <w:tc>
          <w:tcPr>
            <w:tcW w:w="3089" w:type="dxa"/>
            <w:vAlign w:val="center"/>
          </w:tcPr>
          <w:p w:rsidR="0078379E" w:rsidRDefault="00577DEF">
            <w:pPr>
              <w:spacing w:before="100" w:after="200"/>
              <w:jc w:val="center"/>
              <w:rPr>
                <w:rFonts w:ascii="Arial" w:eastAsia="Arial" w:hAnsi="Arial" w:cs="Arial"/>
                <w:i/>
                <w:color w:val="000000"/>
                <w:sz w:val="24"/>
                <w:szCs w:val="24"/>
              </w:rPr>
            </w:pPr>
            <w:r>
              <w:rPr>
                <w:rFonts w:ascii="Arial" w:eastAsia="Arial" w:hAnsi="Arial" w:cs="Arial"/>
                <w:b/>
                <w:sz w:val="24"/>
                <w:szCs w:val="24"/>
              </w:rPr>
              <w:t>as set out in Paragraph 2.3.2</w:t>
            </w:r>
          </w:p>
        </w:tc>
      </w:tr>
      <w:tr w:rsidR="0078379E">
        <w:tc>
          <w:tcPr>
            <w:tcW w:w="2253" w:type="dxa"/>
            <w:vAlign w:val="center"/>
          </w:tcPr>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lastRenderedPageBreak/>
              <w:t>2</w:t>
            </w:r>
          </w:p>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Debt to EBITDA Ratio</w:t>
            </w:r>
          </w:p>
        </w:tc>
        <w:tc>
          <w:tcPr>
            <w:tcW w:w="1977" w:type="dxa"/>
            <w:vAlign w:val="center"/>
          </w:tcPr>
          <w:p w:rsidR="0078379E" w:rsidRDefault="0078379E">
            <w:pPr>
              <w:pBdr>
                <w:top w:val="nil"/>
                <w:left w:val="nil"/>
                <w:bottom w:val="nil"/>
                <w:right w:val="nil"/>
                <w:between w:val="nil"/>
              </w:pBdr>
              <w:spacing w:before="100" w:after="200"/>
              <w:jc w:val="center"/>
              <w:rPr>
                <w:rFonts w:ascii="Arial" w:eastAsia="Arial" w:hAnsi="Arial" w:cs="Arial"/>
                <w:i/>
                <w:color w:val="7030A0"/>
                <w:sz w:val="24"/>
                <w:szCs w:val="24"/>
              </w:rPr>
            </w:pPr>
          </w:p>
          <w:p w:rsidR="0078379E" w:rsidRDefault="00577DE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Debt to EBITDA ratio = Net Debt / EBITDA</w:t>
            </w:r>
          </w:p>
        </w:tc>
        <w:tc>
          <w:tcPr>
            <w:tcW w:w="1697" w:type="dxa"/>
            <w:vAlign w:val="center"/>
          </w:tcPr>
          <w:p w:rsidR="0078379E" w:rsidRDefault="00577DE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sz w:val="24"/>
                <w:szCs w:val="24"/>
              </w:rPr>
              <w:t>&gt;3.5</w:t>
            </w:r>
            <w:r>
              <w:rPr>
                <w:rFonts w:ascii="Arial" w:eastAsia="Arial" w:hAnsi="Arial" w:cs="Arial"/>
                <w:i/>
                <w:color w:val="000000"/>
                <w:sz w:val="24"/>
                <w:szCs w:val="24"/>
              </w:rPr>
              <w:t xml:space="preserve"> times</w:t>
            </w:r>
          </w:p>
        </w:tc>
        <w:tc>
          <w:tcPr>
            <w:tcW w:w="3089" w:type="dxa"/>
            <w:vAlign w:val="center"/>
          </w:tcPr>
          <w:p w:rsidR="0078379E" w:rsidRDefault="00577DEF">
            <w:pPr>
              <w:spacing w:before="100" w:after="200"/>
              <w:jc w:val="center"/>
              <w:rPr>
                <w:rFonts w:ascii="Arial" w:eastAsia="Arial" w:hAnsi="Arial" w:cs="Arial"/>
                <w:i/>
                <w:color w:val="000000"/>
                <w:sz w:val="24"/>
                <w:szCs w:val="24"/>
              </w:rPr>
            </w:pPr>
            <w:r>
              <w:rPr>
                <w:rFonts w:ascii="Arial" w:eastAsia="Arial" w:hAnsi="Arial" w:cs="Arial"/>
                <w:b/>
                <w:sz w:val="24"/>
                <w:szCs w:val="24"/>
              </w:rPr>
              <w:t>as set out in Paragraph 2.3.2</w:t>
            </w:r>
          </w:p>
        </w:tc>
      </w:tr>
      <w:tr w:rsidR="0078379E">
        <w:tc>
          <w:tcPr>
            <w:tcW w:w="2253" w:type="dxa"/>
            <w:vAlign w:val="center"/>
          </w:tcPr>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sz w:val="24"/>
                <w:szCs w:val="24"/>
              </w:rPr>
              <w:t>3</w:t>
            </w:r>
          </w:p>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Interest Paid Cover</w:t>
            </w:r>
          </w:p>
        </w:tc>
        <w:tc>
          <w:tcPr>
            <w:tcW w:w="1977" w:type="dxa"/>
            <w:vAlign w:val="center"/>
          </w:tcPr>
          <w:p w:rsidR="0078379E" w:rsidRDefault="00577DE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Interest Paid Cover = Earnings Before Interest and Tax / Net Interest Paid</w:t>
            </w:r>
          </w:p>
        </w:tc>
        <w:tc>
          <w:tcPr>
            <w:tcW w:w="1697" w:type="dxa"/>
            <w:vAlign w:val="center"/>
          </w:tcPr>
          <w:p w:rsidR="0078379E" w:rsidRDefault="00577DE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sz w:val="24"/>
                <w:szCs w:val="24"/>
              </w:rPr>
              <w:t xml:space="preserve">&lt; 2.5  </w:t>
            </w:r>
            <w:r>
              <w:rPr>
                <w:rFonts w:ascii="Arial" w:eastAsia="Arial" w:hAnsi="Arial" w:cs="Arial"/>
                <w:i/>
                <w:color w:val="000000"/>
                <w:sz w:val="24"/>
                <w:szCs w:val="24"/>
              </w:rPr>
              <w:t>times</w:t>
            </w:r>
          </w:p>
        </w:tc>
        <w:tc>
          <w:tcPr>
            <w:tcW w:w="3089" w:type="dxa"/>
            <w:vAlign w:val="center"/>
          </w:tcPr>
          <w:p w:rsidR="0078379E" w:rsidRDefault="00577DEF">
            <w:pPr>
              <w:spacing w:before="100" w:after="200"/>
              <w:jc w:val="center"/>
              <w:rPr>
                <w:rFonts w:ascii="Arial" w:eastAsia="Arial" w:hAnsi="Arial" w:cs="Arial"/>
                <w:i/>
                <w:color w:val="000000"/>
                <w:sz w:val="24"/>
                <w:szCs w:val="24"/>
              </w:rPr>
            </w:pPr>
            <w:r>
              <w:rPr>
                <w:rFonts w:ascii="Arial" w:eastAsia="Arial" w:hAnsi="Arial" w:cs="Arial"/>
                <w:b/>
                <w:sz w:val="24"/>
                <w:szCs w:val="24"/>
              </w:rPr>
              <w:t>as set out in Paragraph 2.3.2</w:t>
            </w:r>
          </w:p>
        </w:tc>
      </w:tr>
      <w:tr w:rsidR="0078379E">
        <w:tc>
          <w:tcPr>
            <w:tcW w:w="2253" w:type="dxa"/>
            <w:vAlign w:val="center"/>
          </w:tcPr>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sz w:val="24"/>
                <w:szCs w:val="24"/>
              </w:rPr>
              <w:t>4</w:t>
            </w:r>
          </w:p>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Acid Ratio</w:t>
            </w:r>
          </w:p>
        </w:tc>
        <w:tc>
          <w:tcPr>
            <w:tcW w:w="1977" w:type="dxa"/>
            <w:vAlign w:val="center"/>
          </w:tcPr>
          <w:p w:rsidR="0078379E" w:rsidRDefault="00577DE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Acid Ratio = (Current Assets – Inventories) / Current Liabilities</w:t>
            </w:r>
          </w:p>
        </w:tc>
        <w:tc>
          <w:tcPr>
            <w:tcW w:w="1697" w:type="dxa"/>
            <w:vAlign w:val="center"/>
          </w:tcPr>
          <w:p w:rsidR="0078379E" w:rsidRDefault="00577DE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sz w:val="24"/>
                <w:szCs w:val="24"/>
              </w:rPr>
              <w:t>&lt;0.9</w:t>
            </w:r>
          </w:p>
        </w:tc>
        <w:tc>
          <w:tcPr>
            <w:tcW w:w="3089" w:type="dxa"/>
            <w:vAlign w:val="center"/>
          </w:tcPr>
          <w:p w:rsidR="0078379E" w:rsidRDefault="00577DEF">
            <w:pPr>
              <w:spacing w:before="100" w:after="200"/>
              <w:jc w:val="center"/>
              <w:rPr>
                <w:rFonts w:ascii="Arial" w:eastAsia="Arial" w:hAnsi="Arial" w:cs="Arial"/>
                <w:i/>
                <w:color w:val="000000"/>
                <w:sz w:val="24"/>
                <w:szCs w:val="24"/>
              </w:rPr>
            </w:pPr>
            <w:bookmarkStart w:id="2" w:name="_1ci93xb" w:colFirst="0" w:colLast="0"/>
            <w:bookmarkEnd w:id="2"/>
            <w:r>
              <w:rPr>
                <w:rFonts w:ascii="Arial" w:eastAsia="Arial" w:hAnsi="Arial" w:cs="Arial"/>
                <w:b/>
                <w:sz w:val="24"/>
                <w:szCs w:val="24"/>
              </w:rPr>
              <w:t>as set out in Paragraph 2.3.2</w:t>
            </w:r>
          </w:p>
        </w:tc>
      </w:tr>
    </w:tbl>
    <w:p w:rsidR="0078379E" w:rsidRPr="005A0C6B" w:rsidRDefault="00577DEF" w:rsidP="005A0C6B">
      <w:pPr>
        <w:pBdr>
          <w:top w:val="nil"/>
          <w:left w:val="nil"/>
          <w:bottom w:val="nil"/>
          <w:right w:val="nil"/>
          <w:between w:val="nil"/>
        </w:pBdr>
        <w:tabs>
          <w:tab w:val="left" w:pos="142"/>
        </w:tabs>
        <w:spacing w:before="120"/>
        <w:ind w:left="360" w:hanging="360"/>
        <w:rPr>
          <w:rFonts w:ascii="Arial" w:eastAsia="Arial" w:hAnsi="Arial" w:cs="Arial"/>
          <w:color w:val="000000"/>
          <w:sz w:val="24"/>
          <w:szCs w:val="24"/>
        </w:rPr>
      </w:pPr>
      <w:r>
        <w:rPr>
          <w:rFonts w:ascii="Arial" w:eastAsia="Arial" w:hAnsi="Arial" w:cs="Arial"/>
          <w:color w:val="000000"/>
          <w:sz w:val="24"/>
          <w:szCs w:val="24"/>
        </w:rPr>
        <w:t>Key: 1 – see Annex 3 to this Schedule which sets out the calculation methodology to be used in the calculation of each financial indicator.</w:t>
      </w:r>
    </w:p>
    <w:p w:rsidR="0078379E" w:rsidRDefault="00577DEF" w:rsidP="005A0C6B">
      <w:pPr>
        <w:numPr>
          <w:ilvl w:val="1"/>
          <w:numId w:val="2"/>
        </w:numPr>
        <w:pBdr>
          <w:top w:val="nil"/>
          <w:left w:val="nil"/>
          <w:bottom w:val="nil"/>
          <w:right w:val="nil"/>
          <w:between w:val="nil"/>
        </w:pBdr>
        <w:tabs>
          <w:tab w:val="left" w:pos="1134"/>
        </w:tabs>
        <w:spacing w:before="120"/>
        <w:ind w:hanging="567"/>
        <w:jc w:val="left"/>
      </w:pPr>
      <w:r>
        <w:rPr>
          <w:rFonts w:ascii="Arial" w:eastAsia="Arial" w:hAnsi="Arial" w:cs="Arial"/>
          <w:color w:val="000000"/>
          <w:sz w:val="24"/>
          <w:szCs w:val="24"/>
        </w:rPr>
        <w:t>Monitored Suppliers</w:t>
      </w:r>
      <w:r>
        <w:rPr>
          <w:color w:val="000000"/>
        </w:rPr>
        <w:t xml:space="preserve"> </w:t>
      </w:r>
    </w:p>
    <w:p w:rsidR="0078379E" w:rsidRDefault="00577DEF">
      <w:p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Guidance:</w:t>
      </w:r>
      <w:r>
        <w:rPr>
          <w:rFonts w:ascii="Arial" w:eastAsia="Arial" w:hAnsi="Arial" w:cs="Arial"/>
          <w:color w:val="000000"/>
          <w:sz w:val="24"/>
          <w:szCs w:val="24"/>
          <w:highlight w:val="yellow"/>
        </w:rPr>
        <w:t xml:space="preserve"> Insert details of any other entities which the Supplier is required to monitor against the Financial Indicators. These are in addition to the Supplier’s monitoring of itself, the Guarantor and the Key Sub-contractors. Not all the Financial Indicators may </w:t>
      </w:r>
      <w:r>
        <w:rPr>
          <w:rFonts w:ascii="Arial" w:eastAsia="Arial" w:hAnsi="Arial" w:cs="Arial"/>
          <w:color w:val="000000"/>
          <w:sz w:val="24"/>
          <w:szCs w:val="24"/>
          <w:highlight w:val="yellow"/>
        </w:rPr>
        <w:t>be applicable to a Monitored Supplier, so indicate which of those are to apply in the table below]</w:t>
      </w:r>
    </w:p>
    <w:tbl>
      <w:tblPr>
        <w:tblStyle w:val="a1"/>
        <w:tblW w:w="8985"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5"/>
        <w:gridCol w:w="4230"/>
      </w:tblGrid>
      <w:tr w:rsidR="0078379E">
        <w:tc>
          <w:tcPr>
            <w:tcW w:w="4755" w:type="dxa"/>
            <w:shd w:val="clear" w:color="auto" w:fill="D9D9D9"/>
          </w:tcPr>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Monitored Supplier</w:t>
            </w:r>
          </w:p>
        </w:tc>
        <w:tc>
          <w:tcPr>
            <w:tcW w:w="4230" w:type="dxa"/>
            <w:shd w:val="clear" w:color="auto" w:fill="D9D9D9"/>
          </w:tcPr>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Applicable Financial Indicators</w:t>
            </w:r>
          </w:p>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rPr>
            </w:pPr>
            <w:bookmarkStart w:id="3" w:name="_1fob9te" w:colFirst="0" w:colLast="0"/>
            <w:bookmarkEnd w:id="3"/>
            <w:r>
              <w:rPr>
                <w:rFonts w:ascii="Arial" w:eastAsia="Arial" w:hAnsi="Arial" w:cs="Arial"/>
                <w:color w:val="000000"/>
                <w:sz w:val="24"/>
                <w:szCs w:val="24"/>
              </w:rPr>
              <w:t>(these are the Financial Indicators from the table in Paragraph 5.1 which are to apply to the Monitored Suppliers)</w:t>
            </w:r>
          </w:p>
        </w:tc>
      </w:tr>
      <w:tr w:rsidR="0078379E">
        <w:tc>
          <w:tcPr>
            <w:tcW w:w="4755" w:type="dxa"/>
          </w:tcPr>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highlight w:val="yellow"/>
              </w:rPr>
              <w:t xml:space="preserve">[Entity 1 e.g Group Member, Sub-contractor, Relevant Parent Company etc.] </w:t>
            </w:r>
          </w:p>
        </w:tc>
        <w:tc>
          <w:tcPr>
            <w:tcW w:w="4230" w:type="dxa"/>
          </w:tcPr>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highlight w:val="yellow"/>
              </w:rPr>
            </w:pPr>
            <w:r>
              <w:rPr>
                <w:rFonts w:ascii="Arial" w:eastAsia="Arial" w:hAnsi="Arial" w:cs="Arial"/>
                <w:sz w:val="24"/>
                <w:szCs w:val="24"/>
                <w:highlight w:val="yellow"/>
              </w:rPr>
              <w:t>[</w:t>
            </w:r>
            <w:r>
              <w:rPr>
                <w:rFonts w:ascii="Arial" w:eastAsia="Arial" w:hAnsi="Arial" w:cs="Arial"/>
                <w:color w:val="000000"/>
                <w:sz w:val="24"/>
                <w:szCs w:val="24"/>
                <w:highlight w:val="yellow"/>
              </w:rPr>
              <w:t xml:space="preserve">1 </w:t>
            </w:r>
            <w:r>
              <w:rPr>
                <w:rFonts w:ascii="Arial" w:eastAsia="Arial" w:hAnsi="Arial" w:cs="Arial"/>
                <w:sz w:val="24"/>
                <w:szCs w:val="24"/>
                <w:highlight w:val="yellow"/>
              </w:rPr>
              <w:t xml:space="preserve">- </w:t>
            </w:r>
            <w:r>
              <w:rPr>
                <w:rFonts w:ascii="Arial" w:eastAsia="Arial" w:hAnsi="Arial" w:cs="Arial"/>
                <w:color w:val="000000"/>
                <w:sz w:val="24"/>
                <w:szCs w:val="24"/>
                <w:highlight w:val="yellow"/>
              </w:rPr>
              <w:t>Operating Margin</w:t>
            </w:r>
          </w:p>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2</w:t>
            </w:r>
            <w:r>
              <w:rPr>
                <w:rFonts w:ascii="Arial" w:eastAsia="Arial" w:hAnsi="Arial" w:cs="Arial"/>
                <w:sz w:val="24"/>
                <w:szCs w:val="24"/>
                <w:highlight w:val="yellow"/>
              </w:rPr>
              <w:t xml:space="preserve"> -</w:t>
            </w:r>
            <w:r>
              <w:rPr>
                <w:rFonts w:ascii="Arial" w:eastAsia="Arial" w:hAnsi="Arial" w:cs="Arial"/>
                <w:color w:val="000000"/>
                <w:sz w:val="24"/>
                <w:szCs w:val="24"/>
                <w:highlight w:val="yellow"/>
              </w:rPr>
              <w:t xml:space="preserve"> </w:t>
            </w:r>
            <w:r>
              <w:rPr>
                <w:rFonts w:ascii="Arial" w:eastAsia="Arial" w:hAnsi="Arial" w:cs="Arial"/>
                <w:sz w:val="24"/>
                <w:szCs w:val="24"/>
                <w:highlight w:val="yellow"/>
              </w:rPr>
              <w:t>Net Debt to EBITDA Ratio</w:t>
            </w:r>
          </w:p>
          <w:p w:rsidR="0078379E" w:rsidRDefault="00577DEF">
            <w:pPr>
              <w:pBdr>
                <w:top w:val="nil"/>
                <w:left w:val="nil"/>
                <w:bottom w:val="nil"/>
                <w:right w:val="nil"/>
                <w:between w:val="nil"/>
              </w:pBdr>
              <w:spacing w:before="100" w:after="200"/>
              <w:jc w:val="left"/>
              <w:rPr>
                <w:rFonts w:ascii="Arial" w:eastAsia="Arial" w:hAnsi="Arial" w:cs="Arial"/>
                <w:sz w:val="24"/>
                <w:szCs w:val="24"/>
                <w:highlight w:val="yellow"/>
              </w:rPr>
            </w:pPr>
            <w:r>
              <w:rPr>
                <w:rFonts w:ascii="Arial" w:eastAsia="Arial" w:hAnsi="Arial" w:cs="Arial"/>
                <w:color w:val="000000"/>
                <w:sz w:val="24"/>
                <w:szCs w:val="24"/>
                <w:highlight w:val="yellow"/>
              </w:rPr>
              <w:t xml:space="preserve">3 </w:t>
            </w:r>
            <w:r>
              <w:rPr>
                <w:rFonts w:ascii="Arial" w:eastAsia="Arial" w:hAnsi="Arial" w:cs="Arial"/>
                <w:sz w:val="24"/>
                <w:szCs w:val="24"/>
                <w:highlight w:val="yellow"/>
              </w:rPr>
              <w:t>- Net Interest Paid Cover</w:t>
            </w:r>
          </w:p>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4 - </w:t>
            </w:r>
            <w:r>
              <w:rPr>
                <w:rFonts w:ascii="Arial" w:eastAsia="Arial" w:hAnsi="Arial" w:cs="Arial"/>
                <w:sz w:val="24"/>
                <w:szCs w:val="24"/>
                <w:highlight w:val="yellow"/>
              </w:rPr>
              <w:t>Acid Ratio]</w:t>
            </w:r>
            <w:r>
              <w:rPr>
                <w:rFonts w:ascii="Arial" w:eastAsia="Arial" w:hAnsi="Arial" w:cs="Arial"/>
                <w:color w:val="000000"/>
                <w:sz w:val="24"/>
                <w:szCs w:val="24"/>
                <w:highlight w:val="yellow"/>
              </w:rPr>
              <w:t xml:space="preserve"> </w:t>
            </w:r>
          </w:p>
        </w:tc>
      </w:tr>
      <w:tr w:rsidR="0078379E">
        <w:tc>
          <w:tcPr>
            <w:tcW w:w="4755" w:type="dxa"/>
          </w:tcPr>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[Entity 2 e.g Group Member, Sub-contractor, Relevant Parent Company etc.]</w:t>
            </w:r>
          </w:p>
        </w:tc>
        <w:tc>
          <w:tcPr>
            <w:tcW w:w="4230" w:type="dxa"/>
          </w:tcPr>
          <w:p w:rsidR="0078379E" w:rsidRDefault="00577DEF">
            <w:pPr>
              <w:spacing w:before="100" w:after="200"/>
              <w:jc w:val="left"/>
              <w:rPr>
                <w:rFonts w:ascii="Arial" w:eastAsia="Arial" w:hAnsi="Arial" w:cs="Arial"/>
                <w:sz w:val="24"/>
                <w:szCs w:val="24"/>
                <w:highlight w:val="yellow"/>
              </w:rPr>
            </w:pPr>
            <w:r>
              <w:rPr>
                <w:rFonts w:ascii="Arial" w:eastAsia="Arial" w:hAnsi="Arial" w:cs="Arial"/>
                <w:sz w:val="24"/>
                <w:szCs w:val="24"/>
                <w:highlight w:val="yellow"/>
              </w:rPr>
              <w:t>[1 - Operating Margin</w:t>
            </w:r>
          </w:p>
          <w:p w:rsidR="0078379E" w:rsidRDefault="00577DEF">
            <w:pPr>
              <w:spacing w:before="100" w:after="200"/>
              <w:jc w:val="left"/>
              <w:rPr>
                <w:rFonts w:ascii="Arial" w:eastAsia="Arial" w:hAnsi="Arial" w:cs="Arial"/>
                <w:sz w:val="24"/>
                <w:szCs w:val="24"/>
                <w:highlight w:val="yellow"/>
              </w:rPr>
            </w:pPr>
            <w:r>
              <w:rPr>
                <w:rFonts w:ascii="Arial" w:eastAsia="Arial" w:hAnsi="Arial" w:cs="Arial"/>
                <w:sz w:val="24"/>
                <w:szCs w:val="24"/>
                <w:highlight w:val="yellow"/>
              </w:rPr>
              <w:t>2 - Net Debt to EBITDA Ratio</w:t>
            </w:r>
          </w:p>
          <w:p w:rsidR="0078379E" w:rsidRDefault="00577DEF">
            <w:pPr>
              <w:spacing w:before="100" w:after="200"/>
              <w:jc w:val="left"/>
              <w:rPr>
                <w:rFonts w:ascii="Arial" w:eastAsia="Arial" w:hAnsi="Arial" w:cs="Arial"/>
                <w:sz w:val="24"/>
                <w:szCs w:val="24"/>
                <w:highlight w:val="yellow"/>
              </w:rPr>
            </w:pPr>
            <w:r>
              <w:rPr>
                <w:rFonts w:ascii="Arial" w:eastAsia="Arial" w:hAnsi="Arial" w:cs="Arial"/>
                <w:sz w:val="24"/>
                <w:szCs w:val="24"/>
                <w:highlight w:val="yellow"/>
              </w:rPr>
              <w:t>3 - Net Interest Paid Cover</w:t>
            </w:r>
          </w:p>
          <w:p w:rsidR="0078379E" w:rsidRDefault="00577DEF">
            <w:pPr>
              <w:spacing w:before="100" w:after="200"/>
              <w:jc w:val="left"/>
              <w:rPr>
                <w:rFonts w:ascii="Arial" w:eastAsia="Arial" w:hAnsi="Arial" w:cs="Arial"/>
                <w:sz w:val="24"/>
                <w:szCs w:val="24"/>
                <w:highlight w:val="yellow"/>
              </w:rPr>
            </w:pPr>
            <w:r>
              <w:rPr>
                <w:rFonts w:ascii="Arial" w:eastAsia="Arial" w:hAnsi="Arial" w:cs="Arial"/>
                <w:sz w:val="24"/>
                <w:szCs w:val="24"/>
                <w:highlight w:val="yellow"/>
              </w:rPr>
              <w:lastRenderedPageBreak/>
              <w:t>4 - Acid Ratio]</w:t>
            </w:r>
          </w:p>
        </w:tc>
      </w:tr>
      <w:tr w:rsidR="0078379E">
        <w:tc>
          <w:tcPr>
            <w:tcW w:w="4755" w:type="dxa"/>
          </w:tcPr>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lastRenderedPageBreak/>
              <w:t>[etc.]</w:t>
            </w:r>
          </w:p>
        </w:tc>
        <w:tc>
          <w:tcPr>
            <w:tcW w:w="4230" w:type="dxa"/>
          </w:tcPr>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[etc.]</w:t>
            </w:r>
          </w:p>
        </w:tc>
      </w:tr>
    </w:tbl>
    <w:p w:rsidR="0078379E" w:rsidRDefault="0078379E">
      <w:pPr>
        <w:pBdr>
          <w:top w:val="nil"/>
          <w:left w:val="nil"/>
          <w:bottom w:val="nil"/>
          <w:right w:val="nil"/>
          <w:between w:val="nil"/>
        </w:pBdr>
        <w:tabs>
          <w:tab w:val="left" w:pos="1134"/>
        </w:tabs>
        <w:spacing w:before="120" w:after="120"/>
        <w:ind w:left="360" w:hanging="1004"/>
        <w:jc w:val="left"/>
        <w:rPr>
          <w:color w:val="000000"/>
        </w:rPr>
      </w:pPr>
    </w:p>
    <w:p w:rsidR="0078379E" w:rsidRDefault="00577DEF" w:rsidP="005A0C6B">
      <w:pPr>
        <w:keepNext/>
        <w:numPr>
          <w:ilvl w:val="0"/>
          <w:numId w:val="2"/>
        </w:numPr>
        <w:pBdr>
          <w:top w:val="nil"/>
          <w:left w:val="nil"/>
          <w:bottom w:val="nil"/>
          <w:right w:val="nil"/>
          <w:between w:val="nil"/>
        </w:pBdr>
        <w:tabs>
          <w:tab w:val="left" w:pos="142"/>
        </w:tabs>
        <w:spacing w:before="120"/>
        <w:ind w:left="357" w:hanging="357"/>
        <w:jc w:val="left"/>
      </w:pPr>
      <w:r>
        <w:rPr>
          <w:rFonts w:ascii="Arial Bold" w:eastAsia="Arial Bold" w:hAnsi="Arial Bold" w:cs="Arial Bold"/>
          <w:b/>
          <w:color w:val="000000"/>
          <w:sz w:val="24"/>
          <w:szCs w:val="24"/>
        </w:rPr>
        <w:t>Termination rights</w:t>
      </w:r>
    </w:p>
    <w:p w:rsidR="0078379E" w:rsidRDefault="00577DEF" w:rsidP="005A0C6B">
      <w:pPr>
        <w:numPr>
          <w:ilvl w:val="1"/>
          <w:numId w:val="2"/>
        </w:numPr>
        <w:pBdr>
          <w:top w:val="nil"/>
          <w:left w:val="nil"/>
          <w:bottom w:val="nil"/>
          <w:right w:val="nil"/>
          <w:between w:val="nil"/>
        </w:pBdr>
        <w:tabs>
          <w:tab w:val="left" w:pos="1134"/>
        </w:tabs>
        <w:spacing w:before="120"/>
        <w:ind w:hanging="567"/>
        <w:jc w:val="left"/>
      </w:pPr>
      <w:r>
        <w:rPr>
          <w:rFonts w:ascii="Arial" w:eastAsia="Arial" w:hAnsi="Arial" w:cs="Arial"/>
          <w:color w:val="000000"/>
          <w:sz w:val="24"/>
          <w:szCs w:val="24"/>
        </w:rPr>
        <w:t>The Relevant Authority shall be entitled to terminate the Contract if:</w:t>
      </w:r>
    </w:p>
    <w:p w:rsidR="0078379E" w:rsidRDefault="00577DEF" w:rsidP="005A0C6B">
      <w:pPr>
        <w:numPr>
          <w:ilvl w:val="2"/>
          <w:numId w:val="2"/>
        </w:numPr>
        <w:pBdr>
          <w:top w:val="nil"/>
          <w:left w:val="nil"/>
          <w:bottom w:val="nil"/>
          <w:right w:val="nil"/>
          <w:between w:val="nil"/>
        </w:pBdr>
        <w:tabs>
          <w:tab w:val="left" w:pos="1985"/>
        </w:tabs>
        <w:spacing w:before="120"/>
        <w:ind w:left="1967" w:hanging="720"/>
      </w:pPr>
      <w:r>
        <w:rPr>
          <w:rFonts w:ascii="Arial" w:eastAsia="Arial" w:hAnsi="Arial" w:cs="Arial"/>
          <w:color w:val="000000"/>
          <w:sz w:val="24"/>
          <w:szCs w:val="24"/>
        </w:rPr>
        <w:t>the Supplier fails to notify the Relevant Authority of a Financial Distress Event in accordance with Paragraph 2.3.3;</w:t>
      </w:r>
    </w:p>
    <w:p w:rsidR="0078379E" w:rsidRDefault="00577DEF" w:rsidP="005A0C6B">
      <w:pPr>
        <w:numPr>
          <w:ilvl w:val="2"/>
          <w:numId w:val="2"/>
        </w:numPr>
        <w:pBdr>
          <w:top w:val="nil"/>
          <w:left w:val="nil"/>
          <w:bottom w:val="nil"/>
          <w:right w:val="nil"/>
          <w:between w:val="nil"/>
        </w:pBdr>
        <w:tabs>
          <w:tab w:val="left" w:pos="1985"/>
        </w:tabs>
        <w:spacing w:before="120"/>
        <w:ind w:left="1967" w:hanging="720"/>
      </w:pPr>
      <w:r>
        <w:rPr>
          <w:rFonts w:ascii="Arial" w:eastAsia="Arial" w:hAnsi="Arial" w:cs="Arial"/>
          <w:color w:val="000000"/>
          <w:sz w:val="24"/>
          <w:szCs w:val="24"/>
        </w:rPr>
        <w:t>the Parties fail to agree a Financial Distress Remediation Plan (or any updated Financial Distress Remediation Plan) in accordance with Paragraphs 4.3 to 4.5; and/or</w:t>
      </w:r>
    </w:p>
    <w:p w:rsidR="0078379E" w:rsidRDefault="00577DEF" w:rsidP="005A0C6B">
      <w:pPr>
        <w:numPr>
          <w:ilvl w:val="2"/>
          <w:numId w:val="2"/>
        </w:numPr>
        <w:pBdr>
          <w:top w:val="nil"/>
          <w:left w:val="nil"/>
          <w:bottom w:val="nil"/>
          <w:right w:val="nil"/>
          <w:between w:val="nil"/>
        </w:pBdr>
        <w:tabs>
          <w:tab w:val="left" w:pos="1985"/>
        </w:tabs>
        <w:spacing w:before="120"/>
        <w:ind w:left="1967" w:hanging="720"/>
      </w:pPr>
      <w:r>
        <w:rPr>
          <w:rFonts w:ascii="Arial" w:eastAsia="Arial" w:hAnsi="Arial" w:cs="Arial"/>
          <w:color w:val="000000"/>
          <w:sz w:val="24"/>
          <w:szCs w:val="24"/>
        </w:rPr>
        <w:t>the Supplier fails to comply with the terms of the Financial Distress Remediation Plan (or</w:t>
      </w:r>
      <w:r>
        <w:rPr>
          <w:rFonts w:ascii="Arial" w:eastAsia="Arial" w:hAnsi="Arial" w:cs="Arial"/>
          <w:color w:val="000000"/>
          <w:sz w:val="24"/>
          <w:szCs w:val="24"/>
        </w:rPr>
        <w:t xml:space="preserve"> any updated Financial Distress Remediation Plan) in accordance with Paragraph 4.6.3,</w:t>
      </w:r>
    </w:p>
    <w:p w:rsidR="0078379E" w:rsidRDefault="00577DEF" w:rsidP="005A0C6B">
      <w:pPr>
        <w:pBdr>
          <w:top w:val="nil"/>
          <w:left w:val="nil"/>
          <w:bottom w:val="nil"/>
          <w:right w:val="nil"/>
          <w:between w:val="nil"/>
        </w:pBdr>
        <w:tabs>
          <w:tab w:val="left" w:pos="1985"/>
        </w:tabs>
        <w:spacing w:before="120"/>
        <w:ind w:left="1134"/>
        <w:rPr>
          <w:rFonts w:ascii="Arial" w:eastAsia="Arial" w:hAnsi="Arial" w:cs="Arial"/>
          <w:color w:val="000000"/>
          <w:sz w:val="24"/>
          <w:szCs w:val="24"/>
        </w:rPr>
      </w:pPr>
      <w:r>
        <w:rPr>
          <w:rFonts w:ascii="Arial" w:eastAsia="Arial" w:hAnsi="Arial" w:cs="Arial"/>
          <w:color w:val="000000"/>
          <w:sz w:val="24"/>
          <w:szCs w:val="24"/>
        </w:rPr>
        <w:t>which shall be deemed to be an event to which Clause 10.4.1 of the Core Terms applies and Clauses 10.6.1 and 10.6.2 of the Core Terms shall apply accordingly.</w:t>
      </w:r>
    </w:p>
    <w:p w:rsidR="0078379E" w:rsidRDefault="00577DEF">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 xml:space="preserve">Primacy of </w:t>
      </w:r>
      <w:r>
        <w:rPr>
          <w:rFonts w:ascii="Arial Bold" w:eastAsia="Arial Bold" w:hAnsi="Arial Bold" w:cs="Arial Bold"/>
          <w:b/>
          <w:color w:val="000000"/>
          <w:sz w:val="24"/>
          <w:szCs w:val="24"/>
        </w:rPr>
        <w:t>Credit Ratings</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Pr>
          <w:rFonts w:ascii="Arial" w:eastAsia="Arial" w:hAnsi="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w:t>
      </w:r>
      <w:r>
        <w:rPr>
          <w:rFonts w:ascii="Arial" w:eastAsia="Arial" w:hAnsi="Arial" w:cs="Arial"/>
          <w:color w:val="000000"/>
          <w:sz w:val="24"/>
          <w:szCs w:val="24"/>
        </w:rPr>
        <w:t>rt subsequently that the credit ratings for the FDE Group entities do not drop below the relevant Credit Rating Thresholds specified for those entities in Annex 2 to this Schedule, then:</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the Supplier shall be relieved automatically of its obligations under</w:t>
      </w:r>
      <w:r>
        <w:rPr>
          <w:rFonts w:ascii="Arial" w:eastAsia="Arial" w:hAnsi="Arial" w:cs="Arial"/>
          <w:color w:val="000000"/>
          <w:sz w:val="24"/>
          <w:szCs w:val="24"/>
        </w:rPr>
        <w:t xml:space="preserve"> Paragraphs 4.3 to 4.6; and</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the Relevant Authority shall not be entitled to require the Supplier to provide financial information in accordance with Paragraph 4.3.2(b).</w:t>
      </w:r>
    </w:p>
    <w:p w:rsidR="0078379E" w:rsidRDefault="00577DEF">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Board confirmation</w:t>
      </w:r>
    </w:p>
    <w:p w:rsidR="0078379E" w:rsidRDefault="00577DEF" w:rsidP="005A0C6B">
      <w:pPr>
        <w:numPr>
          <w:ilvl w:val="1"/>
          <w:numId w:val="2"/>
        </w:numPr>
        <w:pBdr>
          <w:top w:val="nil"/>
          <w:left w:val="nil"/>
          <w:bottom w:val="nil"/>
          <w:right w:val="nil"/>
          <w:between w:val="nil"/>
        </w:pBdr>
        <w:tabs>
          <w:tab w:val="left" w:pos="1134"/>
        </w:tabs>
        <w:spacing w:before="120"/>
        <w:ind w:hanging="567"/>
        <w:jc w:val="left"/>
      </w:pPr>
      <w:r>
        <w:rPr>
          <w:rFonts w:ascii="Arial" w:eastAsia="Arial" w:hAnsi="Arial" w:cs="Arial"/>
          <w:color w:val="000000"/>
          <w:sz w:val="24"/>
          <w:szCs w:val="24"/>
          <w:highlight w:val="yellow"/>
        </w:rPr>
        <w:t>If the Contract has been specified as a Critical Service Contract un</w:t>
      </w:r>
      <w:r>
        <w:rPr>
          <w:rFonts w:ascii="Arial" w:eastAsia="Arial" w:hAnsi="Arial" w:cs="Arial"/>
          <w:color w:val="000000"/>
          <w:sz w:val="24"/>
          <w:szCs w:val="24"/>
          <w:highlight w:val="yellow"/>
        </w:rPr>
        <w:t>der Paragraph 1.1 of Call-Off Schedule 24 (Corporate Resolution Planning)</w:t>
      </w:r>
      <w:r>
        <w:rPr>
          <w:rFonts w:ascii="Arial" w:eastAsia="Arial" w:hAnsi="Arial" w:cs="Arial"/>
          <w:color w:val="000000"/>
          <w:sz w:val="24"/>
          <w:szCs w:val="24"/>
        </w:rPr>
        <w:t xml:space="preserve"> (if applicable) then, subject to Paragraph 8.4 of this Schedule, the Supplier shall within ninety (90) days after each Accounting Reference Date or within 15 months of the previous B</w:t>
      </w:r>
      <w:r>
        <w:rPr>
          <w:rFonts w:ascii="Arial" w:eastAsia="Arial" w:hAnsi="Arial" w:cs="Arial"/>
          <w:color w:val="000000"/>
          <w:sz w:val="24"/>
          <w:szCs w:val="24"/>
        </w:rPr>
        <w:t>oard Confirmation (whichever is the earlier) provide a Board Confirmation to the Relevant Authority in the form set out at Annex 4 to this Schedule, confirming that to the best of the Board’s knowledge and belief, it is not aware of and has no knowledge:</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lastRenderedPageBreak/>
        <w:t>t</w:t>
      </w:r>
      <w:r>
        <w:rPr>
          <w:rFonts w:ascii="Arial" w:eastAsia="Arial" w:hAnsi="Arial" w:cs="Arial"/>
          <w:color w:val="000000"/>
          <w:sz w:val="24"/>
          <w:szCs w:val="24"/>
        </w:rPr>
        <w:t>hat a Financial Distress Event has occurred since the later of the Effective Date or the previous Board Confirmation or is subsisting; or</w:t>
      </w:r>
    </w:p>
    <w:p w:rsidR="0078379E" w:rsidRPr="005A0C6B" w:rsidRDefault="00577DEF" w:rsidP="005A0C6B">
      <w:pPr>
        <w:numPr>
          <w:ilvl w:val="2"/>
          <w:numId w:val="2"/>
        </w:numPr>
        <w:pBdr>
          <w:top w:val="nil"/>
          <w:left w:val="nil"/>
          <w:bottom w:val="nil"/>
          <w:right w:val="nil"/>
          <w:between w:val="nil"/>
        </w:pBdr>
        <w:tabs>
          <w:tab w:val="left" w:pos="1985"/>
        </w:tabs>
        <w:spacing w:before="120"/>
        <w:ind w:left="1967" w:hanging="720"/>
        <w:rPr>
          <w:rFonts w:ascii="Arial" w:eastAsia="Arial" w:hAnsi="Arial" w:cs="Arial"/>
          <w:color w:val="000000"/>
          <w:sz w:val="24"/>
          <w:szCs w:val="24"/>
        </w:rPr>
      </w:pPr>
      <w:r>
        <w:rPr>
          <w:rFonts w:ascii="Arial" w:eastAsia="Arial" w:hAnsi="Arial" w:cs="Arial"/>
          <w:color w:val="000000"/>
          <w:sz w:val="24"/>
          <w:szCs w:val="24"/>
        </w:rPr>
        <w:t>of any matters which have occurred or are subsisting that could reasonably be expected to cause a Financial Distress E</w:t>
      </w:r>
      <w:r>
        <w:rPr>
          <w:rFonts w:ascii="Arial" w:eastAsia="Arial" w:hAnsi="Arial" w:cs="Arial"/>
          <w:color w:val="000000"/>
          <w:sz w:val="24"/>
          <w:szCs w:val="24"/>
        </w:rPr>
        <w:t>vent.</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sidRPr="005A0C6B">
        <w:rPr>
          <w:rFonts w:ascii="Arial" w:eastAsia="Arial" w:hAnsi="Arial" w:cs="Arial"/>
          <w:color w:val="000000"/>
          <w:sz w:val="24"/>
          <w:szCs w:val="24"/>
        </w:rPr>
        <w:t xml:space="preserve">The Supplier shall ensure that in its preparation of the Board Confirmation it exercises due care and diligence and has made reasonable enquiry of all relevant Supplier Staff and other persons as is reasonably necessary to understand and confirm the </w:t>
      </w:r>
      <w:r w:rsidRPr="005A0C6B">
        <w:rPr>
          <w:rFonts w:ascii="Arial" w:eastAsia="Arial" w:hAnsi="Arial" w:cs="Arial"/>
          <w:color w:val="000000"/>
          <w:sz w:val="24"/>
          <w:szCs w:val="24"/>
        </w:rPr>
        <w:t>position.</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sidRPr="005A0C6B">
        <w:rPr>
          <w:rFonts w:ascii="Arial" w:eastAsia="Arial" w:hAnsi="Arial" w:cs="Arial"/>
          <w:color w:val="000000"/>
          <w:sz w:val="24"/>
          <w:szCs w:val="24"/>
        </w:rPr>
        <w:t xml:space="preserve">In respect of the first Board Confirmation to be provided under this Contract, the Supplier shall provide the Board Confirmation within 15 months of the Effective Date if earlier than the timescale for submission set out in Paragraph 8.1 of this </w:t>
      </w:r>
      <w:r w:rsidRPr="005A0C6B">
        <w:rPr>
          <w:rFonts w:ascii="Arial" w:eastAsia="Arial" w:hAnsi="Arial" w:cs="Arial"/>
          <w:color w:val="000000"/>
          <w:sz w:val="24"/>
          <w:szCs w:val="24"/>
        </w:rPr>
        <w:t>Schedule.</w:t>
      </w:r>
    </w:p>
    <w:p w:rsidR="0078379E" w:rsidRPr="005A0C6B" w:rsidRDefault="00577DEF" w:rsidP="005A0C6B">
      <w:pPr>
        <w:numPr>
          <w:ilvl w:val="1"/>
          <w:numId w:val="2"/>
        </w:numPr>
        <w:pBdr>
          <w:top w:val="nil"/>
          <w:left w:val="nil"/>
          <w:bottom w:val="nil"/>
          <w:right w:val="nil"/>
          <w:between w:val="nil"/>
        </w:pBdr>
        <w:tabs>
          <w:tab w:val="left" w:pos="1134"/>
        </w:tabs>
        <w:spacing w:before="120"/>
        <w:ind w:hanging="567"/>
        <w:jc w:val="left"/>
        <w:rPr>
          <w:rFonts w:ascii="Arial" w:eastAsia="Arial" w:hAnsi="Arial" w:cs="Arial"/>
          <w:color w:val="000000"/>
          <w:sz w:val="24"/>
          <w:szCs w:val="24"/>
        </w:rPr>
      </w:pPr>
      <w:r w:rsidRPr="005A0C6B">
        <w:rPr>
          <w:rFonts w:ascii="Arial" w:eastAsia="Arial" w:hAnsi="Arial" w:cs="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w:t>
      </w:r>
      <w:r w:rsidRPr="005A0C6B">
        <w:rPr>
          <w:rFonts w:ascii="Arial" w:eastAsia="Arial" w:hAnsi="Arial" w:cs="Arial"/>
          <w:color w:val="000000"/>
          <w:sz w:val="24"/>
          <w:szCs w:val="24"/>
        </w:rPr>
        <w:t>ncial Distress Event, it will be sufficient for the Supplier to submit in place of the Board Confirmation, a statement from the Board of Directors to the Buyer (and where the Supplier is a Strategic Supplier, the Supplier shall send a copy of the statement</w:t>
      </w:r>
      <w:r w:rsidRPr="005A0C6B">
        <w:rPr>
          <w:rFonts w:ascii="Arial" w:eastAsia="Arial" w:hAnsi="Arial" w:cs="Arial"/>
          <w:color w:val="000000"/>
          <w:sz w:val="24"/>
          <w:szCs w:val="24"/>
        </w:rPr>
        <w:t xml:space="preserve"> to the Cabinet Office Markets and Suppliers Team) setting out full details of any Financial Distress Events that have occurred and/or the matters which could reasonably be expected to cause a Financial Distress Event.</w:t>
      </w:r>
    </w:p>
    <w:p w:rsidR="0078379E" w:rsidRDefault="00577DEF">
      <w:pPr>
        <w:spacing w:after="200" w:line="276" w:lineRule="auto"/>
        <w:jc w:val="left"/>
        <w:rPr>
          <w:rFonts w:ascii="Arial" w:eastAsia="Arial" w:hAnsi="Arial" w:cs="Arial"/>
          <w:b/>
          <w:sz w:val="24"/>
          <w:szCs w:val="24"/>
        </w:rPr>
      </w:pPr>
      <w:r>
        <w:rPr>
          <w:rFonts w:ascii="Arial" w:eastAsia="Arial" w:hAnsi="Arial" w:cs="Arial"/>
          <w:b/>
          <w:sz w:val="24"/>
          <w:szCs w:val="24"/>
        </w:rPr>
        <w:t>Annex 1: Rating Agencies and their s</w:t>
      </w:r>
      <w:r>
        <w:rPr>
          <w:rFonts w:ascii="Arial" w:eastAsia="Arial" w:hAnsi="Arial" w:cs="Arial"/>
          <w:b/>
          <w:sz w:val="24"/>
          <w:szCs w:val="24"/>
        </w:rPr>
        <w:t>tandard Rating System</w:t>
      </w:r>
    </w:p>
    <w:p w:rsidR="0078379E" w:rsidRDefault="00577DEF">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sz w:val="24"/>
          <w:szCs w:val="24"/>
        </w:rPr>
        <w:t xml:space="preserve">Dun and Bradstreet </w:t>
      </w:r>
    </w:p>
    <w:p w:rsidR="0078379E" w:rsidRDefault="00577DEF">
      <w:pPr>
        <w:keepNext/>
        <w:pBdr>
          <w:top w:val="nil"/>
          <w:left w:val="nil"/>
          <w:bottom w:val="nil"/>
          <w:right w:val="nil"/>
          <w:between w:val="nil"/>
        </w:pBdr>
        <w:spacing w:before="240" w:after="120"/>
        <w:ind w:left="142"/>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[Rating Agency 2]</w:t>
      </w:r>
    </w:p>
    <w:p w:rsidR="0078379E" w:rsidRDefault="00577DEF">
      <w:pPr>
        <w:spacing w:after="200" w:line="276" w:lineRule="auto"/>
        <w:jc w:val="left"/>
        <w:rPr>
          <w:rFonts w:ascii="Arial" w:eastAsia="Arial" w:hAnsi="Arial" w:cs="Arial"/>
          <w:sz w:val="24"/>
          <w:szCs w:val="24"/>
        </w:rPr>
      </w:pPr>
      <w:r>
        <w:br w:type="page"/>
      </w:r>
    </w:p>
    <w:p w:rsidR="0078379E" w:rsidRDefault="00577DEF">
      <w:pPr>
        <w:pBdr>
          <w:top w:val="nil"/>
          <w:left w:val="nil"/>
          <w:bottom w:val="nil"/>
          <w:right w:val="nil"/>
          <w:between w:val="nil"/>
        </w:pBdr>
        <w:spacing w:before="100" w:after="300"/>
        <w:rPr>
          <w:rFonts w:ascii="Arial Bold" w:eastAsia="Arial Bold" w:hAnsi="Arial Bold" w:cs="Arial Bold"/>
          <w:b/>
          <w:smallCaps/>
          <w:color w:val="000000"/>
          <w:sz w:val="24"/>
          <w:szCs w:val="24"/>
        </w:rPr>
      </w:pPr>
      <w:bookmarkStart w:id="4" w:name="_3znysh7" w:colFirst="0" w:colLast="0"/>
      <w:bookmarkEnd w:id="4"/>
      <w:r>
        <w:rPr>
          <w:rFonts w:ascii="Arial Bold" w:eastAsia="Arial Bold" w:hAnsi="Arial Bold" w:cs="Arial Bold"/>
          <w:b/>
          <w:color w:val="000000"/>
          <w:sz w:val="24"/>
          <w:szCs w:val="24"/>
        </w:rPr>
        <w:lastRenderedPageBreak/>
        <w:t>Annex 2</w:t>
      </w:r>
      <w:r>
        <w:rPr>
          <w:rFonts w:ascii="Arial Bold" w:eastAsia="Arial Bold" w:hAnsi="Arial Bold" w:cs="Arial Bold"/>
          <w:b/>
          <w:smallCaps/>
          <w:color w:val="000000"/>
          <w:sz w:val="24"/>
          <w:szCs w:val="24"/>
        </w:rPr>
        <w:t xml:space="preserve">: </w:t>
      </w:r>
      <w:r>
        <w:rPr>
          <w:rFonts w:ascii="Arial Bold" w:eastAsia="Arial Bold" w:hAnsi="Arial Bold" w:cs="Arial Bold"/>
          <w:b/>
          <w:color w:val="000000"/>
          <w:sz w:val="24"/>
          <w:szCs w:val="24"/>
        </w:rPr>
        <w:t>Credit Ratings and Credit Rating Thresholds</w:t>
      </w:r>
    </w:p>
    <w:tbl>
      <w:tblPr>
        <w:tblStyle w:val="a2"/>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78379E">
        <w:tc>
          <w:tcPr>
            <w:tcW w:w="3080" w:type="dxa"/>
            <w:tcBorders>
              <w:top w:val="single" w:sz="4" w:space="0" w:color="000000"/>
            </w:tcBorders>
            <w:shd w:val="clear" w:color="auto" w:fill="FFFFFF"/>
          </w:tcPr>
          <w:p w:rsidR="0078379E" w:rsidRDefault="00577DEF">
            <w:pPr>
              <w:keepNext/>
              <w:pBdr>
                <w:top w:val="nil"/>
                <w:left w:val="nil"/>
                <w:bottom w:val="nil"/>
                <w:right w:val="nil"/>
                <w:between w:val="nil"/>
              </w:pBdr>
              <w:spacing w:before="240" w:after="120"/>
              <w:ind w:left="142"/>
              <w:jc w:val="left"/>
              <w:rPr>
                <w:rFonts w:ascii="Arial" w:eastAsia="Arial" w:hAnsi="Arial" w:cs="Arial"/>
                <w:b/>
                <w:color w:val="000000"/>
                <w:sz w:val="24"/>
                <w:szCs w:val="24"/>
              </w:rPr>
            </w:pPr>
            <w:r>
              <w:rPr>
                <w:rFonts w:ascii="Arial" w:eastAsia="Arial" w:hAnsi="Arial" w:cs="Arial"/>
                <w:b/>
                <w:color w:val="000000"/>
                <w:sz w:val="24"/>
                <w:szCs w:val="24"/>
              </w:rPr>
              <w:t>Entity</w:t>
            </w:r>
          </w:p>
        </w:tc>
        <w:tc>
          <w:tcPr>
            <w:tcW w:w="3081" w:type="dxa"/>
            <w:tcBorders>
              <w:top w:val="single" w:sz="4" w:space="0" w:color="000000"/>
            </w:tcBorders>
            <w:shd w:val="clear" w:color="auto" w:fill="FFFFFF"/>
          </w:tcPr>
          <w:p w:rsidR="0078379E" w:rsidRDefault="00577DEF">
            <w:pPr>
              <w:keepNext/>
              <w:pBdr>
                <w:top w:val="nil"/>
                <w:left w:val="nil"/>
                <w:bottom w:val="nil"/>
                <w:right w:val="nil"/>
                <w:between w:val="nil"/>
              </w:pBdr>
              <w:spacing w:before="240" w:after="120"/>
              <w:ind w:left="142"/>
              <w:jc w:val="left"/>
              <w:rPr>
                <w:rFonts w:ascii="Arial" w:eastAsia="Arial" w:hAnsi="Arial" w:cs="Arial"/>
                <w:b/>
                <w:color w:val="000000"/>
                <w:sz w:val="24"/>
                <w:szCs w:val="24"/>
              </w:rPr>
            </w:pPr>
            <w:r>
              <w:rPr>
                <w:rFonts w:ascii="Arial" w:eastAsia="Arial" w:hAnsi="Arial" w:cs="Arial"/>
                <w:b/>
                <w:color w:val="000000"/>
                <w:sz w:val="24"/>
                <w:szCs w:val="24"/>
              </w:rPr>
              <w:t>Credit rating (long term)</w:t>
            </w:r>
          </w:p>
        </w:tc>
      </w:tr>
      <w:tr w:rsidR="0078379E">
        <w:tc>
          <w:tcPr>
            <w:tcW w:w="3080" w:type="dxa"/>
            <w:shd w:val="clear" w:color="auto" w:fill="FFFFFF"/>
          </w:tcPr>
          <w:p w:rsidR="0078379E" w:rsidRDefault="00577DEF">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rPr>
              <w:t>Supplier</w:t>
            </w:r>
          </w:p>
        </w:tc>
        <w:tc>
          <w:tcPr>
            <w:tcW w:w="3081" w:type="dxa"/>
            <w:shd w:val="clear" w:color="auto" w:fill="FFFFFF"/>
          </w:tcPr>
          <w:p w:rsidR="0078379E" w:rsidRDefault="00577DEF">
            <w:pPr>
              <w:keepNext/>
              <w:pBdr>
                <w:top w:val="nil"/>
                <w:left w:val="nil"/>
                <w:bottom w:val="nil"/>
                <w:right w:val="nil"/>
                <w:between w:val="nil"/>
              </w:pBdr>
              <w:spacing w:before="240" w:after="120"/>
              <w:ind w:left="142"/>
              <w:jc w:val="left"/>
              <w:rPr>
                <w:rFonts w:ascii="Arial" w:eastAsia="Arial" w:hAnsi="Arial" w:cs="Arial"/>
                <w:color w:val="000000"/>
                <w:sz w:val="24"/>
                <w:szCs w:val="24"/>
                <w:highlight w:val="white"/>
              </w:rPr>
            </w:pPr>
            <w:r>
              <w:rPr>
                <w:rFonts w:ascii="Arial" w:eastAsia="Arial" w:hAnsi="Arial" w:cs="Arial"/>
                <w:sz w:val="24"/>
                <w:szCs w:val="24"/>
                <w:highlight w:val="white"/>
              </w:rPr>
              <w:t>40</w:t>
            </w:r>
          </w:p>
        </w:tc>
      </w:tr>
      <w:tr w:rsidR="0078379E">
        <w:tc>
          <w:tcPr>
            <w:tcW w:w="3080" w:type="dxa"/>
            <w:shd w:val="clear" w:color="auto" w:fill="FFFFFF"/>
          </w:tcPr>
          <w:p w:rsidR="0078379E" w:rsidRDefault="00577DEF">
            <w:pPr>
              <w:keepNext/>
              <w:pBdr>
                <w:top w:val="nil"/>
                <w:left w:val="nil"/>
                <w:bottom w:val="nil"/>
                <w:right w:val="nil"/>
                <w:between w:val="nil"/>
              </w:pBdr>
              <w:spacing w:before="240" w:after="120"/>
              <w:ind w:left="142"/>
              <w:jc w:val="left"/>
              <w:rPr>
                <w:rFonts w:ascii="Arial" w:eastAsia="Arial" w:hAnsi="Arial" w:cs="Arial"/>
                <w:color w:val="000000"/>
                <w:sz w:val="24"/>
                <w:szCs w:val="24"/>
              </w:rPr>
            </w:pPr>
            <w:r>
              <w:rPr>
                <w:rFonts w:ascii="Arial" w:eastAsia="Arial" w:hAnsi="Arial" w:cs="Arial"/>
                <w:color w:val="000000"/>
                <w:sz w:val="24"/>
                <w:szCs w:val="24"/>
                <w:highlight w:val="yellow"/>
              </w:rPr>
              <w:t>[Guarantor]</w:t>
            </w:r>
          </w:p>
        </w:tc>
        <w:tc>
          <w:tcPr>
            <w:tcW w:w="3081" w:type="dxa"/>
            <w:shd w:val="clear" w:color="auto" w:fill="FFFFFF"/>
          </w:tcPr>
          <w:p w:rsidR="0078379E" w:rsidRDefault="0078379E">
            <w:pPr>
              <w:keepNext/>
              <w:pBdr>
                <w:top w:val="nil"/>
                <w:left w:val="nil"/>
                <w:bottom w:val="nil"/>
                <w:right w:val="nil"/>
                <w:between w:val="nil"/>
              </w:pBdr>
              <w:spacing w:before="240" w:after="120"/>
              <w:ind w:left="142"/>
              <w:jc w:val="left"/>
              <w:rPr>
                <w:rFonts w:ascii="Arial" w:eastAsia="Arial" w:hAnsi="Arial" w:cs="Arial"/>
                <w:color w:val="000000"/>
                <w:sz w:val="24"/>
                <w:szCs w:val="24"/>
              </w:rPr>
            </w:pPr>
          </w:p>
        </w:tc>
      </w:tr>
      <w:tr w:rsidR="0078379E">
        <w:tc>
          <w:tcPr>
            <w:tcW w:w="3080" w:type="dxa"/>
            <w:tcBorders>
              <w:bottom w:val="single" w:sz="4" w:space="0" w:color="000000"/>
            </w:tcBorders>
            <w:shd w:val="clear" w:color="auto" w:fill="FFFFFF"/>
          </w:tcPr>
          <w:p w:rsidR="0078379E" w:rsidRDefault="00577DEF">
            <w:pPr>
              <w:keepNext/>
              <w:pBdr>
                <w:top w:val="nil"/>
                <w:left w:val="nil"/>
                <w:bottom w:val="nil"/>
                <w:right w:val="nil"/>
                <w:between w:val="nil"/>
              </w:pBdr>
              <w:spacing w:before="240" w:after="120"/>
              <w:ind w:left="142"/>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[Key Subcontractor]</w:t>
            </w:r>
          </w:p>
        </w:tc>
        <w:tc>
          <w:tcPr>
            <w:tcW w:w="3081" w:type="dxa"/>
            <w:tcBorders>
              <w:bottom w:val="single" w:sz="4" w:space="0" w:color="000000"/>
            </w:tcBorders>
            <w:shd w:val="clear" w:color="auto" w:fill="FFFFFF"/>
          </w:tcPr>
          <w:p w:rsidR="0078379E" w:rsidRDefault="0078379E">
            <w:pPr>
              <w:keepNext/>
              <w:pBdr>
                <w:top w:val="nil"/>
                <w:left w:val="nil"/>
                <w:bottom w:val="nil"/>
                <w:right w:val="nil"/>
                <w:between w:val="nil"/>
              </w:pBdr>
              <w:spacing w:before="240" w:after="120"/>
              <w:ind w:left="142"/>
              <w:jc w:val="left"/>
              <w:rPr>
                <w:rFonts w:ascii="Arial" w:eastAsia="Arial" w:hAnsi="Arial" w:cs="Arial"/>
                <w:color w:val="000000"/>
                <w:sz w:val="24"/>
                <w:szCs w:val="24"/>
              </w:rPr>
            </w:pPr>
          </w:p>
        </w:tc>
      </w:tr>
    </w:tbl>
    <w:p w:rsidR="0078379E" w:rsidRDefault="0078379E">
      <w:pPr>
        <w:pBdr>
          <w:top w:val="nil"/>
          <w:left w:val="nil"/>
          <w:bottom w:val="nil"/>
          <w:right w:val="nil"/>
          <w:between w:val="nil"/>
        </w:pBdr>
        <w:spacing w:before="100" w:after="200"/>
        <w:jc w:val="left"/>
        <w:rPr>
          <w:rFonts w:ascii="Arial" w:eastAsia="Arial" w:hAnsi="Arial" w:cs="Arial"/>
          <w:color w:val="000000"/>
          <w:sz w:val="24"/>
          <w:szCs w:val="24"/>
        </w:rPr>
      </w:pPr>
    </w:p>
    <w:p w:rsidR="0078379E" w:rsidRDefault="00577DEF">
      <w:pPr>
        <w:spacing w:after="200" w:line="276" w:lineRule="auto"/>
        <w:jc w:val="left"/>
        <w:rPr>
          <w:rFonts w:ascii="Arial" w:eastAsia="Arial" w:hAnsi="Arial" w:cs="Arial"/>
          <w:sz w:val="24"/>
          <w:szCs w:val="24"/>
        </w:rPr>
      </w:pPr>
      <w:r>
        <w:br w:type="page"/>
      </w:r>
    </w:p>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lastRenderedPageBreak/>
        <w:t>Annex 3: Calculation methodology for Financial Indicators</w:t>
      </w:r>
    </w:p>
    <w:p w:rsidR="0078379E" w:rsidRDefault="00577DEF" w:rsidP="005A0C6B">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The Supplier shall ensure that it uses the following general and specific methodologies for calculating the Financial Indicators against the Financial Target Thresholds:</w:t>
      </w:r>
    </w:p>
    <w:p w:rsidR="0078379E" w:rsidRDefault="00577DEF" w:rsidP="005A0C6B">
      <w:pPr>
        <w:pBdr>
          <w:top w:val="nil"/>
          <w:left w:val="nil"/>
          <w:bottom w:val="nil"/>
          <w:right w:val="nil"/>
          <w:between w:val="nil"/>
        </w:pBdr>
        <w:spacing w:before="120"/>
        <w:jc w:val="left"/>
        <w:rPr>
          <w:rFonts w:ascii="Arial" w:eastAsia="Arial" w:hAnsi="Arial" w:cs="Arial"/>
          <w:b/>
          <w:color w:val="000000"/>
          <w:sz w:val="24"/>
          <w:szCs w:val="24"/>
          <w:u w:val="single"/>
        </w:rPr>
      </w:pPr>
      <w:r>
        <w:rPr>
          <w:rFonts w:ascii="Arial" w:eastAsia="Arial" w:hAnsi="Arial" w:cs="Arial"/>
          <w:b/>
          <w:color w:val="000000"/>
          <w:sz w:val="24"/>
          <w:szCs w:val="24"/>
          <w:u w:val="single"/>
        </w:rPr>
        <w:t>General methodology</w:t>
      </w:r>
    </w:p>
    <w:p w:rsidR="0078379E" w:rsidRDefault="00577DEF" w:rsidP="005A0C6B">
      <w:pPr>
        <w:numPr>
          <w:ilvl w:val="0"/>
          <w:numId w:val="1"/>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b/>
          <w:i/>
          <w:color w:val="000000"/>
          <w:sz w:val="24"/>
          <w:szCs w:val="24"/>
        </w:rPr>
        <w:t>Terminol</w:t>
      </w:r>
      <w:r>
        <w:rPr>
          <w:rFonts w:ascii="Arial" w:eastAsia="Arial" w:hAnsi="Arial" w:cs="Arial"/>
          <w:b/>
          <w:i/>
          <w:color w:val="000000"/>
          <w:sz w:val="24"/>
          <w:szCs w:val="24"/>
        </w:rPr>
        <w:t>ogy</w:t>
      </w:r>
      <w:r>
        <w:rPr>
          <w:rFonts w:ascii="Arial" w:eastAsia="Arial" w:hAnsi="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w:t>
      </w:r>
      <w:r>
        <w:rPr>
          <w:rFonts w:ascii="Arial" w:eastAsia="Arial" w:hAnsi="Arial" w:cs="Arial"/>
          <w:color w:val="000000"/>
          <w:sz w:val="24"/>
          <w:szCs w:val="24"/>
        </w:rPr>
        <w:t>efer to a surplus or deficit rather than a profit or loss).</w:t>
      </w:r>
    </w:p>
    <w:p w:rsidR="0078379E" w:rsidRDefault="00577DEF" w:rsidP="005A0C6B">
      <w:pPr>
        <w:numPr>
          <w:ilvl w:val="0"/>
          <w:numId w:val="1"/>
        </w:numPr>
        <w:pBdr>
          <w:top w:val="nil"/>
          <w:left w:val="nil"/>
          <w:bottom w:val="nil"/>
          <w:right w:val="nil"/>
          <w:between w:val="nil"/>
        </w:pBdr>
        <w:spacing w:before="120"/>
        <w:jc w:val="left"/>
        <w:rPr>
          <w:rFonts w:ascii="Arial" w:eastAsia="Arial" w:hAnsi="Arial" w:cs="Arial"/>
          <w:color w:val="000000"/>
          <w:sz w:val="24"/>
          <w:szCs w:val="24"/>
        </w:rPr>
      </w:pPr>
      <w:bookmarkStart w:id="5" w:name="_tyjcwt" w:colFirst="0" w:colLast="0"/>
      <w:bookmarkEnd w:id="5"/>
      <w:r>
        <w:rPr>
          <w:rFonts w:ascii="Arial" w:eastAsia="Arial" w:hAnsi="Arial" w:cs="Arial"/>
          <w:b/>
          <w:i/>
          <w:color w:val="000000"/>
          <w:sz w:val="24"/>
          <w:szCs w:val="24"/>
        </w:rPr>
        <w:t>Groups</w:t>
      </w:r>
      <w:r>
        <w:rPr>
          <w:rFonts w:ascii="Arial" w:eastAsia="Arial" w:hAnsi="Arial" w:cs="Arial"/>
          <w:color w:val="000000"/>
          <w:sz w:val="24"/>
          <w:szCs w:val="24"/>
        </w:rPr>
        <w:t>: Where the entity is the holding company of a group and prepares consolidated financial statements, the consolidated figures should be used.</w:t>
      </w:r>
    </w:p>
    <w:p w:rsidR="0078379E" w:rsidRDefault="00577DEF" w:rsidP="005A0C6B">
      <w:pPr>
        <w:numPr>
          <w:ilvl w:val="0"/>
          <w:numId w:val="1"/>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b/>
          <w:i/>
          <w:color w:val="000000"/>
          <w:sz w:val="24"/>
          <w:szCs w:val="24"/>
        </w:rPr>
        <w:t>Foreign currency conversion</w:t>
      </w:r>
      <w:r>
        <w:rPr>
          <w:rFonts w:ascii="Arial" w:eastAsia="Arial" w:hAnsi="Arial" w:cs="Arial"/>
          <w:color w:val="000000"/>
          <w:sz w:val="24"/>
          <w:szCs w:val="24"/>
        </w:rPr>
        <w:t>: Figures denominated in foreign currencies should be converted at the exchange rate in force at the relevant date for which the Financial Indicator is being calculated.</w:t>
      </w:r>
    </w:p>
    <w:p w:rsidR="0078379E" w:rsidRDefault="00577DEF" w:rsidP="005A0C6B">
      <w:pPr>
        <w:numPr>
          <w:ilvl w:val="0"/>
          <w:numId w:val="1"/>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b/>
          <w:i/>
          <w:color w:val="000000"/>
          <w:sz w:val="24"/>
          <w:szCs w:val="24"/>
        </w:rPr>
        <w:t>Treatment of non-underlying items</w:t>
      </w:r>
      <w:r>
        <w:rPr>
          <w:rFonts w:ascii="Arial" w:eastAsia="Arial" w:hAnsi="Arial" w:cs="Arial"/>
          <w:color w:val="000000"/>
          <w:sz w:val="24"/>
          <w:szCs w:val="24"/>
        </w:rPr>
        <w:t>: Financial Indicators should be based on the figures</w:t>
      </w:r>
      <w:r>
        <w:rPr>
          <w:rFonts w:ascii="Arial" w:eastAsia="Arial" w:hAnsi="Arial" w:cs="Arial"/>
          <w:color w:val="000000"/>
          <w:sz w:val="24"/>
          <w:szCs w:val="24"/>
        </w:rPr>
        <w:t xml:space="preserve"> in the financial statements before adjusting for non-underlying items.</w:t>
      </w:r>
    </w:p>
    <w:p w:rsidR="0078379E" w:rsidRDefault="00577DEF" w:rsidP="005A0C6B">
      <w:pPr>
        <w:pBdr>
          <w:top w:val="nil"/>
          <w:left w:val="nil"/>
          <w:bottom w:val="nil"/>
          <w:right w:val="nil"/>
          <w:between w:val="nil"/>
        </w:pBdr>
        <w:spacing w:before="120"/>
        <w:ind w:left="720" w:hanging="720"/>
        <w:jc w:val="left"/>
        <w:rPr>
          <w:rFonts w:ascii="Arial" w:eastAsia="Arial" w:hAnsi="Arial" w:cs="Arial"/>
          <w:b/>
          <w:color w:val="000000"/>
          <w:sz w:val="24"/>
          <w:szCs w:val="24"/>
          <w:u w:val="single"/>
        </w:rPr>
      </w:pPr>
      <w:r>
        <w:rPr>
          <w:rFonts w:ascii="Arial" w:eastAsia="Arial" w:hAnsi="Arial" w:cs="Arial"/>
          <w:b/>
          <w:color w:val="000000"/>
          <w:sz w:val="24"/>
          <w:szCs w:val="24"/>
          <w:u w:val="single"/>
        </w:rPr>
        <w:t>Specific Methodology</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78379E">
        <w:tc>
          <w:tcPr>
            <w:tcW w:w="2538" w:type="dxa"/>
            <w:shd w:val="clear" w:color="auto" w:fill="D9D9D9"/>
          </w:tcPr>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Financial Indicator</w:t>
            </w:r>
          </w:p>
        </w:tc>
        <w:tc>
          <w:tcPr>
            <w:tcW w:w="6478" w:type="dxa"/>
            <w:shd w:val="clear" w:color="auto" w:fill="D9D9D9"/>
          </w:tcPr>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Specific Methodology</w:t>
            </w:r>
          </w:p>
        </w:tc>
      </w:tr>
      <w:tr w:rsidR="0078379E">
        <w:tc>
          <w:tcPr>
            <w:tcW w:w="2538" w:type="dxa"/>
            <w:vAlign w:val="center"/>
          </w:tcPr>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1</w:t>
            </w:r>
          </w:p>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Operating Margin</w:t>
            </w:r>
          </w:p>
        </w:tc>
        <w:tc>
          <w:tcPr>
            <w:tcW w:w="6478" w:type="dxa"/>
          </w:tcPr>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The elements used to calculate the Operating Margin should be shown on the face of the Income Statement in a standard set of financial statements.</w:t>
            </w:r>
          </w:p>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Figures for Operating Profit and Revenue should exclude the entity’s share of the results of any joint ventures or Associates.</w:t>
            </w:r>
          </w:p>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Where an entity has an operating loss (i.e. where the operating profit is negative), Operating Profit should be taken to be zero.</w:t>
            </w:r>
          </w:p>
        </w:tc>
      </w:tr>
      <w:tr w:rsidR="0078379E">
        <w:tc>
          <w:tcPr>
            <w:tcW w:w="2538" w:type="dxa"/>
          </w:tcPr>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sz w:val="24"/>
                <w:szCs w:val="24"/>
              </w:rPr>
              <w:t>2</w:t>
            </w:r>
          </w:p>
          <w:p w:rsidR="0078379E" w:rsidRDefault="00577DEF">
            <w:pPr>
              <w:spacing w:before="100" w:after="200"/>
              <w:jc w:val="left"/>
              <w:rPr>
                <w:rFonts w:ascii="Arial" w:eastAsia="Arial" w:hAnsi="Arial" w:cs="Arial"/>
                <w:b/>
                <w:color w:val="000000"/>
                <w:sz w:val="24"/>
                <w:szCs w:val="24"/>
              </w:rPr>
            </w:pPr>
            <w:r>
              <w:rPr>
                <w:rFonts w:ascii="Arial" w:eastAsia="Arial" w:hAnsi="Arial" w:cs="Arial"/>
                <w:b/>
                <w:sz w:val="24"/>
                <w:szCs w:val="24"/>
              </w:rPr>
              <w:t>Net Debt to EBITDA Ratio</w:t>
            </w:r>
          </w:p>
        </w:tc>
        <w:tc>
          <w:tcPr>
            <w:tcW w:w="6478" w:type="dxa"/>
          </w:tcPr>
          <w:p w:rsidR="0078379E" w:rsidRDefault="00577DEF">
            <w:pPr>
              <w:pBdr>
                <w:top w:val="nil"/>
                <w:left w:val="nil"/>
                <w:bottom w:val="nil"/>
                <w:right w:val="nil"/>
                <w:between w:val="nil"/>
              </w:pBdr>
              <w:spacing w:before="100" w:after="200"/>
              <w:jc w:val="left"/>
              <w:rPr>
                <w:rFonts w:ascii="Arial" w:eastAsia="Arial" w:hAnsi="Arial" w:cs="Arial"/>
                <w:sz w:val="24"/>
                <w:szCs w:val="24"/>
              </w:rPr>
            </w:pPr>
            <w:r>
              <w:rPr>
                <w:rFonts w:ascii="Arial" w:eastAsia="Arial" w:hAnsi="Arial" w:cs="Arial"/>
                <w:sz w:val="24"/>
                <w:szCs w:val="24"/>
              </w:rPr>
              <w:t>“Net Debt” = Bank overdrafts + Loans and borrowings + Finance leases + Deferred consideration payable – Cash and cash equivalents</w:t>
            </w:r>
          </w:p>
          <w:p w:rsidR="0078379E" w:rsidRDefault="00577DEF">
            <w:pPr>
              <w:pBdr>
                <w:top w:val="nil"/>
                <w:left w:val="nil"/>
                <w:bottom w:val="nil"/>
                <w:right w:val="nil"/>
                <w:between w:val="nil"/>
              </w:pBdr>
              <w:spacing w:before="100" w:after="200"/>
              <w:jc w:val="left"/>
              <w:rPr>
                <w:rFonts w:ascii="Arial" w:eastAsia="Arial" w:hAnsi="Arial" w:cs="Arial"/>
                <w:sz w:val="24"/>
                <w:szCs w:val="24"/>
              </w:rPr>
            </w:pPr>
            <w:r>
              <w:rPr>
                <w:rFonts w:ascii="Arial" w:eastAsia="Arial" w:hAnsi="Arial" w:cs="Arial"/>
                <w:sz w:val="24"/>
                <w:szCs w:val="24"/>
              </w:rPr>
              <w:t>“EBITDA” = Operating profit + Depreciation charge + Amortisation charge</w:t>
            </w:r>
          </w:p>
          <w:p w:rsidR="0078379E" w:rsidRDefault="00577DEF">
            <w:pPr>
              <w:pBdr>
                <w:top w:val="nil"/>
                <w:left w:val="nil"/>
                <w:bottom w:val="nil"/>
                <w:right w:val="nil"/>
                <w:between w:val="nil"/>
              </w:pBdr>
              <w:spacing w:before="100" w:after="200"/>
              <w:jc w:val="left"/>
              <w:rPr>
                <w:rFonts w:ascii="Arial" w:eastAsia="Arial" w:hAnsi="Arial" w:cs="Arial"/>
                <w:sz w:val="24"/>
                <w:szCs w:val="24"/>
              </w:rPr>
            </w:pPr>
            <w:r>
              <w:rPr>
                <w:rFonts w:ascii="Arial" w:eastAsia="Arial" w:hAnsi="Arial" w:cs="Arial"/>
                <w:sz w:val="24"/>
                <w:szCs w:val="24"/>
              </w:rPr>
              <w:t xml:space="preserve">The majority of the elements used to calculate the Net Debt to EBITDA Ratio should be shown on the face of the Balance sheet, Income statement and Statement of Cash </w:t>
            </w:r>
            <w:r>
              <w:rPr>
                <w:rFonts w:ascii="Arial" w:eastAsia="Arial" w:hAnsi="Arial" w:cs="Arial"/>
                <w:sz w:val="24"/>
                <w:szCs w:val="24"/>
              </w:rPr>
              <w:lastRenderedPageBreak/>
              <w:t>Flows in a standard set of financial statements but will otherwise be found in the notes to</w:t>
            </w:r>
            <w:r>
              <w:rPr>
                <w:rFonts w:ascii="Arial" w:eastAsia="Arial" w:hAnsi="Arial" w:cs="Arial"/>
                <w:sz w:val="24"/>
                <w:szCs w:val="24"/>
              </w:rPr>
              <w:t xml:space="preserve"> the financial statements.</w:t>
            </w:r>
          </w:p>
          <w:p w:rsidR="0078379E" w:rsidRDefault="00577DEF">
            <w:pPr>
              <w:pBdr>
                <w:top w:val="nil"/>
                <w:left w:val="nil"/>
                <w:bottom w:val="nil"/>
                <w:right w:val="nil"/>
                <w:between w:val="nil"/>
              </w:pBdr>
              <w:spacing w:before="100" w:after="200"/>
              <w:jc w:val="left"/>
              <w:rPr>
                <w:rFonts w:ascii="Arial" w:eastAsia="Arial" w:hAnsi="Arial" w:cs="Arial"/>
                <w:sz w:val="24"/>
                <w:szCs w:val="24"/>
              </w:rPr>
            </w:pPr>
            <w:r>
              <w:rPr>
                <w:rFonts w:ascii="Arial" w:eastAsia="Arial" w:hAnsi="Arial" w:cs="Arial"/>
                <w:sz w:val="24"/>
                <w:szCs w:val="24"/>
              </w:rPr>
              <w:t>Net Debt: The elements of Net Debt may be described slightly differently and should be found either on the face of the Balance Sheet or in the relevant note to the financial statements. All interest bearing liabilities (other tha</w:t>
            </w:r>
            <w:r>
              <w:rPr>
                <w:rFonts w:ascii="Arial" w:eastAsia="Arial" w:hAnsi="Arial" w:cs="Arial"/>
                <w:sz w:val="24"/>
                <w:szCs w:val="24"/>
              </w:rPr>
              <w:t>n retirement benefit obligations) should be included as borrowings as should, where disclosed, any liabilities (less any assets) in respect of any hedges designated as linked to borrowings (but not non-designated hedges). Borrowings should also include bal</w:t>
            </w:r>
            <w:r>
              <w:rPr>
                <w:rFonts w:ascii="Arial" w:eastAsia="Arial" w:hAnsi="Arial" w:cs="Arial"/>
                <w:sz w:val="24"/>
                <w:szCs w:val="24"/>
              </w:rPr>
              <w:t>ances owed to other group members.</w:t>
            </w:r>
          </w:p>
          <w:p w:rsidR="0078379E" w:rsidRDefault="00577DEF">
            <w:pPr>
              <w:pBdr>
                <w:top w:val="nil"/>
                <w:left w:val="nil"/>
                <w:bottom w:val="nil"/>
                <w:right w:val="nil"/>
                <w:between w:val="nil"/>
              </w:pBdr>
              <w:spacing w:before="100" w:after="200"/>
              <w:jc w:val="left"/>
              <w:rPr>
                <w:rFonts w:ascii="Arial" w:eastAsia="Arial" w:hAnsi="Arial" w:cs="Arial"/>
                <w:sz w:val="24"/>
                <w:szCs w:val="24"/>
              </w:rPr>
            </w:pPr>
            <w:r>
              <w:rPr>
                <w:rFonts w:ascii="Arial" w:eastAsia="Arial" w:hAnsi="Arial" w:cs="Arial"/>
                <w:sz w:val="24"/>
                <w:szCs w:val="24"/>
              </w:rPr>
              <w:t>Deferred consideration payable should be included in Net Debt despite typically being non-interest bearing.</w:t>
            </w:r>
          </w:p>
          <w:p w:rsidR="0078379E" w:rsidRDefault="00577DEF">
            <w:pPr>
              <w:pBdr>
                <w:top w:val="nil"/>
                <w:left w:val="nil"/>
                <w:bottom w:val="nil"/>
                <w:right w:val="nil"/>
                <w:between w:val="nil"/>
              </w:pBdr>
              <w:spacing w:before="100" w:after="200"/>
              <w:jc w:val="left"/>
              <w:rPr>
                <w:rFonts w:ascii="Arial" w:eastAsia="Arial" w:hAnsi="Arial" w:cs="Arial"/>
                <w:sz w:val="24"/>
                <w:szCs w:val="24"/>
              </w:rPr>
            </w:pPr>
            <w:r>
              <w:rPr>
                <w:rFonts w:ascii="Arial" w:eastAsia="Arial" w:hAnsi="Arial" w:cs="Arial"/>
                <w:sz w:val="24"/>
                <w:szCs w:val="24"/>
              </w:rPr>
              <w:t>Cash and cash equivalents should include short-term financial investments shown in current assets.</w:t>
            </w:r>
          </w:p>
          <w:p w:rsidR="0078379E" w:rsidRDefault="00577DEF">
            <w:pPr>
              <w:pBdr>
                <w:top w:val="nil"/>
                <w:left w:val="nil"/>
                <w:bottom w:val="nil"/>
                <w:right w:val="nil"/>
                <w:between w:val="nil"/>
              </w:pBdr>
              <w:spacing w:before="100" w:after="200"/>
              <w:jc w:val="left"/>
              <w:rPr>
                <w:rFonts w:ascii="Arial" w:eastAsia="Arial" w:hAnsi="Arial" w:cs="Arial"/>
                <w:sz w:val="24"/>
                <w:szCs w:val="24"/>
              </w:rPr>
            </w:pPr>
            <w:r>
              <w:rPr>
                <w:rFonts w:ascii="Arial" w:eastAsia="Arial" w:hAnsi="Arial" w:cs="Arial"/>
                <w:sz w:val="24"/>
                <w:szCs w:val="24"/>
              </w:rPr>
              <w:t>Where Net debt</w:t>
            </w:r>
            <w:r>
              <w:rPr>
                <w:rFonts w:ascii="Arial" w:eastAsia="Arial" w:hAnsi="Arial" w:cs="Arial"/>
                <w:sz w:val="24"/>
                <w:szCs w:val="24"/>
              </w:rPr>
              <w:t xml:space="preserve"> is negative (i.e. an entity has net cash), the relevant Financial Target Threshold should be treated as having been met. </w:t>
            </w:r>
          </w:p>
          <w:p w:rsidR="0078379E" w:rsidRDefault="00577DEF">
            <w:pPr>
              <w:pBdr>
                <w:top w:val="nil"/>
                <w:left w:val="nil"/>
                <w:bottom w:val="nil"/>
                <w:right w:val="nil"/>
                <w:between w:val="nil"/>
              </w:pBdr>
              <w:spacing w:before="100" w:after="200"/>
              <w:jc w:val="left"/>
              <w:rPr>
                <w:rFonts w:ascii="Arial" w:eastAsia="Arial" w:hAnsi="Arial" w:cs="Arial"/>
                <w:sz w:val="24"/>
                <w:szCs w:val="24"/>
              </w:rPr>
            </w:pPr>
            <w:r>
              <w:rPr>
                <w:rFonts w:ascii="Arial" w:eastAsia="Arial" w:hAnsi="Arial" w:cs="Arial"/>
                <w:sz w:val="24"/>
                <w:szCs w:val="24"/>
              </w:rPr>
              <w:t>EBITDA: Operating profit should be shown on the face of the Income Statement and, for the purposes of calculating this Financial Indi</w:t>
            </w:r>
            <w:r>
              <w:rPr>
                <w:rFonts w:ascii="Arial" w:eastAsia="Arial" w:hAnsi="Arial" w:cs="Arial"/>
                <w:sz w:val="24"/>
                <w:szCs w:val="24"/>
              </w:rPr>
              <w:t>cator, should include the entity’s share of the results of any joint ventures or Associates. The depreciation and amortisation charges for the period may be found on the face of the Statement of Cash Flows or in a Note to the Accounts. Where EBITDA is nega</w:t>
            </w:r>
            <w:r>
              <w:rPr>
                <w:rFonts w:ascii="Arial" w:eastAsia="Arial" w:hAnsi="Arial" w:cs="Arial"/>
                <w:sz w:val="24"/>
                <w:szCs w:val="24"/>
              </w:rPr>
              <w:t>tive, the relevant Financial Target Threshold should be treated as not having been met (unless Net Debt is also negative, in which case the relevant Financial Target Threshold should be treated as having been met).</w:t>
            </w:r>
          </w:p>
          <w:p w:rsidR="0078379E" w:rsidRDefault="0078379E">
            <w:pPr>
              <w:pBdr>
                <w:top w:val="nil"/>
                <w:left w:val="nil"/>
                <w:bottom w:val="nil"/>
                <w:right w:val="nil"/>
                <w:between w:val="nil"/>
              </w:pBdr>
              <w:spacing w:before="100" w:after="200"/>
              <w:jc w:val="left"/>
              <w:rPr>
                <w:rFonts w:ascii="Arial" w:eastAsia="Arial" w:hAnsi="Arial" w:cs="Arial"/>
                <w:sz w:val="24"/>
                <w:szCs w:val="24"/>
              </w:rPr>
            </w:pPr>
          </w:p>
        </w:tc>
      </w:tr>
      <w:tr w:rsidR="0078379E">
        <w:tc>
          <w:tcPr>
            <w:tcW w:w="2538" w:type="dxa"/>
            <w:vAlign w:val="center"/>
          </w:tcPr>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lastRenderedPageBreak/>
              <w:t>4</w:t>
            </w:r>
          </w:p>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Net Interest Paid Cover</w:t>
            </w:r>
          </w:p>
        </w:tc>
        <w:tc>
          <w:tcPr>
            <w:tcW w:w="6478" w:type="dxa"/>
          </w:tcPr>
          <w:p w:rsidR="0078379E" w:rsidRDefault="00577DEF">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Earnings Before Interest and Tax</w:t>
            </w:r>
            <w:r>
              <w:rPr>
                <w:rFonts w:ascii="Arial" w:eastAsia="Arial" w:hAnsi="Arial" w:cs="Arial"/>
                <w:i/>
                <w:color w:val="000000"/>
                <w:sz w:val="24"/>
                <w:szCs w:val="24"/>
              </w:rPr>
              <w:t>” = Operating profit</w:t>
            </w:r>
          </w:p>
          <w:p w:rsidR="0078379E" w:rsidRDefault="00577DEF">
            <w:pPr>
              <w:pBdr>
                <w:top w:val="nil"/>
                <w:left w:val="nil"/>
                <w:bottom w:val="nil"/>
                <w:right w:val="nil"/>
                <w:between w:val="nil"/>
              </w:pBdr>
              <w:spacing w:before="100" w:after="200"/>
              <w:jc w:val="left"/>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Interest Paid</w:t>
            </w:r>
            <w:r>
              <w:rPr>
                <w:rFonts w:ascii="Arial" w:eastAsia="Arial" w:hAnsi="Arial" w:cs="Arial"/>
                <w:i/>
                <w:color w:val="000000"/>
                <w:sz w:val="24"/>
                <w:szCs w:val="24"/>
              </w:rPr>
              <w:t>” = Interest paid – Interest received</w:t>
            </w:r>
          </w:p>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Operating profit should be shown on the face of the Income Statement in a standard set of financial statements and, for the purposes of calculating</w:t>
            </w:r>
            <w:r>
              <w:rPr>
                <w:rFonts w:ascii="Arial" w:eastAsia="Arial" w:hAnsi="Arial" w:cs="Arial"/>
                <w:color w:val="000000"/>
                <w:sz w:val="24"/>
                <w:szCs w:val="24"/>
              </w:rPr>
              <w:t xml:space="preserve"> this Financial Indicator, should include the entity’s share of the results of any joint ventures or Associates.</w:t>
            </w:r>
          </w:p>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Interest received and interest paid should be shown on the face of the Cash Flow statement.</w:t>
            </w:r>
          </w:p>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lastRenderedPageBreak/>
              <w:t>Where Net interest paid is negative (i.e. the entit</w:t>
            </w:r>
            <w:r>
              <w:rPr>
                <w:rFonts w:ascii="Arial" w:eastAsia="Arial" w:hAnsi="Arial" w:cs="Arial"/>
                <w:color w:val="000000"/>
                <w:sz w:val="24"/>
                <w:szCs w:val="24"/>
              </w:rPr>
              <w:t>y has net interest received), the relevant Financial Target Threshold should be treated as having been met.</w:t>
            </w:r>
          </w:p>
        </w:tc>
      </w:tr>
      <w:tr w:rsidR="0078379E">
        <w:tc>
          <w:tcPr>
            <w:tcW w:w="2538" w:type="dxa"/>
            <w:vAlign w:val="center"/>
          </w:tcPr>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lastRenderedPageBreak/>
              <w:t>5</w:t>
            </w:r>
          </w:p>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Acid Ratio</w:t>
            </w:r>
          </w:p>
        </w:tc>
        <w:tc>
          <w:tcPr>
            <w:tcW w:w="6478" w:type="dxa"/>
          </w:tcPr>
          <w:p w:rsidR="0078379E" w:rsidRDefault="00577DEF">
            <w:pPr>
              <w:pBdr>
                <w:top w:val="nil"/>
                <w:left w:val="nil"/>
                <w:bottom w:val="nil"/>
                <w:right w:val="nil"/>
                <w:between w:val="nil"/>
              </w:pBdr>
              <w:spacing w:before="100" w:after="200"/>
              <w:jc w:val="left"/>
              <w:rPr>
                <w:rFonts w:ascii="Arial" w:eastAsia="Arial" w:hAnsi="Arial" w:cs="Arial"/>
                <w:color w:val="000000"/>
                <w:sz w:val="24"/>
                <w:szCs w:val="24"/>
              </w:rPr>
            </w:pPr>
            <w:r>
              <w:rPr>
                <w:rFonts w:ascii="Arial" w:eastAsia="Arial" w:hAnsi="Arial" w:cs="Arial"/>
                <w:color w:val="000000"/>
                <w:sz w:val="24"/>
                <w:szCs w:val="24"/>
              </w:rPr>
              <w:t>All elements that are used to calculate the Acid Ratio are available on the face of the Balance Sheet in a standard set of financial s</w:t>
            </w:r>
            <w:r>
              <w:rPr>
                <w:rFonts w:ascii="Arial" w:eastAsia="Arial" w:hAnsi="Arial" w:cs="Arial"/>
                <w:color w:val="000000"/>
                <w:sz w:val="24"/>
                <w:szCs w:val="24"/>
              </w:rPr>
              <w:t>tatements.</w:t>
            </w:r>
          </w:p>
        </w:tc>
      </w:tr>
    </w:tbl>
    <w:p w:rsidR="0078379E" w:rsidRDefault="0078379E">
      <w:pPr>
        <w:pBdr>
          <w:top w:val="nil"/>
          <w:left w:val="nil"/>
          <w:bottom w:val="nil"/>
          <w:right w:val="nil"/>
          <w:between w:val="nil"/>
        </w:pBdr>
        <w:spacing w:before="100" w:after="200"/>
        <w:jc w:val="left"/>
        <w:rPr>
          <w:rFonts w:ascii="Arial" w:eastAsia="Arial" w:hAnsi="Arial" w:cs="Arial"/>
          <w:color w:val="000000"/>
          <w:sz w:val="24"/>
          <w:szCs w:val="24"/>
        </w:rPr>
      </w:pPr>
    </w:p>
    <w:p w:rsidR="0078379E" w:rsidRDefault="00577DEF">
      <w:pPr>
        <w:spacing w:after="200" w:line="276" w:lineRule="auto"/>
        <w:jc w:val="left"/>
        <w:rPr>
          <w:rFonts w:ascii="Arial" w:eastAsia="Arial" w:hAnsi="Arial" w:cs="Arial"/>
          <w:sz w:val="24"/>
          <w:szCs w:val="24"/>
        </w:rPr>
      </w:pPr>
      <w:r>
        <w:br w:type="page"/>
      </w:r>
    </w:p>
    <w:p w:rsidR="0078379E" w:rsidRDefault="00577DEF">
      <w:pPr>
        <w:pBdr>
          <w:top w:val="nil"/>
          <w:left w:val="nil"/>
          <w:bottom w:val="nil"/>
          <w:right w:val="nil"/>
          <w:between w:val="nil"/>
        </w:pBdr>
        <w:spacing w:before="100" w:after="300"/>
        <w:jc w:val="left"/>
        <w:rPr>
          <w:rFonts w:ascii="Arial Bold" w:eastAsia="Arial Bold" w:hAnsi="Arial Bold" w:cs="Arial Bold"/>
          <w:b/>
          <w:smallCaps/>
          <w:color w:val="000000"/>
          <w:sz w:val="24"/>
          <w:szCs w:val="24"/>
        </w:rPr>
      </w:pPr>
      <w:bookmarkStart w:id="6" w:name="_4d34og8" w:colFirst="0" w:colLast="0"/>
      <w:bookmarkEnd w:id="6"/>
      <w:r>
        <w:rPr>
          <w:rFonts w:ascii="Arial Bold" w:eastAsia="Arial Bold" w:hAnsi="Arial Bold" w:cs="Arial Bold"/>
          <w:b/>
          <w:smallCaps/>
          <w:color w:val="000000"/>
          <w:sz w:val="24"/>
          <w:szCs w:val="24"/>
        </w:rPr>
        <w:lastRenderedPageBreak/>
        <w:t>Annex 4: Board Confirmation</w:t>
      </w:r>
    </w:p>
    <w:p w:rsidR="0078379E" w:rsidRDefault="0078379E">
      <w:pPr>
        <w:pBdr>
          <w:top w:val="nil"/>
          <w:left w:val="nil"/>
          <w:bottom w:val="nil"/>
          <w:right w:val="nil"/>
          <w:between w:val="nil"/>
        </w:pBdr>
        <w:spacing w:before="100" w:after="200"/>
        <w:jc w:val="left"/>
        <w:rPr>
          <w:rFonts w:ascii="Arial" w:eastAsia="Arial" w:hAnsi="Arial" w:cs="Arial"/>
          <w:color w:val="000000"/>
          <w:sz w:val="24"/>
          <w:szCs w:val="24"/>
        </w:rPr>
      </w:pPr>
    </w:p>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Supplier Name:</w:t>
      </w:r>
    </w:p>
    <w:p w:rsidR="0078379E" w:rsidRDefault="00577DEF">
      <w:pPr>
        <w:pBdr>
          <w:top w:val="nil"/>
          <w:left w:val="nil"/>
          <w:bottom w:val="nil"/>
          <w:right w:val="nil"/>
          <w:between w:val="nil"/>
        </w:pBdr>
        <w:spacing w:before="100" w:after="200"/>
        <w:jc w:val="left"/>
        <w:rPr>
          <w:rFonts w:ascii="Arial" w:eastAsia="Arial" w:hAnsi="Arial" w:cs="Arial"/>
          <w:b/>
          <w:color w:val="000000"/>
          <w:sz w:val="24"/>
          <w:szCs w:val="24"/>
        </w:rPr>
      </w:pPr>
      <w:r>
        <w:rPr>
          <w:rFonts w:ascii="Arial" w:eastAsia="Arial" w:hAnsi="Arial" w:cs="Arial"/>
          <w:b/>
          <w:color w:val="000000"/>
          <w:sz w:val="24"/>
          <w:szCs w:val="24"/>
        </w:rPr>
        <w:t>Contract Reference Number:</w:t>
      </w:r>
    </w:p>
    <w:p w:rsidR="0078379E" w:rsidRDefault="0078379E">
      <w:pPr>
        <w:pBdr>
          <w:top w:val="nil"/>
          <w:left w:val="nil"/>
          <w:bottom w:val="nil"/>
          <w:right w:val="nil"/>
          <w:between w:val="nil"/>
        </w:pBdr>
        <w:spacing w:before="100" w:after="200"/>
        <w:jc w:val="left"/>
        <w:rPr>
          <w:rFonts w:ascii="Arial" w:eastAsia="Arial" w:hAnsi="Arial" w:cs="Arial"/>
          <w:color w:val="000000"/>
          <w:sz w:val="24"/>
          <w:szCs w:val="24"/>
        </w:rPr>
      </w:pPr>
    </w:p>
    <w:p w:rsidR="0078379E" w:rsidRDefault="00577DEF">
      <w:pPr>
        <w:pBdr>
          <w:top w:val="nil"/>
          <w:left w:val="nil"/>
          <w:bottom w:val="nil"/>
          <w:right w:val="nil"/>
          <w:between w:val="nil"/>
        </w:pBdr>
        <w:spacing w:before="100" w:after="200"/>
        <w:ind w:left="720"/>
        <w:jc w:val="left"/>
        <w:rPr>
          <w:rFonts w:ascii="Arial" w:eastAsia="Arial" w:hAnsi="Arial" w:cs="Arial"/>
          <w:color w:val="000000"/>
          <w:sz w:val="24"/>
          <w:szCs w:val="24"/>
        </w:rPr>
      </w:pPr>
      <w:bookmarkStart w:id="7" w:name="_2s8eyo1" w:colFirst="0" w:colLast="0"/>
      <w:bookmarkEnd w:id="7"/>
      <w:r>
        <w:rPr>
          <w:rFonts w:ascii="Arial" w:eastAsia="Arial" w:hAnsi="Arial" w:cs="Arial"/>
          <w:color w:val="000000"/>
          <w:sz w:val="24"/>
          <w:szCs w:val="24"/>
        </w:rPr>
        <w:t>The Board of Directors acknowledge the requirements set out at paragraph 8 of Joint Schedule 7 (</w:t>
      </w:r>
      <w:r>
        <w:rPr>
          <w:rFonts w:ascii="Arial" w:eastAsia="Arial" w:hAnsi="Arial" w:cs="Arial"/>
          <w:i/>
          <w:color w:val="000000"/>
          <w:sz w:val="24"/>
          <w:szCs w:val="24"/>
        </w:rPr>
        <w:t>Financial Distress</w:t>
      </w:r>
      <w:r>
        <w:rPr>
          <w:rFonts w:ascii="Arial" w:eastAsia="Arial" w:hAnsi="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rsidR="0078379E" w:rsidRDefault="00577DEF">
      <w:pPr>
        <w:pBdr>
          <w:top w:val="nil"/>
          <w:left w:val="nil"/>
          <w:bottom w:val="nil"/>
          <w:right w:val="nil"/>
          <w:between w:val="nil"/>
        </w:pBdr>
        <w:spacing w:before="100" w:after="200"/>
        <w:ind w:left="720"/>
        <w:jc w:val="left"/>
        <w:rPr>
          <w:rFonts w:ascii="Arial" w:eastAsia="Arial" w:hAnsi="Arial" w:cs="Arial"/>
          <w:color w:val="000000"/>
          <w:sz w:val="24"/>
          <w:szCs w:val="24"/>
        </w:rPr>
      </w:pPr>
      <w:r>
        <w:rPr>
          <w:rFonts w:ascii="Arial" w:eastAsia="Arial" w:hAnsi="Arial" w:cs="Arial"/>
          <w:color w:val="000000"/>
          <w:sz w:val="24"/>
          <w:szCs w:val="24"/>
        </w:rPr>
        <w:t xml:space="preserve">The Board of Directors confirms, to </w:t>
      </w:r>
      <w:r>
        <w:rPr>
          <w:rFonts w:ascii="Arial" w:eastAsia="Arial" w:hAnsi="Arial" w:cs="Arial"/>
          <w:color w:val="000000"/>
          <w:sz w:val="24"/>
          <w:szCs w:val="24"/>
        </w:rPr>
        <w:t>the best of its knowledge and belief, that as at the date of this Board Confirmation it is not aware of and has no knowledge:</w:t>
      </w:r>
    </w:p>
    <w:p w:rsidR="0078379E" w:rsidRDefault="00577DEF">
      <w:pPr>
        <w:numPr>
          <w:ilvl w:val="3"/>
          <w:numId w:val="1"/>
        </w:numPr>
        <w:pBdr>
          <w:top w:val="nil"/>
          <w:left w:val="nil"/>
          <w:bottom w:val="nil"/>
          <w:right w:val="nil"/>
          <w:between w:val="nil"/>
        </w:pBdr>
        <w:tabs>
          <w:tab w:val="left" w:pos="720"/>
          <w:tab w:val="left" w:pos="1803"/>
        </w:tabs>
        <w:spacing w:before="100" w:after="200"/>
        <w:jc w:val="left"/>
      </w:pPr>
      <w:r>
        <w:rPr>
          <w:rFonts w:ascii="Arial" w:eastAsia="Arial" w:hAnsi="Arial" w:cs="Arial"/>
          <w:color w:val="000000"/>
          <w:sz w:val="24"/>
          <w:szCs w:val="24"/>
        </w:rPr>
        <w:t>that a Financial Distress Event has occurred since the later of the previous Board Confirmation and the Effective Date or is subsisting; or</w:t>
      </w:r>
    </w:p>
    <w:p w:rsidR="0078379E" w:rsidRDefault="00577DEF">
      <w:pPr>
        <w:numPr>
          <w:ilvl w:val="3"/>
          <w:numId w:val="1"/>
        </w:numPr>
        <w:pBdr>
          <w:top w:val="nil"/>
          <w:left w:val="nil"/>
          <w:bottom w:val="nil"/>
          <w:right w:val="nil"/>
          <w:between w:val="nil"/>
        </w:pBdr>
        <w:tabs>
          <w:tab w:val="left" w:pos="720"/>
          <w:tab w:val="left" w:pos="1803"/>
        </w:tabs>
        <w:spacing w:before="100" w:after="200"/>
        <w:jc w:val="left"/>
      </w:pPr>
      <w:r>
        <w:rPr>
          <w:rFonts w:ascii="Arial" w:eastAsia="Arial" w:hAnsi="Arial" w:cs="Arial"/>
          <w:color w:val="000000"/>
          <w:sz w:val="24"/>
          <w:szCs w:val="24"/>
        </w:rPr>
        <w:t>of any matters which have occurred or are subsisting that could reasonably be expected to cause a Financial Distress</w:t>
      </w:r>
      <w:r>
        <w:rPr>
          <w:rFonts w:ascii="Arial" w:eastAsia="Arial" w:hAnsi="Arial" w:cs="Arial"/>
          <w:color w:val="000000"/>
          <w:sz w:val="24"/>
          <w:szCs w:val="24"/>
        </w:rPr>
        <w:t xml:space="preserve"> Event</w:t>
      </w:r>
    </w:p>
    <w:p w:rsidR="0078379E" w:rsidRDefault="0078379E">
      <w:pPr>
        <w:pBdr>
          <w:top w:val="nil"/>
          <w:left w:val="nil"/>
          <w:bottom w:val="nil"/>
          <w:right w:val="nil"/>
          <w:between w:val="nil"/>
        </w:pBdr>
        <w:spacing w:before="100" w:after="200"/>
        <w:jc w:val="left"/>
        <w:rPr>
          <w:rFonts w:ascii="Arial" w:eastAsia="Arial" w:hAnsi="Arial" w:cs="Arial"/>
          <w:color w:val="000000"/>
          <w:sz w:val="24"/>
          <w:szCs w:val="24"/>
        </w:rPr>
      </w:pPr>
    </w:p>
    <w:p w:rsidR="0078379E" w:rsidRDefault="00577DEF">
      <w:pPr>
        <w:pBdr>
          <w:top w:val="nil"/>
          <w:left w:val="nil"/>
          <w:bottom w:val="nil"/>
          <w:right w:val="nil"/>
          <w:between w:val="nil"/>
        </w:pBdr>
        <w:spacing w:before="100" w:after="200"/>
        <w:ind w:left="720"/>
        <w:jc w:val="left"/>
        <w:rPr>
          <w:rFonts w:ascii="Arial" w:eastAsia="Arial" w:hAnsi="Arial" w:cs="Arial"/>
          <w:color w:val="000000"/>
          <w:sz w:val="24"/>
          <w:szCs w:val="24"/>
        </w:rPr>
      </w:pPr>
      <w:r>
        <w:rPr>
          <w:rFonts w:ascii="Arial" w:eastAsia="Arial" w:hAnsi="Arial" w:cs="Arial"/>
          <w:color w:val="000000"/>
          <w:sz w:val="24"/>
          <w:szCs w:val="24"/>
        </w:rPr>
        <w:t>On behalf of the Board of Directors:</w:t>
      </w:r>
    </w:p>
    <w:p w:rsidR="0078379E" w:rsidRDefault="0078379E">
      <w:pPr>
        <w:pBdr>
          <w:top w:val="nil"/>
          <w:left w:val="nil"/>
          <w:bottom w:val="nil"/>
          <w:right w:val="nil"/>
          <w:between w:val="nil"/>
        </w:pBdr>
        <w:spacing w:before="100" w:after="200"/>
        <w:jc w:val="left"/>
        <w:rPr>
          <w:rFonts w:ascii="Arial" w:eastAsia="Arial" w:hAnsi="Arial" w:cs="Arial"/>
          <w:color w:val="000000"/>
          <w:sz w:val="24"/>
          <w:szCs w:val="24"/>
        </w:rPr>
      </w:pPr>
    </w:p>
    <w:p w:rsidR="0078379E" w:rsidRDefault="00577DEF">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Chair</w:t>
      </w:r>
      <w:r>
        <w:rPr>
          <w:rFonts w:ascii="Arial" w:eastAsia="Arial" w:hAnsi="Arial" w:cs="Arial"/>
          <w:color w:val="000000"/>
          <w:sz w:val="24"/>
          <w:szCs w:val="24"/>
        </w:rPr>
        <w:tab/>
      </w:r>
      <w:r>
        <w:rPr>
          <w:rFonts w:ascii="Arial" w:eastAsia="Arial" w:hAnsi="Arial" w:cs="Arial"/>
          <w:color w:val="000000"/>
          <w:sz w:val="24"/>
          <w:szCs w:val="24"/>
        </w:rPr>
        <w:tab/>
        <w:t>…………………………………</w:t>
      </w:r>
    </w:p>
    <w:p w:rsidR="0078379E" w:rsidRDefault="00577DEF">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Signed</w:t>
      </w:r>
      <w:r>
        <w:rPr>
          <w:rFonts w:ascii="Arial" w:eastAsia="Arial" w:hAnsi="Arial" w:cs="Arial"/>
          <w:color w:val="000000"/>
          <w:sz w:val="24"/>
          <w:szCs w:val="24"/>
        </w:rPr>
        <w:tab/>
      </w:r>
      <w:r>
        <w:rPr>
          <w:rFonts w:ascii="Arial" w:eastAsia="Arial" w:hAnsi="Arial" w:cs="Arial"/>
          <w:color w:val="000000"/>
          <w:sz w:val="24"/>
          <w:szCs w:val="24"/>
        </w:rPr>
        <w:tab/>
        <w:t>…………………………………</w:t>
      </w:r>
    </w:p>
    <w:p w:rsidR="0078379E" w:rsidRDefault="00577DEF">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Date</w:t>
      </w:r>
      <w:r>
        <w:rPr>
          <w:rFonts w:ascii="Arial" w:eastAsia="Arial" w:hAnsi="Arial" w:cs="Arial"/>
          <w:color w:val="000000"/>
          <w:sz w:val="24"/>
          <w:szCs w:val="24"/>
        </w:rPr>
        <w:tab/>
      </w:r>
      <w:r>
        <w:rPr>
          <w:rFonts w:ascii="Arial" w:eastAsia="Arial" w:hAnsi="Arial" w:cs="Arial"/>
          <w:color w:val="000000"/>
          <w:sz w:val="24"/>
          <w:szCs w:val="24"/>
        </w:rPr>
        <w:tab/>
        <w:t>…………………………………</w:t>
      </w:r>
    </w:p>
    <w:p w:rsidR="0078379E" w:rsidRDefault="0078379E">
      <w:pPr>
        <w:pBdr>
          <w:top w:val="nil"/>
          <w:left w:val="nil"/>
          <w:bottom w:val="nil"/>
          <w:right w:val="nil"/>
          <w:between w:val="nil"/>
        </w:pBdr>
        <w:spacing w:before="100" w:after="200"/>
        <w:jc w:val="left"/>
        <w:rPr>
          <w:rFonts w:ascii="Arial" w:eastAsia="Arial" w:hAnsi="Arial" w:cs="Arial"/>
          <w:color w:val="000000"/>
          <w:sz w:val="24"/>
          <w:szCs w:val="24"/>
        </w:rPr>
      </w:pPr>
    </w:p>
    <w:p w:rsidR="0078379E" w:rsidRDefault="00577DEF">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Director</w:t>
      </w:r>
      <w:r>
        <w:rPr>
          <w:rFonts w:ascii="Arial" w:eastAsia="Arial" w:hAnsi="Arial" w:cs="Arial"/>
          <w:color w:val="000000"/>
          <w:sz w:val="24"/>
          <w:szCs w:val="24"/>
        </w:rPr>
        <w:tab/>
      </w:r>
      <w:r>
        <w:rPr>
          <w:rFonts w:ascii="Arial" w:eastAsia="Arial" w:hAnsi="Arial" w:cs="Arial"/>
          <w:color w:val="000000"/>
          <w:sz w:val="24"/>
          <w:szCs w:val="24"/>
        </w:rPr>
        <w:tab/>
        <w:t>…………………………………</w:t>
      </w:r>
    </w:p>
    <w:p w:rsidR="0078379E" w:rsidRDefault="00577DEF">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Signed</w:t>
      </w:r>
      <w:r>
        <w:rPr>
          <w:rFonts w:ascii="Arial" w:eastAsia="Arial" w:hAnsi="Arial" w:cs="Arial"/>
          <w:color w:val="000000"/>
          <w:sz w:val="24"/>
          <w:szCs w:val="24"/>
        </w:rPr>
        <w:tab/>
      </w:r>
      <w:r>
        <w:rPr>
          <w:rFonts w:ascii="Arial" w:eastAsia="Arial" w:hAnsi="Arial" w:cs="Arial"/>
          <w:color w:val="000000"/>
          <w:sz w:val="24"/>
          <w:szCs w:val="24"/>
        </w:rPr>
        <w:tab/>
        <w:t>…………………………………</w:t>
      </w:r>
    </w:p>
    <w:p w:rsidR="0078379E" w:rsidRDefault="00577DEF">
      <w:pPr>
        <w:pBdr>
          <w:top w:val="nil"/>
          <w:left w:val="nil"/>
          <w:bottom w:val="nil"/>
          <w:right w:val="nil"/>
          <w:between w:val="nil"/>
        </w:pBdr>
        <w:spacing w:before="100" w:after="200"/>
        <w:ind w:left="1803"/>
        <w:jc w:val="left"/>
        <w:rPr>
          <w:rFonts w:ascii="Arial" w:eastAsia="Arial" w:hAnsi="Arial" w:cs="Arial"/>
          <w:color w:val="000000"/>
          <w:sz w:val="24"/>
          <w:szCs w:val="24"/>
        </w:rPr>
      </w:pPr>
      <w:r>
        <w:rPr>
          <w:rFonts w:ascii="Arial" w:eastAsia="Arial" w:hAnsi="Arial" w:cs="Arial"/>
          <w:color w:val="000000"/>
          <w:sz w:val="24"/>
          <w:szCs w:val="24"/>
        </w:rPr>
        <w:t>Date</w:t>
      </w:r>
      <w:r>
        <w:rPr>
          <w:rFonts w:ascii="Arial" w:eastAsia="Arial" w:hAnsi="Arial" w:cs="Arial"/>
          <w:color w:val="000000"/>
          <w:sz w:val="24"/>
          <w:szCs w:val="24"/>
        </w:rPr>
        <w:tab/>
      </w:r>
      <w:r>
        <w:rPr>
          <w:rFonts w:ascii="Arial" w:eastAsia="Arial" w:hAnsi="Arial" w:cs="Arial"/>
          <w:color w:val="000000"/>
          <w:sz w:val="24"/>
          <w:szCs w:val="24"/>
        </w:rPr>
        <w:tab/>
        <w:t>…………………………………</w:t>
      </w:r>
    </w:p>
    <w:p w:rsidR="0078379E" w:rsidRDefault="0078379E">
      <w:pPr>
        <w:spacing w:after="200" w:line="276" w:lineRule="auto"/>
        <w:jc w:val="left"/>
        <w:rPr>
          <w:rFonts w:ascii="Arial" w:eastAsia="Arial" w:hAnsi="Arial" w:cs="Arial"/>
          <w:sz w:val="24"/>
          <w:szCs w:val="24"/>
        </w:rPr>
      </w:pPr>
      <w:bookmarkStart w:id="8" w:name="_17dp8vu" w:colFirst="0" w:colLast="0"/>
      <w:bookmarkStart w:id="9" w:name="_GoBack"/>
      <w:bookmarkEnd w:id="8"/>
      <w:bookmarkEnd w:id="9"/>
    </w:p>
    <w:sectPr w:rsidR="0078379E">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DEF" w:rsidRDefault="00577DEF">
      <w:pPr>
        <w:spacing w:after="0"/>
      </w:pPr>
      <w:r>
        <w:separator/>
      </w:r>
    </w:p>
  </w:endnote>
  <w:endnote w:type="continuationSeparator" w:id="0">
    <w:p w:rsidR="00577DEF" w:rsidRDefault="00577D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79E" w:rsidRDefault="00577DEF">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RM6315 </w:t>
    </w:r>
    <w:r>
      <w:rPr>
        <w:rFonts w:ascii="Arial" w:eastAsia="Arial" w:hAnsi="Arial" w:cs="Arial"/>
        <w:sz w:val="20"/>
        <w:szCs w:val="20"/>
      </w:rPr>
      <w:t>Vehicle Telematics Solutions</w:t>
    </w:r>
    <w:r>
      <w:rPr>
        <w:rFonts w:ascii="Arial" w:eastAsia="Arial" w:hAnsi="Arial" w:cs="Arial"/>
        <w:sz w:val="20"/>
        <w:szCs w:val="20"/>
      </w:rPr>
      <w:tab/>
      <w:t xml:space="preserve">                                           </w:t>
    </w:r>
  </w:p>
  <w:p w:rsidR="0078379E" w:rsidRDefault="00577DEF">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5A0C6B">
      <w:rPr>
        <w:rFonts w:ascii="Arial" w:eastAsia="Arial" w:hAnsi="Arial" w:cs="Arial"/>
        <w:color w:val="000000"/>
        <w:sz w:val="20"/>
        <w:szCs w:val="20"/>
      </w:rPr>
      <w:fldChar w:fldCharType="separate"/>
    </w:r>
    <w:r w:rsidR="005A0C6B">
      <w:rPr>
        <w:rFonts w:ascii="Arial" w:eastAsia="Arial" w:hAnsi="Arial" w:cs="Arial"/>
        <w:noProof/>
        <w:color w:val="000000"/>
        <w:sz w:val="20"/>
        <w:szCs w:val="20"/>
      </w:rPr>
      <w:t>10</w:t>
    </w:r>
    <w:r>
      <w:rPr>
        <w:rFonts w:ascii="Arial" w:eastAsia="Arial" w:hAnsi="Arial" w:cs="Arial"/>
        <w:color w:val="000000"/>
        <w:sz w:val="20"/>
        <w:szCs w:val="20"/>
      </w:rPr>
      <w:fldChar w:fldCharType="end"/>
    </w:r>
  </w:p>
  <w:p w:rsidR="0078379E" w:rsidRDefault="00577DEF">
    <w:pPr>
      <w:spacing w:after="0"/>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79E" w:rsidRDefault="00577DEF">
    <w:pPr>
      <w:tabs>
        <w:tab w:val="center" w:pos="4513"/>
        <w:tab w:val="right" w:pos="9026"/>
      </w:tabs>
      <w:spacing w:after="0"/>
      <w:rPr>
        <w:color w:val="BFBFBF"/>
      </w:rPr>
    </w:pPr>
    <w:r>
      <w:rPr>
        <w:color w:val="BFBFBF"/>
      </w:rPr>
      <w:t>Framework Ref: RM</w:t>
    </w:r>
    <w:r>
      <w:rPr>
        <w:color w:val="BFBFBF"/>
      </w:rPr>
      <w:tab/>
    </w:r>
    <w:r>
      <w:rPr>
        <w:color w:val="BFBFBF"/>
      </w:rPr>
      <w:t xml:space="preserve">                                           </w:t>
    </w:r>
  </w:p>
  <w:p w:rsidR="0078379E" w:rsidRDefault="00577DEF">
    <w:pPr>
      <w:pBdr>
        <w:top w:val="nil"/>
        <w:left w:val="nil"/>
        <w:bottom w:val="nil"/>
        <w:right w:val="nil"/>
        <w:between w:val="nil"/>
      </w:pBdr>
      <w:tabs>
        <w:tab w:val="center" w:pos="4513"/>
        <w:tab w:val="right" w:pos="9026"/>
      </w:tabs>
      <w:spacing w:after="0"/>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rsidR="0078379E" w:rsidRDefault="00577DEF">
    <w:pPr>
      <w:spacing w:after="0"/>
      <w:rPr>
        <w:rFonts w:ascii="Arial" w:eastAsia="Arial" w:hAnsi="Arial" w:cs="Arial"/>
        <w:color w:val="BFBFBF"/>
        <w:sz w:val="20"/>
        <w:szCs w:val="20"/>
      </w:rPr>
    </w:pPr>
    <w:r>
      <w:rPr>
        <w:color w:val="BFBFBF"/>
      </w:rPr>
      <w:t>Model Version : v3.0</w:t>
    </w:r>
    <w:r>
      <w:rPr>
        <w:color w:val="BFBFBF"/>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DEF" w:rsidRDefault="00577DEF">
      <w:pPr>
        <w:spacing w:after="0"/>
      </w:pPr>
      <w:r>
        <w:separator/>
      </w:r>
    </w:p>
  </w:footnote>
  <w:footnote w:type="continuationSeparator" w:id="0">
    <w:p w:rsidR="00577DEF" w:rsidRDefault="00577D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79E" w:rsidRDefault="00577DEF">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Joint Schedule 7 (Financial Difficulties)</w:t>
    </w:r>
  </w:p>
  <w:p w:rsidR="0078379E" w:rsidRDefault="00577DEF">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38DC"/>
    <w:multiLevelType w:val="multilevel"/>
    <w:tmpl w:val="1F2A056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92" w:hanging="566"/>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842" w:hanging="708"/>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51" w:hanging="566"/>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6394F3E"/>
    <w:multiLevelType w:val="multilevel"/>
    <w:tmpl w:val="6736E80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9E"/>
    <w:rsid w:val="00577DEF"/>
    <w:rsid w:val="005A0C6B"/>
    <w:rsid w:val="00783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68D3"/>
  <w15:docId w15:val="{359224EB-CBB0-49BF-987F-1EF7D022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sz w:val="20"/>
      <w:szCs w:val="20"/>
    </w:rPr>
    <w:tblPr>
      <w:tblStyleRowBandSize w:val="1"/>
      <w:tblStyleColBandSize w:val="1"/>
    </w:tblPr>
  </w:style>
  <w:style w:type="table" w:customStyle="1" w:styleId="a0">
    <w:basedOn w:val="TableNormal"/>
    <w:pPr>
      <w:spacing w:after="0"/>
    </w:pPr>
    <w:rPr>
      <w:sz w:val="20"/>
      <w:szCs w:val="20"/>
    </w:rPr>
    <w:tblPr>
      <w:tblStyleRowBandSize w:val="1"/>
      <w:tblStyleColBandSize w:val="1"/>
    </w:tblPr>
  </w:style>
  <w:style w:type="table" w:customStyle="1" w:styleId="a1">
    <w:basedOn w:val="TableNormal"/>
    <w:pPr>
      <w:spacing w:after="0"/>
    </w:pPr>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pPr>
    <w:rPr>
      <w:sz w:val="20"/>
      <w:szCs w:val="20"/>
    </w:rPr>
    <w:tblPr>
      <w:tblStyleRowBandSize w:val="1"/>
      <w:tblStyleColBandSize w:val="1"/>
    </w:tblPr>
  </w:style>
  <w:style w:type="paragraph" w:styleId="Header">
    <w:name w:val="header"/>
    <w:basedOn w:val="Normal"/>
    <w:link w:val="HeaderChar"/>
    <w:uiPriority w:val="99"/>
    <w:unhideWhenUsed/>
    <w:rsid w:val="005A0C6B"/>
    <w:pPr>
      <w:tabs>
        <w:tab w:val="center" w:pos="4513"/>
        <w:tab w:val="right" w:pos="9026"/>
      </w:tabs>
      <w:spacing w:after="0"/>
    </w:pPr>
  </w:style>
  <w:style w:type="character" w:customStyle="1" w:styleId="HeaderChar">
    <w:name w:val="Header Char"/>
    <w:basedOn w:val="DefaultParagraphFont"/>
    <w:link w:val="Header"/>
    <w:uiPriority w:val="99"/>
    <w:rsid w:val="005A0C6B"/>
  </w:style>
  <w:style w:type="paragraph" w:styleId="Footer">
    <w:name w:val="footer"/>
    <w:basedOn w:val="Normal"/>
    <w:link w:val="FooterChar"/>
    <w:uiPriority w:val="99"/>
    <w:unhideWhenUsed/>
    <w:rsid w:val="005A0C6B"/>
    <w:pPr>
      <w:tabs>
        <w:tab w:val="center" w:pos="4513"/>
        <w:tab w:val="right" w:pos="9026"/>
      </w:tabs>
      <w:spacing w:after="0"/>
    </w:pPr>
  </w:style>
  <w:style w:type="character" w:customStyle="1" w:styleId="FooterChar">
    <w:name w:val="Footer Char"/>
    <w:basedOn w:val="DefaultParagraphFont"/>
    <w:link w:val="Footer"/>
    <w:uiPriority w:val="99"/>
    <w:rsid w:val="005A0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strategic-suppli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3884</Words>
  <Characters>22145</Characters>
  <Application>Microsoft Office Word</Application>
  <DocSecurity>0</DocSecurity>
  <Lines>184</Lines>
  <Paragraphs>51</Paragraphs>
  <ScaleCrop>false</ScaleCrop>
  <Company>Cabinet Office</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2</cp:revision>
  <dcterms:created xsi:type="dcterms:W3CDTF">2023-10-26T15:13:00Z</dcterms:created>
  <dcterms:modified xsi:type="dcterms:W3CDTF">2023-10-26T15:21:00Z</dcterms:modified>
</cp:coreProperties>
</file>