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120" w:before="120" w:line="240" w:lineRule="auto"/>
        <w:ind w:left="1996" w:hanging="720"/>
        <w:rPr>
          <w:rFonts w:ascii="Arial" w:cs="Arial" w:eastAsia="Arial" w:hAnsi="Arial"/>
          <w:b w:val="1"/>
          <w:color w:val="000000"/>
          <w:sz w:val="36"/>
          <w:szCs w:val="36"/>
        </w:rPr>
      </w:pPr>
      <w:bookmarkStart w:colFirst="0" w:colLast="0" w:name="_heading=h.1fob9te" w:id="0"/>
      <w:bookmarkEnd w:id="0"/>
      <w:r w:rsidDel="00000000" w:rsidR="00000000" w:rsidRPr="00000000">
        <w:rPr>
          <w:rtl w:val="0"/>
        </w:rPr>
      </w:r>
    </w:p>
    <w:p w:rsidR="00000000" w:rsidDel="00000000" w:rsidP="00000000" w:rsidRDefault="00000000" w:rsidRPr="00000000" w14:paraId="00000002">
      <w:pPr>
        <w:rPr>
          <w:rFonts w:ascii="Arial" w:cs="Arial" w:eastAsia="Arial" w:hAnsi="Arial"/>
          <w:sz w:val="36"/>
          <w:szCs w:val="36"/>
        </w:rPr>
      </w:pPr>
      <w:r w:rsidDel="00000000" w:rsidR="00000000" w:rsidRPr="00000000">
        <w:rPr>
          <w:rFonts w:ascii="Arial" w:cs="Arial" w:eastAsia="Arial" w:hAnsi="Arial"/>
          <w:b w:val="1"/>
          <w:sz w:val="36"/>
          <w:szCs w:val="36"/>
          <w:rtl w:val="0"/>
        </w:rPr>
        <w:t xml:space="preserve">Call-Off Schedule 19 (Scottish Law)</w:t>
      </w:r>
      <w:r w:rsidDel="00000000" w:rsidR="00000000" w:rsidRPr="00000000">
        <w:rPr>
          <w:rFonts w:ascii="Arial" w:cs="Arial" w:eastAsia="Arial" w:hAnsi="Arial"/>
          <w:sz w:val="36"/>
          <w:szCs w:val="36"/>
          <w:rtl w:val="0"/>
        </w:rPr>
        <w:t xml:space="preserve"> </w:t>
      </w:r>
    </w:p>
    <w:p w:rsidR="00000000" w:rsidDel="00000000" w:rsidP="00000000" w:rsidRDefault="00000000" w:rsidRPr="00000000" w14:paraId="00000003">
      <w:pPr>
        <w:keepNext w:val="1"/>
        <w:numPr>
          <w:ilvl w:val="0"/>
          <w:numId w:val="1"/>
        </w:numPr>
        <w:pBdr>
          <w:top w:space="0" w:sz="0" w:val="nil"/>
          <w:left w:space="0" w:sz="0" w:val="nil"/>
          <w:bottom w:space="0" w:sz="0" w:val="nil"/>
          <w:right w:space="0" w:sz="0" w:val="nil"/>
          <w:between w:space="0" w:sz="0" w:val="nil"/>
        </w:pBdr>
        <w:tabs>
          <w:tab w:val="left" w:leader="none" w:pos="142"/>
        </w:tabs>
        <w:spacing w:after="120" w:before="240" w:line="240" w:lineRule="auto"/>
        <w:ind w:left="720" w:hanging="72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When you should use this Schedule</w:t>
      </w:r>
    </w:p>
    <w:p w:rsidR="00000000" w:rsidDel="00000000" w:rsidP="00000000" w:rsidRDefault="00000000" w:rsidRPr="00000000" w14:paraId="00000004">
      <w:pPr>
        <w:keepNext w:val="1"/>
        <w:numPr>
          <w:ilvl w:val="1"/>
          <w:numId w:val="1"/>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Call-Off Schedule 19 may be included to adapt the Core Terms and Schedules so that the Call Off Contract is under Scottish Law.</w:t>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tabs>
          <w:tab w:val="left" w:leader="none" w:pos="142"/>
        </w:tabs>
        <w:spacing w:after="120" w:before="240" w:line="240" w:lineRule="auto"/>
        <w:ind w:left="720" w:hanging="72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Changes to the Core Terms</w:t>
      </w:r>
    </w:p>
    <w:p w:rsidR="00000000" w:rsidDel="00000000" w:rsidP="00000000" w:rsidRDefault="00000000" w:rsidRPr="00000000" w14:paraId="00000006">
      <w:pPr>
        <w:numPr>
          <w:ilvl w:val="1"/>
          <w:numId w:val="1"/>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bookmarkStart w:colFirst="0" w:colLast="0" w:name="_heading=h.gjdgxs" w:id="1"/>
      <w:bookmarkEnd w:id="1"/>
      <w:r w:rsidDel="00000000" w:rsidR="00000000" w:rsidRPr="00000000">
        <w:rPr>
          <w:rFonts w:ascii="Arial" w:cs="Arial" w:eastAsia="Arial" w:hAnsi="Arial"/>
          <w:color w:val="000000"/>
          <w:sz w:val="24"/>
          <w:szCs w:val="24"/>
          <w:rtl w:val="0"/>
        </w:rPr>
        <w:t xml:space="preserve">Clause </w:t>
      </w:r>
      <w:r w:rsidDel="00000000" w:rsidR="00000000" w:rsidRPr="00000000">
        <w:rPr>
          <w:rFonts w:ascii="Arial" w:cs="Arial" w:eastAsia="Arial" w:hAnsi="Arial"/>
          <w:sz w:val="24"/>
          <w:szCs w:val="24"/>
          <w:rtl w:val="0"/>
        </w:rPr>
        <w:t xml:space="preserve">19</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Other people’s rights in a contract</w:t>
      </w:r>
      <w:r w:rsidDel="00000000" w:rsidR="00000000" w:rsidRPr="00000000">
        <w:rPr>
          <w:rFonts w:ascii="Arial" w:cs="Arial" w:eastAsia="Arial" w:hAnsi="Arial"/>
          <w:color w:val="000000"/>
          <w:sz w:val="24"/>
          <w:szCs w:val="24"/>
          <w:rtl w:val="0"/>
        </w:rPr>
        <w:t xml:space="preserve">) – “Contract Rights of Third Parties Act (CRTPA)” shall be replaced by </w:t>
      </w:r>
      <w:r w:rsidDel="00000000" w:rsidR="00000000" w:rsidRPr="00000000">
        <w:rPr>
          <w:rFonts w:ascii="Arial" w:cs="Arial" w:eastAsia="Arial" w:hAnsi="Arial"/>
          <w:i w:val="1"/>
          <w:color w:val="000000"/>
          <w:sz w:val="24"/>
          <w:szCs w:val="24"/>
          <w:rtl w:val="0"/>
        </w:rPr>
        <w:t xml:space="preserve">“</w:t>
      </w:r>
      <w:r w:rsidDel="00000000" w:rsidR="00000000" w:rsidRPr="00000000">
        <w:rPr>
          <w:rFonts w:ascii="Arial" w:cs="Arial" w:eastAsia="Arial" w:hAnsi="Arial"/>
          <w:color w:val="000000"/>
          <w:sz w:val="24"/>
          <w:szCs w:val="24"/>
          <w:rtl w:val="0"/>
        </w:rPr>
        <w:t xml:space="preserve">Contract (Third Party Rights) (Scotland) Act 2017 (CTPRSA)</w:t>
      </w:r>
      <w:r w:rsidDel="00000000" w:rsidR="00000000" w:rsidRPr="00000000">
        <w:rPr>
          <w:rFonts w:ascii="Arial" w:cs="Arial" w:eastAsia="Arial" w:hAnsi="Arial"/>
          <w:i w:val="1"/>
          <w:color w:val="000000"/>
          <w:sz w:val="24"/>
          <w:szCs w:val="24"/>
          <w:rtl w:val="0"/>
        </w:rPr>
        <w:t xml:space="preserve">”.</w:t>
      </w:r>
      <w:r w:rsidDel="00000000" w:rsidR="00000000" w:rsidRPr="00000000">
        <w:rPr>
          <w:rFonts w:ascii="Arial" w:cs="Arial" w:eastAsia="Arial" w:hAnsi="Arial"/>
          <w:color w:val="000000"/>
          <w:sz w:val="24"/>
          <w:szCs w:val="24"/>
          <w:rtl w:val="0"/>
        </w:rPr>
        <w:t xml:space="preserve"> References to “</w:t>
      </w:r>
      <w:r w:rsidDel="00000000" w:rsidR="00000000" w:rsidRPr="00000000">
        <w:rPr>
          <w:rFonts w:ascii="Arial" w:cs="Arial" w:eastAsia="Arial" w:hAnsi="Arial"/>
          <w:i w:val="1"/>
          <w:color w:val="000000"/>
          <w:sz w:val="24"/>
          <w:szCs w:val="24"/>
          <w:rtl w:val="0"/>
        </w:rPr>
        <w:t xml:space="preserve">CRTPA</w:t>
      </w:r>
      <w:r w:rsidDel="00000000" w:rsidR="00000000" w:rsidRPr="00000000">
        <w:rPr>
          <w:rFonts w:ascii="Arial" w:cs="Arial" w:eastAsia="Arial" w:hAnsi="Arial"/>
          <w:color w:val="000000"/>
          <w:sz w:val="24"/>
          <w:szCs w:val="24"/>
          <w:rtl w:val="0"/>
        </w:rPr>
        <w:t xml:space="preserve">” shall be replaced by “</w:t>
      </w:r>
      <w:r w:rsidDel="00000000" w:rsidR="00000000" w:rsidRPr="00000000">
        <w:rPr>
          <w:rFonts w:ascii="Arial" w:cs="Arial" w:eastAsia="Arial" w:hAnsi="Arial"/>
          <w:i w:val="1"/>
          <w:color w:val="000000"/>
          <w:sz w:val="24"/>
          <w:szCs w:val="24"/>
          <w:rtl w:val="0"/>
        </w:rPr>
        <w:t xml:space="preserve">CTPRSA</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07">
      <w:pPr>
        <w:numPr>
          <w:ilvl w:val="1"/>
          <w:numId w:val="1"/>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Clause 3</w:t>
      </w:r>
      <w:r w:rsidDel="00000000" w:rsidR="00000000" w:rsidRPr="00000000">
        <w:rPr>
          <w:rFonts w:ascii="Arial" w:cs="Arial" w:eastAsia="Arial" w:hAnsi="Arial"/>
          <w:sz w:val="24"/>
          <w:szCs w:val="24"/>
          <w:rtl w:val="0"/>
        </w:rPr>
        <w:t xml:space="preserve">4</w:t>
      </w:r>
      <w:r w:rsidDel="00000000" w:rsidR="00000000" w:rsidRPr="00000000">
        <w:rPr>
          <w:rFonts w:ascii="Arial" w:cs="Arial" w:eastAsia="Arial" w:hAnsi="Arial"/>
          <w:color w:val="000000"/>
          <w:sz w:val="24"/>
          <w:szCs w:val="24"/>
          <w:rtl w:val="0"/>
        </w:rPr>
        <w:t xml:space="preserve"> (Resolving Disputes):</w:t>
      </w:r>
    </w:p>
    <w:p w:rsidR="00000000" w:rsidDel="00000000" w:rsidP="00000000" w:rsidRDefault="00000000" w:rsidRPr="00000000" w14:paraId="00000008">
      <w:pPr>
        <w:numPr>
          <w:ilvl w:val="2"/>
          <w:numId w:val="1"/>
        </w:numPr>
        <w:pBdr>
          <w:top w:space="0" w:sz="0" w:val="nil"/>
          <w:left w:space="0" w:sz="0" w:val="nil"/>
          <w:bottom w:space="0" w:sz="0" w:val="nil"/>
          <w:right w:space="0" w:sz="0" w:val="nil"/>
          <w:between w:space="0" w:sz="0" w:val="nil"/>
        </w:pBdr>
        <w:spacing w:after="120" w:before="120" w:line="240" w:lineRule="auto"/>
        <w:ind w:left="1996"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Clause 3</w:t>
      </w:r>
      <w:r w:rsidDel="00000000" w:rsidR="00000000" w:rsidRPr="00000000">
        <w:rPr>
          <w:rFonts w:ascii="Arial" w:cs="Arial" w:eastAsia="Arial" w:hAnsi="Arial"/>
          <w:sz w:val="24"/>
          <w:szCs w:val="24"/>
          <w:rtl w:val="0"/>
        </w:rPr>
        <w:t xml:space="preserve">4</w:t>
      </w:r>
      <w:r w:rsidDel="00000000" w:rsidR="00000000" w:rsidRPr="00000000">
        <w:rPr>
          <w:rFonts w:ascii="Arial" w:cs="Arial" w:eastAsia="Arial" w:hAnsi="Arial"/>
          <w:color w:val="000000"/>
          <w:sz w:val="24"/>
          <w:szCs w:val="24"/>
          <w:rtl w:val="0"/>
        </w:rPr>
        <w:t xml:space="preserve">.2 – add the following wording: “The governing law and jurisdiction provisions of CEDR’s Model Mediation Agreement shall be deemed to be amended to refer to the laws of Scotland and the Court of Session.”</w:t>
      </w:r>
    </w:p>
    <w:p w:rsidR="00000000" w:rsidDel="00000000" w:rsidP="00000000" w:rsidRDefault="00000000" w:rsidRPr="00000000" w14:paraId="00000009">
      <w:pPr>
        <w:numPr>
          <w:ilvl w:val="2"/>
          <w:numId w:val="1"/>
        </w:numPr>
        <w:pBdr>
          <w:top w:space="0" w:sz="0" w:val="nil"/>
          <w:left w:space="0" w:sz="0" w:val="nil"/>
          <w:bottom w:space="0" w:sz="0" w:val="nil"/>
          <w:right w:space="0" w:sz="0" w:val="nil"/>
          <w:between w:space="0" w:sz="0" w:val="nil"/>
        </w:pBdr>
        <w:spacing w:after="120" w:before="120" w:line="240" w:lineRule="auto"/>
        <w:ind w:left="1996"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Clause 3</w:t>
      </w:r>
      <w:r w:rsidDel="00000000" w:rsidR="00000000" w:rsidRPr="00000000">
        <w:rPr>
          <w:rFonts w:ascii="Arial" w:cs="Arial" w:eastAsia="Arial" w:hAnsi="Arial"/>
          <w:sz w:val="24"/>
          <w:szCs w:val="24"/>
          <w:rtl w:val="0"/>
        </w:rPr>
        <w:t xml:space="preserve">4</w:t>
      </w:r>
      <w:r w:rsidDel="00000000" w:rsidR="00000000" w:rsidRPr="00000000">
        <w:rPr>
          <w:rFonts w:ascii="Arial" w:cs="Arial" w:eastAsia="Arial" w:hAnsi="Arial"/>
          <w:color w:val="000000"/>
          <w:sz w:val="24"/>
          <w:szCs w:val="24"/>
          <w:rtl w:val="0"/>
        </w:rPr>
        <w:t xml:space="preserve">.3  The term “Courts of England and Wales” shall be amended to read </w:t>
      </w:r>
      <w:r w:rsidDel="00000000" w:rsidR="00000000" w:rsidRPr="00000000">
        <w:rPr>
          <w:rFonts w:ascii="Arial" w:cs="Arial" w:eastAsia="Arial" w:hAnsi="Arial"/>
          <w:i w:val="1"/>
          <w:color w:val="000000"/>
          <w:sz w:val="24"/>
          <w:szCs w:val="24"/>
          <w:rtl w:val="0"/>
        </w:rPr>
        <w:t xml:space="preserve">“Court of Session” </w:t>
      </w:r>
      <w:r w:rsidDel="00000000" w:rsidR="00000000" w:rsidRPr="00000000">
        <w:rPr>
          <w:rtl w:val="0"/>
        </w:rPr>
      </w:r>
    </w:p>
    <w:p w:rsidR="00000000" w:rsidDel="00000000" w:rsidP="00000000" w:rsidRDefault="00000000" w:rsidRPr="00000000" w14:paraId="0000000A">
      <w:pPr>
        <w:numPr>
          <w:ilvl w:val="2"/>
          <w:numId w:val="1"/>
        </w:numPr>
        <w:pBdr>
          <w:top w:space="0" w:sz="0" w:val="nil"/>
          <w:left w:space="0" w:sz="0" w:val="nil"/>
          <w:bottom w:space="0" w:sz="0" w:val="nil"/>
          <w:right w:space="0" w:sz="0" w:val="nil"/>
          <w:between w:space="0" w:sz="0" w:val="nil"/>
        </w:pBdr>
        <w:spacing w:after="120" w:before="120" w:line="240" w:lineRule="auto"/>
        <w:ind w:left="1996"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Clause 3</w:t>
      </w:r>
      <w:r w:rsidDel="00000000" w:rsidR="00000000" w:rsidRPr="00000000">
        <w:rPr>
          <w:rFonts w:ascii="Arial" w:cs="Arial" w:eastAsia="Arial" w:hAnsi="Arial"/>
          <w:sz w:val="24"/>
          <w:szCs w:val="24"/>
          <w:rtl w:val="0"/>
        </w:rPr>
        <w:t xml:space="preserve">4</w:t>
      </w:r>
      <w:r w:rsidDel="00000000" w:rsidR="00000000" w:rsidRPr="00000000">
        <w:rPr>
          <w:rFonts w:ascii="Arial" w:cs="Arial" w:eastAsia="Arial" w:hAnsi="Arial"/>
          <w:color w:val="000000"/>
          <w:sz w:val="24"/>
          <w:szCs w:val="24"/>
          <w:rtl w:val="0"/>
        </w:rPr>
        <w:t xml:space="preserve">.4 – Conduct of Arbitration. </w:t>
      </w:r>
    </w:p>
    <w:p w:rsidR="00000000" w:rsidDel="00000000" w:rsidP="00000000" w:rsidRDefault="00000000" w:rsidRPr="00000000" w14:paraId="0000000B">
      <w:pPr>
        <w:numPr>
          <w:ilvl w:val="3"/>
          <w:numId w:val="1"/>
        </w:numPr>
        <w:pBdr>
          <w:top w:space="0" w:sz="0" w:val="nil"/>
          <w:left w:space="0" w:sz="0" w:val="nil"/>
          <w:bottom w:space="0" w:sz="0" w:val="nil"/>
          <w:right w:space="0" w:sz="0" w:val="nil"/>
          <w:between w:space="0" w:sz="0" w:val="nil"/>
        </w:pBdr>
        <w:spacing w:after="120" w:before="120" w:line="240" w:lineRule="auto"/>
        <w:ind w:left="288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words “</w:t>
      </w:r>
      <w:r w:rsidDel="00000000" w:rsidR="00000000" w:rsidRPr="00000000">
        <w:rPr>
          <w:rFonts w:ascii="Arial" w:cs="Arial" w:eastAsia="Arial" w:hAnsi="Arial"/>
          <w:i w:val="1"/>
          <w:color w:val="000000"/>
          <w:sz w:val="24"/>
          <w:szCs w:val="24"/>
          <w:rtl w:val="0"/>
        </w:rPr>
        <w:t xml:space="preserve">under the London Court of International Arbitration rules current at the time of the Dispute</w:t>
      </w:r>
      <w:r w:rsidDel="00000000" w:rsidR="00000000" w:rsidRPr="00000000">
        <w:rPr>
          <w:rFonts w:ascii="Arial" w:cs="Arial" w:eastAsia="Arial" w:hAnsi="Arial"/>
          <w:color w:val="000000"/>
          <w:sz w:val="24"/>
          <w:szCs w:val="24"/>
          <w:rtl w:val="0"/>
        </w:rPr>
        <w:t xml:space="preserve">” shall be deleted.</w:t>
      </w:r>
    </w:p>
    <w:p w:rsidR="00000000" w:rsidDel="00000000" w:rsidP="00000000" w:rsidRDefault="00000000" w:rsidRPr="00000000" w14:paraId="0000000C">
      <w:pPr>
        <w:numPr>
          <w:ilvl w:val="3"/>
          <w:numId w:val="1"/>
        </w:numPr>
        <w:pBdr>
          <w:top w:space="0" w:sz="0" w:val="nil"/>
          <w:left w:space="0" w:sz="0" w:val="nil"/>
          <w:bottom w:space="0" w:sz="0" w:val="nil"/>
          <w:right w:space="0" w:sz="0" w:val="nil"/>
          <w:between w:space="0" w:sz="0" w:val="nil"/>
        </w:pBdr>
        <w:spacing w:after="120" w:before="120" w:line="240" w:lineRule="auto"/>
        <w:ind w:left="288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seat or legal place of the arbitration shall be amended so that it takes place in “</w:t>
      </w:r>
      <w:r w:rsidDel="00000000" w:rsidR="00000000" w:rsidRPr="00000000">
        <w:rPr>
          <w:rFonts w:ascii="Arial" w:cs="Arial" w:eastAsia="Arial" w:hAnsi="Arial"/>
          <w:i w:val="1"/>
          <w:color w:val="000000"/>
          <w:sz w:val="24"/>
          <w:szCs w:val="24"/>
          <w:rtl w:val="0"/>
        </w:rPr>
        <w:t xml:space="preserve">Edinburgh</w:t>
      </w:r>
      <w:r w:rsidDel="00000000" w:rsidR="00000000" w:rsidRPr="00000000">
        <w:rPr>
          <w:rFonts w:ascii="Arial" w:cs="Arial" w:eastAsia="Arial" w:hAnsi="Arial"/>
          <w:color w:val="000000"/>
          <w:sz w:val="24"/>
          <w:szCs w:val="24"/>
          <w:rtl w:val="0"/>
        </w:rPr>
        <w:t xml:space="preserve">” as opposed to “</w:t>
      </w:r>
      <w:r w:rsidDel="00000000" w:rsidR="00000000" w:rsidRPr="00000000">
        <w:rPr>
          <w:rFonts w:ascii="Arial" w:cs="Arial" w:eastAsia="Arial" w:hAnsi="Arial"/>
          <w:i w:val="1"/>
          <w:color w:val="000000"/>
          <w:sz w:val="24"/>
          <w:szCs w:val="24"/>
          <w:rtl w:val="0"/>
        </w:rPr>
        <w:t xml:space="preserve">London</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0D">
      <w:pPr>
        <w:numPr>
          <w:ilvl w:val="3"/>
          <w:numId w:val="1"/>
        </w:numPr>
        <w:pBdr>
          <w:top w:space="0" w:sz="0" w:val="nil"/>
          <w:left w:space="0" w:sz="0" w:val="nil"/>
          <w:bottom w:space="0" w:sz="0" w:val="nil"/>
          <w:right w:space="0" w:sz="0" w:val="nil"/>
          <w:between w:space="0" w:sz="0" w:val="nil"/>
        </w:pBdr>
        <w:spacing w:after="120" w:before="120" w:line="240" w:lineRule="auto"/>
        <w:ind w:left="288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Add the following wording “</w:t>
      </w:r>
      <w:r w:rsidDel="00000000" w:rsidR="00000000" w:rsidRPr="00000000">
        <w:rPr>
          <w:rFonts w:ascii="Arial" w:cs="Arial" w:eastAsia="Arial" w:hAnsi="Arial"/>
          <w:i w:val="1"/>
          <w:color w:val="000000"/>
          <w:sz w:val="24"/>
          <w:szCs w:val="24"/>
          <w:rtl w:val="0"/>
        </w:rPr>
        <w:t xml:space="preserve">The arbitration shall be conducted in accordance with the Arbitration (Scotland) Act 2010 subject to disapplication in whole or in part of any of the default rules of the Scottish Arbitration Rules comprising Schedule 1 to that Act as the Parties may agree</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0E">
      <w:pPr>
        <w:numPr>
          <w:ilvl w:val="1"/>
          <w:numId w:val="1"/>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Clause 3</w:t>
      </w:r>
      <w:r w:rsidDel="00000000" w:rsidR="00000000" w:rsidRPr="00000000">
        <w:rPr>
          <w:rFonts w:ascii="Arial" w:cs="Arial" w:eastAsia="Arial" w:hAnsi="Arial"/>
          <w:sz w:val="24"/>
          <w:szCs w:val="24"/>
          <w:rtl w:val="0"/>
        </w:rPr>
        <w:t xml:space="preserve">5</w:t>
      </w:r>
      <w:r w:rsidDel="00000000" w:rsidR="00000000" w:rsidRPr="00000000">
        <w:rPr>
          <w:rFonts w:ascii="Arial" w:cs="Arial" w:eastAsia="Arial" w:hAnsi="Arial"/>
          <w:color w:val="000000"/>
          <w:sz w:val="24"/>
          <w:szCs w:val="24"/>
          <w:rtl w:val="0"/>
        </w:rPr>
        <w:t xml:space="preserve"> (Which </w:t>
      </w:r>
      <w:r w:rsidDel="00000000" w:rsidR="00000000" w:rsidRPr="00000000">
        <w:rPr>
          <w:rFonts w:ascii="Arial" w:cs="Arial" w:eastAsia="Arial" w:hAnsi="Arial"/>
          <w:sz w:val="24"/>
          <w:szCs w:val="24"/>
          <w:rtl w:val="0"/>
        </w:rPr>
        <w:t xml:space="preserve">law applies</w:t>
      </w:r>
      <w:r w:rsidDel="00000000" w:rsidR="00000000" w:rsidRPr="00000000">
        <w:rPr>
          <w:rFonts w:ascii="Arial" w:cs="Arial" w:eastAsia="Arial" w:hAnsi="Arial"/>
          <w:color w:val="000000"/>
          <w:sz w:val="24"/>
          <w:szCs w:val="24"/>
          <w:rtl w:val="0"/>
        </w:rPr>
        <w:t xml:space="preserve">) – the words “</w:t>
      </w:r>
      <w:r w:rsidDel="00000000" w:rsidR="00000000" w:rsidRPr="00000000">
        <w:rPr>
          <w:rFonts w:ascii="Arial" w:cs="Arial" w:eastAsia="Arial" w:hAnsi="Arial"/>
          <w:i w:val="1"/>
          <w:color w:val="000000"/>
          <w:sz w:val="24"/>
          <w:szCs w:val="24"/>
          <w:rtl w:val="0"/>
        </w:rPr>
        <w:t xml:space="preserve">English Law</w:t>
      </w:r>
      <w:r w:rsidDel="00000000" w:rsidR="00000000" w:rsidRPr="00000000">
        <w:rPr>
          <w:rFonts w:ascii="Arial" w:cs="Arial" w:eastAsia="Arial" w:hAnsi="Arial"/>
          <w:color w:val="000000"/>
          <w:sz w:val="24"/>
          <w:szCs w:val="24"/>
          <w:rtl w:val="0"/>
        </w:rPr>
        <w:t xml:space="preserve">” shall be replaced by “</w:t>
      </w:r>
      <w:r w:rsidDel="00000000" w:rsidR="00000000" w:rsidRPr="00000000">
        <w:rPr>
          <w:rFonts w:ascii="Arial" w:cs="Arial" w:eastAsia="Arial" w:hAnsi="Arial"/>
          <w:i w:val="1"/>
          <w:color w:val="000000"/>
          <w:sz w:val="24"/>
          <w:szCs w:val="24"/>
          <w:rtl w:val="0"/>
        </w:rPr>
        <w:t xml:space="preserve">the Law of Scotland</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tabs>
          <w:tab w:val="left" w:leader="none" w:pos="142"/>
        </w:tabs>
        <w:spacing w:after="120" w:before="240" w:line="240" w:lineRule="auto"/>
        <w:ind w:left="720" w:hanging="72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Changes to the Joint Schedules</w:t>
      </w:r>
    </w:p>
    <w:p w:rsidR="00000000" w:rsidDel="00000000" w:rsidP="00000000" w:rsidRDefault="00000000" w:rsidRPr="00000000" w14:paraId="00000010">
      <w:pPr>
        <w:numPr>
          <w:ilvl w:val="1"/>
          <w:numId w:val="1"/>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1 – Definitions shall be amended as follows:</w:t>
      </w:r>
    </w:p>
    <w:p w:rsidR="00000000" w:rsidDel="00000000" w:rsidP="00000000" w:rsidRDefault="00000000" w:rsidRPr="00000000" w14:paraId="00000011">
      <w:pPr>
        <w:numPr>
          <w:ilvl w:val="2"/>
          <w:numId w:val="1"/>
        </w:numPr>
        <w:pBdr>
          <w:top w:space="0" w:sz="0" w:val="nil"/>
          <w:left w:space="0" w:sz="0" w:val="nil"/>
          <w:bottom w:space="0" w:sz="0" w:val="nil"/>
          <w:right w:space="0" w:sz="0" w:val="nil"/>
          <w:between w:space="0" w:sz="0" w:val="nil"/>
        </w:pBdr>
        <w:spacing w:after="120" w:before="120" w:line="240" w:lineRule="auto"/>
        <w:ind w:left="1996"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definition of “CRTPA” shall be replaced by “”CTPRSA” the Contract (Third Party Rights) (Scotland) Act 2017”.</w:t>
      </w:r>
    </w:p>
    <w:p w:rsidR="00000000" w:rsidDel="00000000" w:rsidP="00000000" w:rsidRDefault="00000000" w:rsidRPr="00000000" w14:paraId="00000012">
      <w:pPr>
        <w:numPr>
          <w:ilvl w:val="2"/>
          <w:numId w:val="1"/>
        </w:numPr>
        <w:pBdr>
          <w:top w:space="0" w:sz="0" w:val="nil"/>
          <w:left w:space="0" w:sz="0" w:val="nil"/>
          <w:bottom w:space="0" w:sz="0" w:val="nil"/>
          <w:right w:space="0" w:sz="0" w:val="nil"/>
          <w:between w:space="0" w:sz="0" w:val="nil"/>
        </w:pBdr>
        <w:spacing w:after="120" w:before="120" w:line="240" w:lineRule="auto"/>
        <w:ind w:left="1996"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the definition of “Dispute” the reference to “</w:t>
      </w:r>
      <w:r w:rsidDel="00000000" w:rsidR="00000000" w:rsidRPr="00000000">
        <w:rPr>
          <w:rFonts w:ascii="Arial" w:cs="Arial" w:eastAsia="Arial" w:hAnsi="Arial"/>
          <w:i w:val="1"/>
          <w:color w:val="000000"/>
          <w:sz w:val="24"/>
          <w:szCs w:val="24"/>
          <w:rtl w:val="0"/>
        </w:rPr>
        <w:t xml:space="preserve">English law</w:t>
      </w:r>
      <w:r w:rsidDel="00000000" w:rsidR="00000000" w:rsidRPr="00000000">
        <w:rPr>
          <w:rFonts w:ascii="Arial" w:cs="Arial" w:eastAsia="Arial" w:hAnsi="Arial"/>
          <w:color w:val="000000"/>
          <w:sz w:val="24"/>
          <w:szCs w:val="24"/>
          <w:rtl w:val="0"/>
        </w:rPr>
        <w:t xml:space="preserve">” shall be replaced by “</w:t>
      </w:r>
      <w:r w:rsidDel="00000000" w:rsidR="00000000" w:rsidRPr="00000000">
        <w:rPr>
          <w:rFonts w:ascii="Arial" w:cs="Arial" w:eastAsia="Arial" w:hAnsi="Arial"/>
          <w:i w:val="1"/>
          <w:color w:val="000000"/>
          <w:sz w:val="24"/>
          <w:szCs w:val="24"/>
          <w:rtl w:val="0"/>
        </w:rPr>
        <w:t xml:space="preserve">the Law of Scotland</w:t>
      </w:r>
      <w:r w:rsidDel="00000000" w:rsidR="00000000" w:rsidRPr="00000000">
        <w:rPr>
          <w:rFonts w:ascii="Arial" w:cs="Arial" w:eastAsia="Arial" w:hAnsi="Arial"/>
          <w:color w:val="000000"/>
          <w:sz w:val="24"/>
          <w:szCs w:val="24"/>
          <w:rtl w:val="0"/>
        </w:rPr>
        <w:t xml:space="preserve">” and the reference to the “</w:t>
      </w:r>
      <w:r w:rsidDel="00000000" w:rsidR="00000000" w:rsidRPr="00000000">
        <w:rPr>
          <w:rFonts w:ascii="Arial" w:cs="Arial" w:eastAsia="Arial" w:hAnsi="Arial"/>
          <w:i w:val="1"/>
          <w:color w:val="000000"/>
          <w:sz w:val="24"/>
          <w:szCs w:val="24"/>
          <w:rtl w:val="0"/>
        </w:rPr>
        <w:t xml:space="preserve">English courts</w:t>
      </w:r>
      <w:r w:rsidDel="00000000" w:rsidR="00000000" w:rsidRPr="00000000">
        <w:rPr>
          <w:rFonts w:ascii="Arial" w:cs="Arial" w:eastAsia="Arial" w:hAnsi="Arial"/>
          <w:color w:val="000000"/>
          <w:sz w:val="24"/>
          <w:szCs w:val="24"/>
          <w:rtl w:val="0"/>
        </w:rPr>
        <w:t xml:space="preserve">” shall be replaced by the “</w:t>
      </w:r>
      <w:r w:rsidDel="00000000" w:rsidR="00000000" w:rsidRPr="00000000">
        <w:rPr>
          <w:rFonts w:ascii="Arial" w:cs="Arial" w:eastAsia="Arial" w:hAnsi="Arial"/>
          <w:i w:val="1"/>
          <w:color w:val="000000"/>
          <w:sz w:val="24"/>
          <w:szCs w:val="24"/>
          <w:rtl w:val="0"/>
        </w:rPr>
        <w:t xml:space="preserve">courts of Scotland</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13">
      <w:pPr>
        <w:numPr>
          <w:ilvl w:val="2"/>
          <w:numId w:val="1"/>
        </w:numPr>
        <w:pBdr>
          <w:top w:space="0" w:sz="0" w:val="nil"/>
          <w:left w:space="0" w:sz="0" w:val="nil"/>
          <w:bottom w:space="0" w:sz="0" w:val="nil"/>
          <w:right w:space="0" w:sz="0" w:val="nil"/>
          <w:between w:space="0" w:sz="0" w:val="nil"/>
        </w:pBdr>
        <w:spacing w:after="120" w:before="120" w:line="240" w:lineRule="auto"/>
        <w:ind w:left="1996"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the definition of “Insolvency Event” – the word </w:t>
      </w:r>
      <w:r w:rsidDel="00000000" w:rsidR="00000000" w:rsidRPr="00000000">
        <w:rPr>
          <w:rFonts w:ascii="Arial" w:cs="Arial" w:eastAsia="Arial" w:hAnsi="Arial"/>
          <w:i w:val="1"/>
          <w:color w:val="000000"/>
          <w:sz w:val="24"/>
          <w:szCs w:val="24"/>
          <w:rtl w:val="0"/>
        </w:rPr>
        <w:t xml:space="preserve">“Assignment”</w:t>
      </w:r>
      <w:r w:rsidDel="00000000" w:rsidR="00000000" w:rsidRPr="00000000">
        <w:rPr>
          <w:rFonts w:ascii="Arial" w:cs="Arial" w:eastAsia="Arial" w:hAnsi="Arial"/>
          <w:color w:val="000000"/>
          <w:sz w:val="24"/>
          <w:szCs w:val="24"/>
          <w:rtl w:val="0"/>
        </w:rPr>
        <w:t xml:space="preserve"> replaced by </w:t>
      </w:r>
      <w:r w:rsidDel="00000000" w:rsidR="00000000" w:rsidRPr="00000000">
        <w:rPr>
          <w:rFonts w:ascii="Arial" w:cs="Arial" w:eastAsia="Arial" w:hAnsi="Arial"/>
          <w:i w:val="1"/>
          <w:color w:val="000000"/>
          <w:sz w:val="24"/>
          <w:szCs w:val="24"/>
          <w:rtl w:val="0"/>
        </w:rPr>
        <w:t xml:space="preserve">“Assignation”.</w:t>
      </w:r>
      <w:r w:rsidDel="00000000" w:rsidR="00000000" w:rsidRPr="00000000">
        <w:rPr>
          <w:rtl w:val="0"/>
        </w:rPr>
      </w:r>
    </w:p>
    <w:p w:rsidR="00000000" w:rsidDel="00000000" w:rsidP="00000000" w:rsidRDefault="00000000" w:rsidRPr="00000000" w14:paraId="00000014">
      <w:pPr>
        <w:numPr>
          <w:ilvl w:val="2"/>
          <w:numId w:val="1"/>
        </w:numPr>
        <w:pBdr>
          <w:top w:space="0" w:sz="0" w:val="nil"/>
          <w:left w:space="0" w:sz="0" w:val="nil"/>
          <w:bottom w:space="0" w:sz="0" w:val="nil"/>
          <w:right w:space="0" w:sz="0" w:val="nil"/>
          <w:between w:space="0" w:sz="0" w:val="nil"/>
        </w:pBdr>
        <w:spacing w:after="120" w:before="120" w:line="240" w:lineRule="auto"/>
        <w:ind w:left="1996"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the definition of “Losses” the</w:t>
      </w:r>
      <w:r w:rsidDel="00000000" w:rsidR="00000000" w:rsidRPr="00000000">
        <w:rPr>
          <w:rFonts w:ascii="Arial" w:cs="Arial" w:eastAsia="Arial" w:hAnsi="Arial"/>
          <w:i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word</w:t>
      </w:r>
      <w:r w:rsidDel="00000000" w:rsidR="00000000" w:rsidRPr="00000000">
        <w:rPr>
          <w:rFonts w:ascii="Arial" w:cs="Arial" w:eastAsia="Arial" w:hAnsi="Arial"/>
          <w:i w:val="1"/>
          <w:color w:val="000000"/>
          <w:sz w:val="24"/>
          <w:szCs w:val="24"/>
          <w:rtl w:val="0"/>
        </w:rPr>
        <w:t xml:space="preserve"> “tort”</w:t>
      </w:r>
      <w:r w:rsidDel="00000000" w:rsidR="00000000" w:rsidRPr="00000000">
        <w:rPr>
          <w:rFonts w:ascii="Arial" w:cs="Arial" w:eastAsia="Arial" w:hAnsi="Arial"/>
          <w:color w:val="000000"/>
          <w:sz w:val="24"/>
          <w:szCs w:val="24"/>
          <w:rtl w:val="0"/>
        </w:rPr>
        <w:t xml:space="preserve"> shall be replaced with </w:t>
      </w:r>
      <w:r w:rsidDel="00000000" w:rsidR="00000000" w:rsidRPr="00000000">
        <w:rPr>
          <w:rFonts w:ascii="Arial" w:cs="Arial" w:eastAsia="Arial" w:hAnsi="Arial"/>
          <w:i w:val="1"/>
          <w:color w:val="000000"/>
          <w:sz w:val="24"/>
          <w:szCs w:val="24"/>
          <w:rtl w:val="0"/>
        </w:rPr>
        <w:t xml:space="preserve">“delict”.</w:t>
      </w:r>
      <w:r w:rsidDel="00000000" w:rsidR="00000000" w:rsidRPr="00000000">
        <w:rPr>
          <w:rtl w:val="0"/>
        </w:rPr>
      </w:r>
    </w:p>
    <w:p w:rsidR="00000000" w:rsidDel="00000000" w:rsidP="00000000" w:rsidRDefault="00000000" w:rsidRPr="00000000" w14:paraId="00000015">
      <w:pPr>
        <w:numPr>
          <w:ilvl w:val="2"/>
          <w:numId w:val="1"/>
        </w:numPr>
        <w:pBdr>
          <w:top w:space="0" w:sz="0" w:val="nil"/>
          <w:left w:space="0" w:sz="0" w:val="nil"/>
          <w:bottom w:space="0" w:sz="0" w:val="nil"/>
          <w:right w:space="0" w:sz="0" w:val="nil"/>
          <w:between w:space="0" w:sz="0" w:val="nil"/>
        </w:pBdr>
        <w:spacing w:after="120" w:before="120" w:line="240" w:lineRule="auto"/>
        <w:ind w:left="1996"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part (a) of the definition of “Intellectual Property Rights</w:t>
      </w:r>
      <w:r w:rsidDel="00000000" w:rsidR="00000000" w:rsidRPr="00000000">
        <w:rPr>
          <w:rFonts w:ascii="Arial" w:cs="Arial" w:eastAsia="Arial" w:hAnsi="Arial"/>
          <w:i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the words</w:t>
      </w:r>
      <w:r w:rsidDel="00000000" w:rsidR="00000000" w:rsidRPr="00000000">
        <w:rPr>
          <w:rFonts w:ascii="Arial" w:cs="Arial" w:eastAsia="Arial" w:hAnsi="Arial"/>
          <w:i w:val="1"/>
          <w:color w:val="000000"/>
          <w:sz w:val="24"/>
          <w:szCs w:val="24"/>
          <w:rtl w:val="0"/>
        </w:rPr>
        <w:t xml:space="preserve"> “Know-How” </w:t>
      </w:r>
      <w:r w:rsidDel="00000000" w:rsidR="00000000" w:rsidRPr="00000000">
        <w:rPr>
          <w:rFonts w:ascii="Arial" w:cs="Arial" w:eastAsia="Arial" w:hAnsi="Arial"/>
          <w:color w:val="000000"/>
          <w:sz w:val="24"/>
          <w:szCs w:val="24"/>
          <w:rtl w:val="0"/>
        </w:rPr>
        <w:t xml:space="preserve">and</w:t>
      </w:r>
      <w:r w:rsidDel="00000000" w:rsidR="00000000" w:rsidRPr="00000000">
        <w:rPr>
          <w:rFonts w:ascii="Arial" w:cs="Arial" w:eastAsia="Arial" w:hAnsi="Arial"/>
          <w:i w:val="1"/>
          <w:color w:val="000000"/>
          <w:sz w:val="24"/>
          <w:szCs w:val="24"/>
          <w:rtl w:val="0"/>
        </w:rPr>
        <w:t xml:space="preserve"> “trade secrets” </w:t>
      </w:r>
      <w:r w:rsidDel="00000000" w:rsidR="00000000" w:rsidRPr="00000000">
        <w:rPr>
          <w:rFonts w:ascii="Arial" w:cs="Arial" w:eastAsia="Arial" w:hAnsi="Arial"/>
          <w:color w:val="000000"/>
          <w:sz w:val="24"/>
          <w:szCs w:val="24"/>
          <w:rtl w:val="0"/>
        </w:rPr>
        <w:t xml:space="preserve">refer to pre-existing know-how and trade secrets only</w:t>
      </w:r>
      <w:r w:rsidDel="00000000" w:rsidR="00000000" w:rsidRPr="00000000">
        <w:rPr>
          <w:rFonts w:ascii="Arial" w:cs="Arial" w:eastAsia="Arial" w:hAnsi="Arial"/>
          <w:i w:val="1"/>
          <w:color w:val="000000"/>
          <w:sz w:val="24"/>
          <w:szCs w:val="24"/>
          <w:rtl w:val="0"/>
        </w:rPr>
        <w:t xml:space="preserve">. </w:t>
      </w:r>
      <w:r w:rsidDel="00000000" w:rsidR="00000000" w:rsidRPr="00000000">
        <w:rPr>
          <w:rtl w:val="0"/>
        </w:rPr>
      </w:r>
    </w:p>
    <w:p w:rsidR="00000000" w:rsidDel="00000000" w:rsidP="00000000" w:rsidRDefault="00000000" w:rsidRPr="00000000" w14:paraId="00000016">
      <w:pPr>
        <w:numPr>
          <w:ilvl w:val="2"/>
          <w:numId w:val="1"/>
        </w:numPr>
        <w:pBdr>
          <w:top w:space="0" w:sz="0" w:val="nil"/>
          <w:left w:space="0" w:sz="0" w:val="nil"/>
          <w:bottom w:space="0" w:sz="0" w:val="nil"/>
          <w:right w:space="0" w:sz="0" w:val="nil"/>
          <w:between w:space="0" w:sz="0" w:val="nil"/>
        </w:pBdr>
        <w:spacing w:after="120" w:before="120" w:line="240" w:lineRule="auto"/>
        <w:ind w:left="1996"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“Working Day”: reference to “England and Wales” replaced by “Scotland”</w:t>
      </w:r>
    </w:p>
    <w:p w:rsidR="00000000" w:rsidDel="00000000" w:rsidP="00000000" w:rsidRDefault="00000000" w:rsidRPr="00000000" w14:paraId="00000017">
      <w:pPr>
        <w:numPr>
          <w:ilvl w:val="1"/>
          <w:numId w:val="1"/>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a Guarantee is selected, the following provisions of Joint Schedule 8 – Guarantee shall be amended as follows: </w:t>
      </w:r>
    </w:p>
    <w:p w:rsidR="00000000" w:rsidDel="00000000" w:rsidP="00000000" w:rsidRDefault="00000000" w:rsidRPr="00000000" w14:paraId="00000018">
      <w:pPr>
        <w:numPr>
          <w:ilvl w:val="2"/>
          <w:numId w:val="1"/>
        </w:numPr>
        <w:pBdr>
          <w:top w:space="0" w:sz="0" w:val="nil"/>
          <w:left w:space="0" w:sz="0" w:val="nil"/>
          <w:bottom w:space="0" w:sz="0" w:val="nil"/>
          <w:right w:space="0" w:sz="0" w:val="nil"/>
          <w:between w:space="0" w:sz="0" w:val="nil"/>
        </w:pBdr>
        <w:spacing w:after="120" w:before="120" w:line="240" w:lineRule="auto"/>
        <w:ind w:left="1996"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Annex 1 – Form of Guarantee WHEREAS (B) “deed” replaced by “contract”</w:t>
      </w:r>
    </w:p>
    <w:p w:rsidR="00000000" w:rsidDel="00000000" w:rsidP="00000000" w:rsidRDefault="00000000" w:rsidRPr="00000000" w14:paraId="00000019">
      <w:pPr>
        <w:numPr>
          <w:ilvl w:val="2"/>
          <w:numId w:val="1"/>
        </w:numPr>
        <w:pBdr>
          <w:top w:space="0" w:sz="0" w:val="nil"/>
          <w:left w:space="0" w:sz="0" w:val="nil"/>
          <w:bottom w:space="0" w:sz="0" w:val="nil"/>
          <w:right w:space="0" w:sz="0" w:val="nil"/>
          <w:between w:space="0" w:sz="0" w:val="nil"/>
        </w:pBdr>
        <w:spacing w:after="120" w:before="120" w:line="240" w:lineRule="auto"/>
        <w:ind w:left="1996"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Throughout the whole Schedule delete all references to “deed of Guarantee” merely express as “Guarantee” </w:t>
      </w:r>
    </w:p>
    <w:p w:rsidR="00000000" w:rsidDel="00000000" w:rsidP="00000000" w:rsidRDefault="00000000" w:rsidRPr="00000000" w14:paraId="0000001A">
      <w:pPr>
        <w:numPr>
          <w:ilvl w:val="2"/>
          <w:numId w:val="1"/>
        </w:numPr>
        <w:pBdr>
          <w:top w:space="0" w:sz="0" w:val="nil"/>
          <w:left w:space="0" w:sz="0" w:val="nil"/>
          <w:bottom w:space="0" w:sz="0" w:val="nil"/>
          <w:right w:space="0" w:sz="0" w:val="nil"/>
          <w:between w:space="0" w:sz="0" w:val="nil"/>
        </w:pBdr>
        <w:spacing w:after="120" w:before="120" w:line="240" w:lineRule="auto"/>
        <w:ind w:left="1996" w:hanging="720"/>
        <w:rPr>
          <w:rFonts w:ascii="Arial" w:cs="Arial" w:eastAsia="Arial" w:hAnsi="Arial"/>
          <w:color w:val="000000"/>
          <w:sz w:val="24"/>
          <w:szCs w:val="24"/>
        </w:rPr>
      </w:pPr>
      <w:bookmarkStart w:colFirst="0" w:colLast="0" w:name="_heading=h.3znysh7" w:id="2"/>
      <w:bookmarkEnd w:id="2"/>
      <w:r w:rsidDel="00000000" w:rsidR="00000000" w:rsidRPr="00000000">
        <w:rPr>
          <w:rFonts w:ascii="Arial" w:cs="Arial" w:eastAsia="Arial" w:hAnsi="Arial"/>
          <w:color w:val="000000"/>
          <w:sz w:val="24"/>
          <w:szCs w:val="24"/>
          <w:rtl w:val="0"/>
        </w:rPr>
        <w:t xml:space="preserve">Clause 4.1 Delete references to “England and Wales” when referring to addresses.</w:t>
      </w:r>
    </w:p>
    <w:p w:rsidR="00000000" w:rsidDel="00000000" w:rsidP="00000000" w:rsidRDefault="00000000" w:rsidRPr="00000000" w14:paraId="0000001B">
      <w:pPr>
        <w:numPr>
          <w:ilvl w:val="2"/>
          <w:numId w:val="1"/>
        </w:numPr>
        <w:pBdr>
          <w:top w:space="0" w:sz="0" w:val="nil"/>
          <w:left w:space="0" w:sz="0" w:val="nil"/>
          <w:bottom w:space="0" w:sz="0" w:val="nil"/>
          <w:right w:space="0" w:sz="0" w:val="nil"/>
          <w:between w:space="0" w:sz="0" w:val="nil"/>
        </w:pBdr>
        <w:spacing w:after="120" w:before="120" w:line="240" w:lineRule="auto"/>
        <w:ind w:left="1996"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Clause 12 – the word “</w:t>
      </w:r>
      <w:r w:rsidDel="00000000" w:rsidR="00000000" w:rsidRPr="00000000">
        <w:rPr>
          <w:rFonts w:ascii="Arial" w:cs="Arial" w:eastAsia="Arial" w:hAnsi="Arial"/>
          <w:i w:val="1"/>
          <w:color w:val="000000"/>
          <w:sz w:val="24"/>
          <w:szCs w:val="24"/>
          <w:rtl w:val="0"/>
        </w:rPr>
        <w:t xml:space="preserve">assignment” </w:t>
      </w:r>
      <w:r w:rsidDel="00000000" w:rsidR="00000000" w:rsidRPr="00000000">
        <w:rPr>
          <w:rFonts w:ascii="Arial" w:cs="Arial" w:eastAsia="Arial" w:hAnsi="Arial"/>
          <w:color w:val="000000"/>
          <w:sz w:val="24"/>
          <w:szCs w:val="24"/>
          <w:rtl w:val="0"/>
        </w:rPr>
        <w:t xml:space="preserve">shall be amended to “assignation”.</w:t>
      </w:r>
    </w:p>
    <w:p w:rsidR="00000000" w:rsidDel="00000000" w:rsidP="00000000" w:rsidRDefault="00000000" w:rsidRPr="00000000" w14:paraId="0000001C">
      <w:pPr>
        <w:numPr>
          <w:ilvl w:val="2"/>
          <w:numId w:val="1"/>
        </w:numPr>
        <w:pBdr>
          <w:top w:space="0" w:sz="0" w:val="nil"/>
          <w:left w:space="0" w:sz="0" w:val="nil"/>
          <w:bottom w:space="0" w:sz="0" w:val="nil"/>
          <w:right w:space="0" w:sz="0" w:val="nil"/>
          <w:between w:space="0" w:sz="0" w:val="nil"/>
        </w:pBdr>
        <w:spacing w:after="120" w:before="120" w:line="240" w:lineRule="auto"/>
        <w:ind w:left="1996"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Clause 14 – “</w:t>
      </w:r>
      <w:r w:rsidDel="00000000" w:rsidR="00000000" w:rsidRPr="00000000">
        <w:rPr>
          <w:rFonts w:ascii="Arial" w:cs="Arial" w:eastAsia="Arial" w:hAnsi="Arial"/>
          <w:i w:val="1"/>
          <w:color w:val="000000"/>
          <w:sz w:val="24"/>
          <w:szCs w:val="24"/>
          <w:rtl w:val="0"/>
        </w:rPr>
        <w:t xml:space="preserve">Contract (Rights of Third Parties) Act 1999</w:t>
      </w:r>
      <w:r w:rsidDel="00000000" w:rsidR="00000000" w:rsidRPr="00000000">
        <w:rPr>
          <w:rFonts w:ascii="Arial" w:cs="Arial" w:eastAsia="Arial" w:hAnsi="Arial"/>
          <w:color w:val="000000"/>
          <w:sz w:val="24"/>
          <w:szCs w:val="24"/>
          <w:rtl w:val="0"/>
        </w:rPr>
        <w:t xml:space="preserve">” shall be amended to “</w:t>
      </w:r>
      <w:r w:rsidDel="00000000" w:rsidR="00000000" w:rsidRPr="00000000">
        <w:rPr>
          <w:rFonts w:ascii="Arial" w:cs="Arial" w:eastAsia="Arial" w:hAnsi="Arial"/>
          <w:i w:val="1"/>
          <w:color w:val="000000"/>
          <w:sz w:val="24"/>
          <w:szCs w:val="24"/>
          <w:rtl w:val="0"/>
        </w:rPr>
        <w:t xml:space="preserve">Contract (Third Party Rights) (Scotland) Act 2017</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1D">
      <w:pPr>
        <w:numPr>
          <w:ilvl w:val="2"/>
          <w:numId w:val="1"/>
        </w:numPr>
        <w:pBdr>
          <w:top w:space="0" w:sz="0" w:val="nil"/>
          <w:left w:space="0" w:sz="0" w:val="nil"/>
          <w:bottom w:space="0" w:sz="0" w:val="nil"/>
          <w:right w:space="0" w:sz="0" w:val="nil"/>
          <w:between w:space="0" w:sz="0" w:val="nil"/>
        </w:pBdr>
        <w:spacing w:after="120" w:before="120" w:line="240" w:lineRule="auto"/>
        <w:ind w:left="1996"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Clause 16 Governing Law (add “and Jurisdiction”). References to </w:t>
      </w:r>
      <w:r w:rsidDel="00000000" w:rsidR="00000000" w:rsidRPr="00000000">
        <w:rPr>
          <w:rFonts w:ascii="Arial" w:cs="Arial" w:eastAsia="Arial" w:hAnsi="Arial"/>
          <w:i w:val="1"/>
          <w:color w:val="000000"/>
          <w:sz w:val="24"/>
          <w:szCs w:val="24"/>
          <w:rtl w:val="0"/>
        </w:rPr>
        <w:t xml:space="preserve">“Courts of England”</w:t>
      </w:r>
      <w:r w:rsidDel="00000000" w:rsidR="00000000" w:rsidRPr="00000000">
        <w:rPr>
          <w:rFonts w:ascii="Arial" w:cs="Arial" w:eastAsia="Arial" w:hAnsi="Arial"/>
          <w:color w:val="000000"/>
          <w:sz w:val="24"/>
          <w:szCs w:val="24"/>
          <w:rtl w:val="0"/>
        </w:rPr>
        <w:t xml:space="preserve"> to be replaced by </w:t>
      </w:r>
      <w:r w:rsidDel="00000000" w:rsidR="00000000" w:rsidRPr="00000000">
        <w:rPr>
          <w:rFonts w:ascii="Arial" w:cs="Arial" w:eastAsia="Arial" w:hAnsi="Arial"/>
          <w:i w:val="1"/>
          <w:color w:val="000000"/>
          <w:sz w:val="24"/>
          <w:szCs w:val="24"/>
          <w:rtl w:val="0"/>
        </w:rPr>
        <w:t xml:space="preserve">“Court of Session”.</w:t>
      </w:r>
      <w:r w:rsidDel="00000000" w:rsidR="00000000" w:rsidRPr="00000000">
        <w:rPr>
          <w:rFonts w:ascii="Arial" w:cs="Arial" w:eastAsia="Arial" w:hAnsi="Arial"/>
          <w:color w:val="000000"/>
          <w:sz w:val="24"/>
          <w:szCs w:val="24"/>
          <w:rtl w:val="0"/>
        </w:rPr>
        <w:t xml:space="preserve"> References to </w:t>
      </w:r>
      <w:r w:rsidDel="00000000" w:rsidR="00000000" w:rsidRPr="00000000">
        <w:rPr>
          <w:rFonts w:ascii="Arial" w:cs="Arial" w:eastAsia="Arial" w:hAnsi="Arial"/>
          <w:i w:val="1"/>
          <w:color w:val="000000"/>
          <w:sz w:val="24"/>
          <w:szCs w:val="24"/>
          <w:rtl w:val="0"/>
        </w:rPr>
        <w:t xml:space="preserve">“English”</w:t>
      </w:r>
      <w:r w:rsidDel="00000000" w:rsidR="00000000" w:rsidRPr="00000000">
        <w:rPr>
          <w:rFonts w:ascii="Arial" w:cs="Arial" w:eastAsia="Arial" w:hAnsi="Arial"/>
          <w:color w:val="000000"/>
          <w:sz w:val="24"/>
          <w:szCs w:val="24"/>
          <w:rtl w:val="0"/>
        </w:rPr>
        <w:t xml:space="preserve"> to be replaced by </w:t>
      </w:r>
      <w:r w:rsidDel="00000000" w:rsidR="00000000" w:rsidRPr="00000000">
        <w:rPr>
          <w:rFonts w:ascii="Arial" w:cs="Arial" w:eastAsia="Arial" w:hAnsi="Arial"/>
          <w:i w:val="1"/>
          <w:color w:val="000000"/>
          <w:sz w:val="24"/>
          <w:szCs w:val="24"/>
          <w:rtl w:val="0"/>
        </w:rPr>
        <w:t xml:space="preserve">“Scottish”</w:t>
      </w:r>
      <w:r w:rsidDel="00000000" w:rsidR="00000000" w:rsidRPr="00000000">
        <w:rPr>
          <w:rFonts w:ascii="Arial" w:cs="Arial" w:eastAsia="Arial" w:hAnsi="Arial"/>
          <w:color w:val="000000"/>
          <w:sz w:val="24"/>
          <w:szCs w:val="24"/>
          <w:rtl w:val="0"/>
        </w:rPr>
        <w:t xml:space="preserve">. References to “</w:t>
      </w:r>
      <w:r w:rsidDel="00000000" w:rsidR="00000000" w:rsidRPr="00000000">
        <w:rPr>
          <w:rFonts w:ascii="Arial" w:cs="Arial" w:eastAsia="Arial" w:hAnsi="Arial"/>
          <w:i w:val="1"/>
          <w:color w:val="000000"/>
          <w:sz w:val="24"/>
          <w:szCs w:val="24"/>
          <w:rtl w:val="0"/>
        </w:rPr>
        <w:t xml:space="preserve">England and Wales</w:t>
      </w:r>
      <w:r w:rsidDel="00000000" w:rsidR="00000000" w:rsidRPr="00000000">
        <w:rPr>
          <w:rFonts w:ascii="Arial" w:cs="Arial" w:eastAsia="Arial" w:hAnsi="Arial"/>
          <w:color w:val="000000"/>
          <w:sz w:val="24"/>
          <w:szCs w:val="24"/>
          <w:rtl w:val="0"/>
        </w:rPr>
        <w:t xml:space="preserve">” to be replaced by “</w:t>
      </w:r>
      <w:r w:rsidDel="00000000" w:rsidR="00000000" w:rsidRPr="00000000">
        <w:rPr>
          <w:rFonts w:ascii="Arial" w:cs="Arial" w:eastAsia="Arial" w:hAnsi="Arial"/>
          <w:i w:val="1"/>
          <w:color w:val="000000"/>
          <w:sz w:val="24"/>
          <w:szCs w:val="24"/>
          <w:rtl w:val="0"/>
        </w:rPr>
        <w:t xml:space="preserve">Scotland</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1E">
      <w:pPr>
        <w:numPr>
          <w:ilvl w:val="2"/>
          <w:numId w:val="1"/>
        </w:numPr>
        <w:pBdr>
          <w:top w:space="0" w:sz="0" w:val="nil"/>
          <w:left w:space="0" w:sz="0" w:val="nil"/>
          <w:bottom w:space="0" w:sz="0" w:val="nil"/>
          <w:right w:space="0" w:sz="0" w:val="nil"/>
          <w:between w:space="0" w:sz="0" w:val="nil"/>
        </w:pBdr>
        <w:spacing w:after="120" w:before="120" w:line="240" w:lineRule="auto"/>
        <w:ind w:left="1996"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Alter execution strip to read as follows:</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142"/>
        </w:tabs>
        <w:spacing w:after="120" w:before="240" w:line="240" w:lineRule="auto"/>
        <w:ind w:left="2160" w:hanging="720"/>
        <w:rPr>
          <w:rFonts w:ascii="Arial" w:cs="Arial" w:eastAsia="Arial" w:hAnsi="Arial"/>
          <w:i w:val="1"/>
          <w:smallCaps w:val="1"/>
          <w:color w:val="000000"/>
          <w:sz w:val="24"/>
          <w:szCs w:val="24"/>
        </w:rPr>
      </w:pPr>
      <w:r w:rsidDel="00000000" w:rsidR="00000000" w:rsidRPr="00000000">
        <w:rPr>
          <w:rFonts w:ascii="Arial" w:cs="Arial" w:eastAsia="Arial" w:hAnsi="Arial"/>
          <w:i w:val="1"/>
          <w:smallCaps w:val="1"/>
          <w:color w:val="000000"/>
          <w:sz w:val="24"/>
          <w:szCs w:val="24"/>
          <w:rtl w:val="0"/>
        </w:rPr>
        <w:t xml:space="preserve">“IN WITNESS WHEREOF these presents consisting of this page and the [ ] preceding pages are executed in duplicate as follows:</w:t>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142"/>
        </w:tabs>
        <w:spacing w:after="120" w:before="240" w:line="240" w:lineRule="auto"/>
        <w:ind w:left="2880" w:hanging="720"/>
        <w:rPr>
          <w:rFonts w:ascii="Arial" w:cs="Arial" w:eastAsia="Arial" w:hAnsi="Arial"/>
          <w:i w:val="1"/>
          <w:smallCaps w:val="1"/>
          <w:color w:val="000000"/>
          <w:sz w:val="24"/>
          <w:szCs w:val="24"/>
        </w:rPr>
      </w:pPr>
      <w:r w:rsidDel="00000000" w:rsidR="00000000" w:rsidRPr="00000000">
        <w:rPr>
          <w:rFonts w:ascii="Arial" w:cs="Arial" w:eastAsia="Arial" w:hAnsi="Arial"/>
          <w:i w:val="1"/>
          <w:smallCaps w:val="1"/>
          <w:color w:val="000000"/>
          <w:sz w:val="24"/>
          <w:szCs w:val="24"/>
          <w:rtl w:val="0"/>
        </w:rPr>
        <w:t xml:space="preserve">SIGNATURE:</w:t>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142"/>
        </w:tabs>
        <w:spacing w:after="120" w:before="240" w:line="240" w:lineRule="auto"/>
        <w:ind w:left="2880" w:hanging="720"/>
        <w:rPr>
          <w:rFonts w:ascii="Arial" w:cs="Arial" w:eastAsia="Arial" w:hAnsi="Arial"/>
          <w:i w:val="1"/>
          <w:smallCaps w:val="1"/>
          <w:color w:val="000000"/>
          <w:sz w:val="24"/>
          <w:szCs w:val="24"/>
        </w:rPr>
      </w:pPr>
      <w:r w:rsidDel="00000000" w:rsidR="00000000" w:rsidRPr="00000000">
        <w:rPr>
          <w:rFonts w:ascii="Arial" w:cs="Arial" w:eastAsia="Arial" w:hAnsi="Arial"/>
          <w:i w:val="1"/>
          <w:smallCaps w:val="1"/>
          <w:color w:val="000000"/>
          <w:sz w:val="24"/>
          <w:szCs w:val="24"/>
          <w:rtl w:val="0"/>
        </w:rPr>
        <w:t xml:space="preserve">Name: </w:t>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142"/>
        </w:tabs>
        <w:spacing w:after="120" w:before="240" w:line="240" w:lineRule="auto"/>
        <w:ind w:left="2880" w:hanging="720"/>
        <w:rPr>
          <w:rFonts w:ascii="Arial" w:cs="Arial" w:eastAsia="Arial" w:hAnsi="Arial"/>
          <w:i w:val="1"/>
          <w:smallCaps w:val="1"/>
          <w:color w:val="000000"/>
          <w:sz w:val="24"/>
          <w:szCs w:val="24"/>
        </w:rPr>
      </w:pPr>
      <w:r w:rsidDel="00000000" w:rsidR="00000000" w:rsidRPr="00000000">
        <w:rPr>
          <w:rFonts w:ascii="Arial" w:cs="Arial" w:eastAsia="Arial" w:hAnsi="Arial"/>
          <w:i w:val="1"/>
          <w:smallCaps w:val="1"/>
          <w:color w:val="000000"/>
          <w:sz w:val="24"/>
          <w:szCs w:val="24"/>
          <w:rtl w:val="0"/>
        </w:rPr>
        <w:t xml:space="preserve">Position:</w:t>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142"/>
        </w:tabs>
        <w:spacing w:after="120" w:before="240" w:line="240" w:lineRule="auto"/>
        <w:ind w:left="2880" w:hanging="720"/>
        <w:rPr>
          <w:rFonts w:ascii="Arial" w:cs="Arial" w:eastAsia="Arial" w:hAnsi="Arial"/>
          <w:i w:val="1"/>
          <w:smallCaps w:val="1"/>
          <w:color w:val="000000"/>
          <w:sz w:val="24"/>
          <w:szCs w:val="24"/>
        </w:rPr>
      </w:pPr>
      <w:r w:rsidDel="00000000" w:rsidR="00000000" w:rsidRPr="00000000">
        <w:rPr>
          <w:rFonts w:ascii="Arial" w:cs="Arial" w:eastAsia="Arial" w:hAnsi="Arial"/>
          <w:i w:val="1"/>
          <w:smallCaps w:val="1"/>
          <w:color w:val="000000"/>
          <w:sz w:val="24"/>
          <w:szCs w:val="24"/>
          <w:rtl w:val="0"/>
        </w:rPr>
        <w:t xml:space="preserve">Place of signing:</w:t>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142"/>
        </w:tabs>
        <w:spacing w:after="120" w:before="240" w:line="240" w:lineRule="auto"/>
        <w:ind w:left="2880" w:hanging="720"/>
        <w:rPr>
          <w:rFonts w:ascii="Arial" w:cs="Arial" w:eastAsia="Arial" w:hAnsi="Arial"/>
          <w:i w:val="1"/>
          <w:smallCaps w:val="1"/>
          <w:color w:val="000000"/>
          <w:sz w:val="24"/>
          <w:szCs w:val="24"/>
        </w:rPr>
      </w:pPr>
      <w:r w:rsidDel="00000000" w:rsidR="00000000" w:rsidRPr="00000000">
        <w:rPr>
          <w:rFonts w:ascii="Arial" w:cs="Arial" w:eastAsia="Arial" w:hAnsi="Arial"/>
          <w:i w:val="1"/>
          <w:smallCaps w:val="1"/>
          <w:color w:val="000000"/>
          <w:sz w:val="24"/>
          <w:szCs w:val="24"/>
          <w:rtl w:val="0"/>
        </w:rPr>
        <w:t xml:space="preserve">Date:</w:t>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142"/>
        </w:tabs>
        <w:spacing w:after="120" w:before="240" w:line="240" w:lineRule="auto"/>
        <w:ind w:left="2880" w:hanging="720"/>
        <w:rPr>
          <w:rFonts w:ascii="Arial" w:cs="Arial" w:eastAsia="Arial" w:hAnsi="Arial"/>
          <w:i w:val="1"/>
          <w:smallCaps w:val="1"/>
          <w:color w:val="000000"/>
          <w:sz w:val="24"/>
          <w:szCs w:val="24"/>
        </w:rPr>
      </w:pPr>
      <w:r w:rsidDel="00000000" w:rsidR="00000000" w:rsidRPr="00000000">
        <w:rPr>
          <w:rFonts w:ascii="Arial" w:cs="Arial" w:eastAsia="Arial" w:hAnsi="Arial"/>
          <w:i w:val="1"/>
          <w:smallCaps w:val="1"/>
          <w:color w:val="000000"/>
          <w:sz w:val="24"/>
          <w:szCs w:val="24"/>
          <w:rtl w:val="0"/>
        </w:rPr>
        <w:t xml:space="preserve">Witness:</w:t>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142"/>
        </w:tabs>
        <w:spacing w:after="120" w:before="240" w:line="240" w:lineRule="auto"/>
        <w:ind w:left="2880" w:hanging="720"/>
        <w:rPr>
          <w:rFonts w:ascii="Arial" w:cs="Arial" w:eastAsia="Arial" w:hAnsi="Arial"/>
          <w:i w:val="1"/>
          <w:smallCaps w:val="1"/>
          <w:color w:val="000000"/>
          <w:sz w:val="24"/>
          <w:szCs w:val="24"/>
        </w:rPr>
      </w:pPr>
      <w:r w:rsidDel="00000000" w:rsidR="00000000" w:rsidRPr="00000000">
        <w:rPr>
          <w:rFonts w:ascii="Arial" w:cs="Arial" w:eastAsia="Arial" w:hAnsi="Arial"/>
          <w:i w:val="1"/>
          <w:smallCaps w:val="1"/>
          <w:color w:val="000000"/>
          <w:sz w:val="24"/>
          <w:szCs w:val="24"/>
          <w:rtl w:val="0"/>
        </w:rPr>
        <w:t xml:space="preserve">Witness name:</w:t>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142"/>
        </w:tabs>
        <w:spacing w:after="120" w:before="240" w:line="240" w:lineRule="auto"/>
        <w:ind w:left="2880" w:hanging="720"/>
        <w:rPr>
          <w:rFonts w:ascii="Arial" w:cs="Arial" w:eastAsia="Arial" w:hAnsi="Arial"/>
          <w:i w:val="1"/>
          <w:smallCaps w:val="1"/>
          <w:color w:val="000000"/>
          <w:sz w:val="24"/>
          <w:szCs w:val="24"/>
        </w:rPr>
      </w:pPr>
      <w:r w:rsidDel="00000000" w:rsidR="00000000" w:rsidRPr="00000000">
        <w:rPr>
          <w:rFonts w:ascii="Arial" w:cs="Arial" w:eastAsia="Arial" w:hAnsi="Arial"/>
          <w:i w:val="1"/>
          <w:smallCaps w:val="1"/>
          <w:color w:val="000000"/>
          <w:sz w:val="24"/>
          <w:szCs w:val="24"/>
          <w:rtl w:val="0"/>
        </w:rPr>
        <w:t xml:space="preserve">Witness address:”</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120" w:before="120" w:line="240" w:lineRule="auto"/>
        <w:ind w:left="1996" w:hanging="72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9">
      <w:pPr>
        <w:numPr>
          <w:ilvl w:val="0"/>
          <w:numId w:val="1"/>
        </w:numPr>
        <w:pBdr>
          <w:top w:space="0" w:sz="0" w:val="nil"/>
          <w:left w:space="0" w:sz="0" w:val="nil"/>
          <w:bottom w:space="0" w:sz="0" w:val="nil"/>
          <w:right w:space="0" w:sz="0" w:val="nil"/>
          <w:between w:space="0" w:sz="0" w:val="nil"/>
        </w:pBdr>
        <w:tabs>
          <w:tab w:val="left" w:leader="none" w:pos="142"/>
        </w:tabs>
        <w:spacing w:after="120" w:before="240" w:line="240" w:lineRule="auto"/>
        <w:ind w:left="720" w:hanging="72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Changes to Call-Off Schedules</w:t>
      </w:r>
    </w:p>
    <w:p w:rsidR="00000000" w:rsidDel="00000000" w:rsidP="00000000" w:rsidRDefault="00000000" w:rsidRPr="00000000" w14:paraId="0000002A">
      <w:pPr>
        <w:ind w:left="708" w:firstLine="0"/>
        <w:rPr/>
      </w:pPr>
      <w:r w:rsidDel="00000000" w:rsidR="00000000" w:rsidRPr="00000000">
        <w:rPr>
          <w:rFonts w:ascii="Arial" w:cs="Arial" w:eastAsia="Arial" w:hAnsi="Arial"/>
          <w:b w:val="1"/>
          <w:highlight w:val="yellow"/>
          <w:rtl w:val="0"/>
        </w:rPr>
        <w:t xml:space="preserve">[Buyer Guidance</w:t>
      </w:r>
      <w:r w:rsidDel="00000000" w:rsidR="00000000" w:rsidRPr="00000000">
        <w:rPr>
          <w:rFonts w:ascii="Arial" w:cs="Arial" w:eastAsia="Arial" w:hAnsi="Arial"/>
          <w:rtl w:val="0"/>
        </w:rPr>
        <w:t xml:space="preserve"> Insert any amendments to the Call-Off schedules where Scottish Law applies]</w:t>
      </w:r>
      <w:r w:rsidDel="00000000" w:rsidR="00000000" w:rsidRPr="00000000">
        <w:rPr>
          <w:rtl w:val="0"/>
        </w:rPr>
      </w:r>
    </w:p>
    <w:p w:rsidR="00000000" w:rsidDel="00000000" w:rsidP="00000000" w:rsidRDefault="00000000" w:rsidRPr="00000000" w14:paraId="0000002B">
      <w:pPr>
        <w:numPr>
          <w:ilvl w:val="0"/>
          <w:numId w:val="1"/>
        </w:numPr>
        <w:pBdr>
          <w:top w:space="0" w:sz="0" w:val="nil"/>
          <w:left w:space="0" w:sz="0" w:val="nil"/>
          <w:bottom w:space="0" w:sz="0" w:val="nil"/>
          <w:right w:space="0" w:sz="0" w:val="nil"/>
          <w:between w:space="0" w:sz="0" w:val="nil"/>
        </w:pBdr>
        <w:tabs>
          <w:tab w:val="left" w:leader="none" w:pos="142"/>
        </w:tabs>
        <w:spacing w:after="120" w:before="240" w:line="240" w:lineRule="auto"/>
        <w:ind w:left="720" w:hanging="72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References to Legislation</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120" w:before="120" w:line="240" w:lineRule="auto"/>
        <w:ind w:left="720" w:hanging="1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legislation applicable to England and Wales only is expressly mentioned in this Call Off Contract it shall have the effect of substituting the equivalent legislation applicable in Scotland. </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120" w:before="120" w:line="240" w:lineRule="auto"/>
        <w:ind w:left="1996" w:hanging="720"/>
        <w:rPr>
          <w:rFonts w:ascii="Arial" w:cs="Arial" w:eastAsia="Arial" w:hAnsi="Arial"/>
          <w:color w:val="000000"/>
          <w:sz w:val="24"/>
          <w:szCs w:val="24"/>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tabs>
        <w:tab w:val="center" w:leader="none" w:pos="4513"/>
        <w:tab w:val="right" w:leader="none" w:pos="9026"/>
      </w:tabs>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7">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RM6331</w:t>
    </w:r>
  </w:p>
  <w:p w:rsidR="00000000" w:rsidDel="00000000" w:rsidP="00000000" w:rsidRDefault="00000000" w:rsidRPr="00000000" w14:paraId="00000038">
    <w:pPr>
      <w:tabs>
        <w:tab w:val="center" w:leader="none" w:pos="4513"/>
        <w:tab w:val="right" w:leader="none" w:pos="9026"/>
      </w:tabs>
      <w:spacing w:after="0" w:lineRule="auto"/>
      <w:rPr>
        <w:rFonts w:ascii="Arial" w:cs="Arial" w:eastAsia="Arial" w:hAnsi="Arial"/>
        <w:sz w:val="20"/>
        <w:szCs w:val="20"/>
      </w:rPr>
    </w:pPr>
    <w:bookmarkStart w:colFirst="0" w:colLast="0" w:name="_heading=h.30j0zll" w:id="3"/>
    <w:bookmarkEnd w:id="3"/>
    <w:r w:rsidDel="00000000" w:rsidR="00000000" w:rsidRPr="00000000">
      <w:rPr>
        <w:rFonts w:ascii="Arial" w:cs="Arial" w:eastAsia="Arial" w:hAnsi="Arial"/>
        <w:sz w:val="20"/>
        <w:szCs w:val="20"/>
        <w:rtl w:val="0"/>
      </w:rPr>
      <w:t xml:space="preserve">Project Version: v1.0</w:t>
      <w:tab/>
      <w:tab/>
      <w:t xml:space="preserve"> </w:t>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Fonts w:ascii="Arial" w:cs="Arial" w:eastAsia="Arial" w:hAnsi="Arial"/>
        <w:color w:val="000000"/>
        <w:sz w:val="20"/>
        <w:szCs w:val="20"/>
        <w:rtl w:val="0"/>
      </w:rPr>
      <w:t xml:space="preserve">Model Version: v1.0</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Call-Off Schedule 19 (Scottish Law)</w:t>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Call-Off Ref:</w:t>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Crown Copyright 2018</w:t>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720"/>
      </w:pPr>
      <w:rPr>
        <w:rFonts w:ascii="Arial" w:cs="Arial" w:eastAsia="Arial" w:hAnsi="Arial"/>
        <w:b w:val="1"/>
        <w:i w:val="0"/>
        <w:smallCaps w:val="0"/>
        <w:strike w:val="0"/>
        <w:color w:val="000000"/>
        <w:sz w:val="20"/>
        <w:szCs w:val="20"/>
        <w:u w:val="none"/>
        <w:vertAlign w:val="baseline"/>
      </w:rPr>
    </w:lvl>
    <w:lvl w:ilvl="1">
      <w:start w:val="1"/>
      <w:numFmt w:val="decimal"/>
      <w:lvlText w:val="%1.%2"/>
      <w:lvlJc w:val="left"/>
      <w:pPr>
        <w:ind w:left="1440" w:hanging="720"/>
      </w:pPr>
      <w:rPr>
        <w:rFonts w:ascii="Arial" w:cs="Arial" w:eastAsia="Arial" w:hAnsi="Arial"/>
        <w:b w:val="0"/>
        <w:i w:val="0"/>
        <w:smallCaps w:val="0"/>
        <w:strike w:val="0"/>
        <w:color w:val="000000"/>
        <w:sz w:val="22"/>
        <w:szCs w:val="22"/>
        <w:u w:val="none"/>
        <w:vertAlign w:val="baseline"/>
      </w:rPr>
    </w:lvl>
    <w:lvl w:ilvl="2">
      <w:start w:val="1"/>
      <w:numFmt w:val="decimal"/>
      <w:lvlText w:val="%1.%2.%3"/>
      <w:lvlJc w:val="left"/>
      <w:pPr>
        <w:ind w:left="1996" w:hanging="720"/>
      </w:pPr>
      <w:rPr>
        <w:rFonts w:ascii="Arial" w:cs="Arial" w:eastAsia="Arial" w:hAnsi="Arial"/>
        <w:b w:val="0"/>
        <w:i w:val="0"/>
        <w:smallCaps w:val="0"/>
        <w:strike w:val="0"/>
        <w:color w:val="000000"/>
        <w:sz w:val="22"/>
        <w:szCs w:val="22"/>
        <w:u w:val="none"/>
        <w:vertAlign w:val="baseline"/>
      </w:rPr>
    </w:lvl>
    <w:lvl w:ilvl="3">
      <w:start w:val="1"/>
      <w:numFmt w:val="lowerLetter"/>
      <w:lvlText w:val="(%4)"/>
      <w:lvlJc w:val="left"/>
      <w:pPr>
        <w:ind w:left="2880"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rFonts w:cs="Times New Roman"/>
    </w:rPr>
  </w:style>
  <w:style w:type="paragraph" w:styleId="Heading1">
    <w:name w:val="heading 1"/>
    <w:basedOn w:val="Normal"/>
    <w:next w:val="Normal"/>
    <w:link w:val="Heading1Char"/>
    <w:uiPriority w:val="9"/>
    <w:qFormat w:val="1"/>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semiHidden w:val="1"/>
    <w:unhideWhenUsed w:val="1"/>
    <w:qFormat w:val="1"/>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L1CLAUSEHEADING" w:customStyle="1">
    <w:name w:val="GPS L1 CLAUSE HEADING"/>
    <w:basedOn w:val="Normal"/>
    <w:next w:val="Normal"/>
    <w:link w:val="GPSL1CLAUSEHEADINGChar"/>
    <w:qFormat w:val="1"/>
    <w:pPr>
      <w:numPr>
        <w:numId w:val="1"/>
      </w:numPr>
      <w:tabs>
        <w:tab w:val="left" w:pos="142"/>
      </w:tabs>
      <w:adjustRightInd w:val="0"/>
      <w:spacing w:after="120" w:before="240" w:line="240" w:lineRule="auto"/>
      <w:jc w:val="both"/>
      <w:outlineLvl w:val="1"/>
    </w:pPr>
    <w:rPr>
      <w:rFonts w:cs="Arial" w:eastAsia="STZhongsong"/>
      <w:b w:val="1"/>
      <w:caps w:val="1"/>
      <w:lang w:eastAsia="zh-CN"/>
    </w:rPr>
  </w:style>
  <w:style w:type="paragraph" w:styleId="GPSL3numberedclause" w:customStyle="1">
    <w:name w:val="GPS L3 numbered clause"/>
    <w:basedOn w:val="Normal"/>
    <w:link w:val="GPSL3numberedclauseChar"/>
    <w:qFormat w:val="1"/>
    <w:pPr>
      <w:numPr>
        <w:ilvl w:val="2"/>
        <w:numId w:val="1"/>
      </w:numPr>
      <w:adjustRightInd w:val="0"/>
      <w:spacing w:after="120" w:before="120" w:line="240" w:lineRule="auto"/>
      <w:jc w:val="both"/>
    </w:pPr>
    <w:rPr>
      <w:rFonts w:cs="Arial" w:eastAsia="Times New Roman"/>
      <w:lang w:eastAsia="zh-CN"/>
    </w:rPr>
  </w:style>
  <w:style w:type="paragraph" w:styleId="GPSL4numberedclause" w:customStyle="1">
    <w:name w:val="GPS L4 numbered clause"/>
    <w:basedOn w:val="GPSL3numberedclause"/>
    <w:link w:val="GPSL4numberedclauseChar"/>
    <w:qFormat w:val="1"/>
    <w:pPr>
      <w:numPr>
        <w:ilvl w:val="3"/>
      </w:numPr>
      <w:ind w:left="2592" w:hanging="936"/>
    </w:pPr>
  </w:style>
  <w:style w:type="paragraph" w:styleId="GPSL5numberedclause" w:customStyle="1">
    <w:name w:val="GPS L5 numbered clause"/>
    <w:basedOn w:val="GPSL4numberedclause"/>
    <w:link w:val="GPSL5numberedclauseChar"/>
    <w:qFormat w:val="1"/>
    <w:pPr>
      <w:numPr>
        <w:ilvl w:val="4"/>
      </w:numPr>
    </w:pPr>
  </w:style>
  <w:style w:type="paragraph" w:styleId="GPSL2NumberedBoldHeading" w:customStyle="1">
    <w:name w:val="GPS L2 Numbered Bold Heading"/>
    <w:basedOn w:val="Normal"/>
    <w:qFormat w:val="1"/>
    <w:pPr>
      <w:numPr>
        <w:ilvl w:val="1"/>
        <w:numId w:val="1"/>
      </w:numPr>
      <w:adjustRightInd w:val="0"/>
      <w:spacing w:after="120" w:before="120" w:line="240" w:lineRule="auto"/>
      <w:ind w:left="936" w:hanging="576"/>
      <w:jc w:val="both"/>
    </w:pPr>
    <w:rPr>
      <w:rFonts w:cs="Arial" w:eastAsia="Times New Roman"/>
      <w:lang w:eastAsia="zh-CN"/>
    </w:rPr>
  </w:style>
  <w:style w:type="paragraph" w:styleId="GPSL6numbered" w:customStyle="1">
    <w:name w:val="GPS L6 numbered"/>
    <w:basedOn w:val="GPSL5numberedclause"/>
    <w:qFormat w:val="1"/>
    <w:pPr>
      <w:numPr>
        <w:ilvl w:val="5"/>
      </w:numPr>
      <w:tabs>
        <w:tab w:val="num" w:pos="360"/>
        <w:tab w:val="left" w:pos="3686"/>
      </w:tabs>
      <w:ind w:left="3686" w:hanging="567"/>
    </w:pPr>
  </w:style>
  <w:style w:type="character" w:styleId="GPSL3numberedclauseChar" w:customStyle="1">
    <w:name w:val="GPS L3 numbered clause Char"/>
    <w:link w:val="GPSL3numberedclause"/>
    <w:locked w:val="1"/>
    <w:rPr>
      <w:rFonts w:ascii="Calibri" w:cs="Arial" w:eastAsia="Times New Roman" w:hAnsi="Calibri"/>
      <w:lang w:eastAsia="zh-CN"/>
    </w:rPr>
  </w:style>
  <w:style w:type="paragraph" w:styleId="GPSL2numberedclause" w:customStyle="1">
    <w:name w:val="GPS L2 numbered clause"/>
    <w:basedOn w:val="Normal"/>
    <w:link w:val="GPSL2numberedclauseChar1"/>
    <w:qFormat w:val="1"/>
    <w:pPr>
      <w:tabs>
        <w:tab w:val="left" w:pos="1134"/>
      </w:tabs>
      <w:adjustRightInd w:val="0"/>
      <w:spacing w:after="120" w:before="120" w:line="240" w:lineRule="auto"/>
      <w:ind w:left="1134" w:hanging="567"/>
      <w:jc w:val="both"/>
    </w:pPr>
    <w:rPr>
      <w:rFonts w:cs="Arial" w:eastAsia="Times New Roman"/>
      <w:lang w:eastAsia="zh-CN"/>
    </w:rPr>
  </w:style>
  <w:style w:type="character" w:styleId="GPSL2numberedclauseChar1" w:customStyle="1">
    <w:name w:val="GPS L2 numbered clause Char1"/>
    <w:link w:val="GPSL2numberedclause"/>
    <w:rPr>
      <w:rFonts w:ascii="Calibri" w:cs="Arial" w:eastAsia="Times New Roman" w:hAnsi="Calibri"/>
      <w:lang w:eastAsia="zh-CN"/>
    </w:rPr>
  </w:style>
  <w:style w:type="character" w:styleId="GPSL4numberedclauseChar" w:customStyle="1">
    <w:name w:val="GPS L4 numbered clause Char"/>
    <w:link w:val="GPSL4numberedclause"/>
    <w:rPr>
      <w:rFonts w:ascii="Calibri" w:cs="Arial" w:eastAsia="Times New Roman" w:hAnsi="Calibri"/>
      <w:lang w:eastAsia="zh-CN"/>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rPr>
      <w:rFonts w:ascii="Calibri" w:cs="Times New Roman" w:eastAsia="Calibri"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Times New Roman" w:eastAsia="Calibri" w:hAnsi="Calibri"/>
      <w:b w:val="1"/>
      <w:bCs w:val="1"/>
      <w:sz w:val="20"/>
      <w:szCs w:val="20"/>
    </w:rPr>
  </w:style>
  <w:style w:type="paragraph" w:styleId="BalloonText">
    <w:name w:val="Balloon Text"/>
    <w:basedOn w:val="Normal"/>
    <w:link w:val="BalloonTextChar"/>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rPr>
      <w:rFonts w:ascii="Tahoma" w:cs="Tahoma" w:eastAsia="Calibri" w:hAnsi="Tahoma"/>
      <w:sz w:val="16"/>
      <w:szCs w:val="16"/>
    </w:rPr>
  </w:style>
  <w:style w:type="paragraph" w:styleId="GPSmacrorestart" w:customStyle="1">
    <w:name w:val="GPS macro restart"/>
    <w:basedOn w:val="Normal"/>
    <w:qFormat w:val="1"/>
    <w:pPr>
      <w:overflowPunct w:val="0"/>
      <w:autoSpaceDE w:val="0"/>
      <w:autoSpaceDN w:val="0"/>
      <w:adjustRightInd w:val="0"/>
      <w:spacing w:after="0" w:line="240" w:lineRule="auto"/>
      <w:jc w:val="both"/>
      <w:textAlignment w:val="baseline"/>
    </w:pPr>
    <w:rPr>
      <w:rFonts w:ascii="Arial" w:cs="Arial" w:eastAsia="Times New Roman" w:hAnsi="Arial"/>
      <w:color w:val="ffffff"/>
      <w:sz w:val="16"/>
      <w:szCs w:val="16"/>
    </w:rPr>
  </w:style>
  <w:style w:type="character" w:styleId="GPSL1CLAUSEHEADINGChar" w:customStyle="1">
    <w:name w:val="GPS L1 CLAUSE HEADING Char"/>
    <w:link w:val="GPSL1CLAUSEHEADING"/>
    <w:rPr>
      <w:rFonts w:ascii="Calibri" w:cs="Arial" w:eastAsia="STZhongsong" w:hAnsi="Calibri"/>
      <w:b w:val="1"/>
      <w:caps w:val="1"/>
      <w:lang w:eastAsia="zh-CN"/>
    </w:rPr>
  </w:style>
  <w:style w:type="paragraph" w:styleId="GPSSchTitleandNumber" w:customStyle="1">
    <w:name w:val="GPS Sch Title and Number"/>
    <w:basedOn w:val="Normal"/>
    <w:link w:val="GPSSchTitleandNumberChar"/>
    <w:qFormat w:val="1"/>
    <w:pPr>
      <w:keepNext w:val="1"/>
      <w:adjustRightInd w:val="0"/>
      <w:spacing w:after="240" w:line="240" w:lineRule="auto"/>
      <w:jc w:val="center"/>
      <w:outlineLvl w:val="0"/>
    </w:pPr>
    <w:rPr>
      <w:rFonts w:ascii="Arial Bold" w:eastAsia="STZhongsong" w:hAnsi="Arial Bold"/>
      <w:b w:val="1"/>
      <w:caps w:val="1"/>
      <w:lang w:eastAsia="zh-CN"/>
    </w:rPr>
  </w:style>
  <w:style w:type="character" w:styleId="GPSSchTitleandNumberChar" w:customStyle="1">
    <w:name w:val="GPS Sch Title and Number Char"/>
    <w:link w:val="GPSSchTitleandNumber"/>
    <w:rPr>
      <w:rFonts w:ascii="Arial Bold" w:cs="Times New Roman" w:eastAsia="STZhongsong" w:hAnsi="Arial Bold"/>
      <w:b w:val="1"/>
      <w:caps w:val="1"/>
      <w:lang w:eastAsia="zh-CN"/>
    </w:rPr>
  </w:style>
  <w:style w:type="paragraph" w:styleId="GPsDefinition" w:customStyle="1">
    <w:name w:val="GPs Definition"/>
    <w:basedOn w:val="Normal"/>
    <w:qFormat w:val="1"/>
    <w:pPr>
      <w:numPr>
        <w:numId w:val="2"/>
      </w:numPr>
      <w:tabs>
        <w:tab w:val="left" w:pos="-9"/>
      </w:tabs>
      <w:overflowPunct w:val="0"/>
      <w:autoSpaceDE w:val="0"/>
      <w:autoSpaceDN w:val="0"/>
      <w:adjustRightInd w:val="0"/>
      <w:spacing w:after="120" w:line="240" w:lineRule="auto"/>
      <w:jc w:val="both"/>
      <w:textAlignment w:val="baseline"/>
    </w:pPr>
    <w:rPr>
      <w:rFonts w:ascii="Arial" w:cs="Arial" w:eastAsia="Times New Roman" w:hAnsi="Arial"/>
    </w:rPr>
  </w:style>
  <w:style w:type="paragraph" w:styleId="GPSDefinitionL2" w:customStyle="1">
    <w:name w:val="GPS Definition L2"/>
    <w:basedOn w:val="GPsDefinition"/>
    <w:qFormat w:val="1"/>
    <w:pPr>
      <w:numPr>
        <w:ilvl w:val="1"/>
      </w:numPr>
      <w:tabs>
        <w:tab w:val="clear" w:pos="-9"/>
        <w:tab w:val="left" w:pos="144"/>
      </w:tabs>
      <w:ind w:hanging="545"/>
    </w:pPr>
  </w:style>
  <w:style w:type="paragraph" w:styleId="GPSDefinitionL3" w:customStyle="1">
    <w:name w:val="GPS Definition L3"/>
    <w:basedOn w:val="GPSDefinitionL2"/>
    <w:qFormat w:val="1"/>
    <w:pPr>
      <w:numPr>
        <w:ilvl w:val="2"/>
      </w:numPr>
    </w:pPr>
  </w:style>
  <w:style w:type="paragraph" w:styleId="GPSDefinitionL4" w:customStyle="1">
    <w:name w:val="GPS Definition L4"/>
    <w:basedOn w:val="GPSDefinitionL3"/>
    <w:qFormat w:val="1"/>
    <w:pPr>
      <w:numPr>
        <w:ilvl w:val="3"/>
      </w:numPr>
    </w:pPr>
  </w:style>
  <w:style w:type="paragraph" w:styleId="GPSSchAnnexname" w:customStyle="1">
    <w:name w:val="GPS Sch Annex name"/>
    <w:basedOn w:val="GPSSchTitleandNumber"/>
    <w:link w:val="GPSSchAnnexnameChar"/>
    <w:qFormat w:val="1"/>
    <w:pPr>
      <w:outlineLvl w:val="1"/>
    </w:pPr>
    <w:rPr>
      <w:rFonts w:ascii="Calibri" w:hAnsi="Calibri"/>
      <w:sz w:val="20"/>
    </w:rPr>
  </w:style>
  <w:style w:type="paragraph" w:styleId="GPSL1SCHEDULEHeading" w:customStyle="1">
    <w:name w:val="GPS L1 SCHEDULE Heading"/>
    <w:basedOn w:val="GPSL1CLAUSEHEADING"/>
    <w:link w:val="GPSL1SCHEDULEHeadingChar"/>
    <w:qFormat w:val="1"/>
    <w:pPr>
      <w:numPr>
        <w:numId w:val="0"/>
      </w:numPr>
      <w:tabs>
        <w:tab w:val="clear" w:pos="142"/>
        <w:tab w:val="left" w:pos="0"/>
      </w:tabs>
      <w:ind w:left="360" w:hanging="360"/>
      <w:outlineLvl w:val="9"/>
    </w:pPr>
  </w:style>
  <w:style w:type="character" w:styleId="GPSSchAnnexnameChar" w:customStyle="1">
    <w:name w:val="GPS Sch Annex name Char"/>
    <w:link w:val="GPSSchAnnexname"/>
    <w:rPr>
      <w:rFonts w:ascii="Calibri" w:cs="Times New Roman" w:eastAsia="STZhongsong" w:hAnsi="Calibri"/>
      <w:b w:val="1"/>
      <w:caps w:val="1"/>
      <w:sz w:val="20"/>
      <w:lang w:eastAsia="zh-CN"/>
    </w:rPr>
  </w:style>
  <w:style w:type="paragraph" w:styleId="GPSSchPart" w:customStyle="1">
    <w:name w:val="GPS Sch Part"/>
    <w:basedOn w:val="GPSSchAnnexname"/>
    <w:link w:val="GPSSchPartChar"/>
    <w:qFormat w:val="1"/>
    <w:pPr>
      <w:outlineLvl w:val="9"/>
    </w:pPr>
  </w:style>
  <w:style w:type="character" w:styleId="GPSL1SCHEDULEHeadingChar" w:customStyle="1">
    <w:name w:val="GPS L1 SCHEDULE Heading Char"/>
    <w:link w:val="GPSL1SCHEDULEHeading"/>
    <w:rPr>
      <w:rFonts w:ascii="Calibri" w:cs="Arial" w:eastAsia="STZhongsong" w:hAnsi="Calibri"/>
      <w:b w:val="1"/>
      <w:caps w:val="1"/>
      <w:lang w:eastAsia="zh-CN"/>
    </w:rPr>
  </w:style>
  <w:style w:type="character" w:styleId="GPSSchPartChar" w:customStyle="1">
    <w:name w:val="GPS Sch Part Char"/>
    <w:link w:val="GPSSchPart"/>
    <w:rPr>
      <w:rFonts w:ascii="Calibri" w:cs="Times New Roman" w:eastAsia="STZhongsong" w:hAnsi="Calibri"/>
      <w:b w:val="1"/>
      <w:caps w:val="1"/>
      <w:sz w:val="20"/>
      <w:lang w:eastAsia="zh-CN"/>
    </w:rPr>
  </w:style>
  <w:style w:type="paragraph" w:styleId="BodyTextIndent">
    <w:name w:val="Body Text Indent"/>
    <w:basedOn w:val="Normal"/>
    <w:link w:val="BodyTextIndentChar"/>
    <w:pPr>
      <w:tabs>
        <w:tab w:val="num" w:pos="720"/>
      </w:tabs>
      <w:adjustRightInd w:val="0"/>
      <w:spacing w:after="240" w:line="240" w:lineRule="auto"/>
      <w:ind w:left="720" w:hanging="720"/>
      <w:jc w:val="both"/>
    </w:pPr>
    <w:rPr>
      <w:rFonts w:eastAsia="Times New Roman"/>
      <w:lang w:eastAsia="zh-CN"/>
    </w:rPr>
  </w:style>
  <w:style w:type="character" w:styleId="BodyTextIndentChar" w:customStyle="1">
    <w:name w:val="Body Text Indent Char"/>
    <w:basedOn w:val="DefaultParagraphFont"/>
    <w:link w:val="BodyTextIndent"/>
    <w:rPr>
      <w:rFonts w:cs="Times New Roman" w:eastAsia="Times New Roman"/>
      <w:lang w:eastAsia="zh-CN"/>
    </w:rPr>
  </w:style>
  <w:style w:type="character" w:styleId="GPSL5numberedclauseChar" w:customStyle="1">
    <w:name w:val="GPS L5 numbered clause Char"/>
    <w:link w:val="GPSL5numberedclause"/>
    <w:locked w:val="1"/>
    <w:rPr>
      <w:rFonts w:ascii="Calibri" w:cs="Arial" w:eastAsia="Times New Roman" w:hAnsi="Calibri"/>
      <w:lang w:eastAsia="zh-CN"/>
    </w:rPr>
  </w:style>
  <w:style w:type="paragraph" w:styleId="GPSL2Indent" w:customStyle="1">
    <w:name w:val="GPS L2 Indent"/>
    <w:basedOn w:val="Normal"/>
    <w:link w:val="GPSL2IndentChar"/>
    <w:qFormat w:val="1"/>
    <w:pPr>
      <w:tabs>
        <w:tab w:val="left" w:pos="3402"/>
      </w:tabs>
      <w:overflowPunct w:val="0"/>
      <w:autoSpaceDE w:val="0"/>
      <w:autoSpaceDN w:val="0"/>
      <w:adjustRightInd w:val="0"/>
      <w:spacing w:after="220" w:line="240" w:lineRule="auto"/>
      <w:ind w:left="1134"/>
      <w:jc w:val="both"/>
      <w:textAlignment w:val="baseline"/>
    </w:pPr>
    <w:rPr>
      <w:rFonts w:cs="Arial" w:eastAsia="Times New Roman"/>
      <w:szCs w:val="24"/>
    </w:rPr>
  </w:style>
  <w:style w:type="character" w:styleId="GPSL2IndentChar" w:customStyle="1">
    <w:name w:val="GPS L2 Indent Char"/>
    <w:link w:val="GPSL2Indent"/>
    <w:rPr>
      <w:rFonts w:ascii="Calibri" w:cs="Arial" w:eastAsia="Times New Roman" w:hAnsi="Calibri"/>
      <w:szCs w:val="24"/>
    </w:rPr>
  </w:style>
  <w:style w:type="paragraph" w:styleId="GPSDefinitionTerm" w:customStyle="1">
    <w:name w:val="GPS Definition Term"/>
    <w:basedOn w:val="Normal"/>
    <w:qFormat w:val="1"/>
    <w:pPr>
      <w:overflowPunct w:val="0"/>
      <w:autoSpaceDE w:val="0"/>
      <w:autoSpaceDN w:val="0"/>
      <w:adjustRightInd w:val="0"/>
      <w:spacing w:after="120" w:line="240" w:lineRule="auto"/>
      <w:ind w:left="-108"/>
      <w:textAlignment w:val="baseline"/>
    </w:pPr>
    <w:rPr>
      <w:rFonts w:ascii="Arial" w:cs="Arial" w:eastAsia="Times New Roman" w:hAnsi="Arial"/>
      <w:b w:val="1"/>
    </w:rPr>
  </w:style>
  <w:style w:type="table" w:styleId="TableGrid">
    <w:name w:val="Table Grid"/>
    <w:basedOn w:val="TableNormal"/>
    <w:uiPriority w:val="59"/>
    <w:pPr>
      <w:spacing w:after="0" w:line="240" w:lineRule="auto"/>
    </w:pPr>
    <w:rPr>
      <w:rFonts w:cs="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customStyle="1">
    <w:name w:val="Footnote Text Char"/>
    <w:basedOn w:val="DefaultParagraphFont"/>
    <w:link w:val="FootnoteText"/>
    <w:uiPriority w:val="99"/>
    <w:semiHidden w:val="1"/>
    <w:rPr>
      <w:rFonts w:ascii="Calibri" w:cs="Times New Roman" w:eastAsia="Calibri" w:hAnsi="Calibri"/>
      <w:sz w:val="20"/>
      <w:szCs w:val="20"/>
    </w:rPr>
  </w:style>
  <w:style w:type="character" w:styleId="FootnoteReference">
    <w:name w:val="footnote reference"/>
    <w:basedOn w:val="DefaultParagraphFont"/>
    <w:uiPriority w:val="99"/>
    <w:semiHidden w:val="1"/>
    <w:unhideWhenUsed w:val="1"/>
    <w:rPr>
      <w:vertAlign w:val="superscript"/>
    </w:rPr>
  </w:style>
  <w:style w:type="character" w:styleId="Heading1Char" w:customStyle="1">
    <w:name w:val="Heading 1 Char"/>
    <w:basedOn w:val="DefaultParagraphFont"/>
    <w:link w:val="Heading1"/>
    <w:uiPriority w:val="9"/>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Pr>
      <w:rFonts w:asciiTheme="majorHAnsi" w:cstheme="majorBidi" w:eastAsiaTheme="majorEastAsia" w:hAnsiTheme="majorHAnsi"/>
      <w:b w:val="1"/>
      <w:bCs w:val="1"/>
      <w:color w:val="4f81bd" w:themeColor="accent1"/>
      <w:sz w:val="26"/>
      <w:szCs w:val="26"/>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Revision">
    <w:name w:val="Revision"/>
    <w:hidden w:val="1"/>
    <w:uiPriority w:val="99"/>
    <w:semiHidden w:val="1"/>
    <w:rsid w:val="009C46FD"/>
    <w:pPr>
      <w:spacing w:after="0" w:line="240" w:lineRule="auto"/>
    </w:pPr>
    <w:rPr>
      <w:rFonts w:cs="Times New Roma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ZaAiZf0jqQqbTTTCmyyM7TvT0A==">CgMxLjAyCWguMWZvYjl0ZTIIaC5namRneHMyCWguM3pueXNoNzIJaC4zMGowemxsOAByITFHdUZyZXpHM3FzbEZfLXAwbmRPTEVzdWJTdTFRcUFMVA==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2023-07-20T10:01:00Z</dcterms:created>
  <dc:creator>Christopher Stanley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ies>
</file>