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ind w:left="142" w:right="394" w:firstLine="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23 (HMRC Terms)</w:t>
      </w:r>
    </w:p>
    <w:p w:rsidR="00000000" w:rsidDel="00000000" w:rsidP="00000000" w:rsidRDefault="00000000" w:rsidRPr="00000000" w14:paraId="00000002">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3">
      <w:pPr>
        <w:keepNext w:val="1"/>
        <w:numPr>
          <w:ilvl w:val="1"/>
          <w:numId w:val="5"/>
        </w:numPr>
        <w:pBdr>
          <w:top w:space="0" w:sz="0" w:val="nil"/>
          <w:left w:space="0" w:sz="0" w:val="nil"/>
          <w:bottom w:space="0" w:sz="0" w:val="nil"/>
          <w:right w:space="0" w:sz="0" w:val="nil"/>
          <w:between w:space="0" w:sz="0" w:val="nil"/>
        </w:pBdr>
        <w:tabs>
          <w:tab w:val="left" w:leader="none" w:pos="993"/>
        </w:tabs>
        <w:spacing w:after="240" w:line="240" w:lineRule="auto"/>
        <w:ind w:left="792" w:hanging="4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have the following meanings and they shall supplement Joint Schedule 1 (Definitions):</w:t>
      </w:r>
    </w:p>
    <w:tbl>
      <w:tblPr>
        <w:tblStyle w:val="Table1"/>
        <w:tblW w:w="89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2"/>
        <w:gridCol w:w="6626"/>
        <w:tblGridChange w:id="0">
          <w:tblGrid>
            <w:gridCol w:w="2292"/>
            <w:gridCol w:w="6626"/>
          </w:tblGrid>
        </w:tblGridChange>
      </w:tblGrid>
      <w:tr>
        <w:trPr>
          <w:cantSplit w:val="0"/>
          <w:tblHeader w:val="0"/>
        </w:trPr>
        <w:tc>
          <w:tcPr/>
          <w:p w:rsidR="00000000" w:rsidDel="00000000" w:rsidP="00000000" w:rsidRDefault="00000000" w:rsidRPr="00000000" w14:paraId="00000004">
            <w:pPr>
              <w:spacing w:after="240" w:lineRule="auto"/>
              <w:ind w:right="-7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“Connected Company”</w:t>
            </w:r>
          </w:p>
        </w:tc>
        <w:tc>
          <w:tcPr/>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company, entity or other person, the Affiliates of that company, entity or other person or any other person associated with such company, entity or other person;</w:t>
            </w:r>
          </w:p>
          <w:p w:rsidR="00000000" w:rsidDel="00000000" w:rsidP="00000000" w:rsidRDefault="00000000" w:rsidRPr="00000000" w14:paraId="00000006">
            <w:pPr>
              <w:spacing w:after="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240" w:lineRule="auto"/>
              <w:ind w:right="-7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000000" w:rsidDel="00000000" w:rsidP="00000000" w:rsidRDefault="00000000" w:rsidRPr="00000000" w14:paraId="00000009">
            <w:pPr>
              <w:spacing w:after="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240" w:lineRule="auto"/>
              <w:ind w:right="-7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Transaction”</w:t>
            </w:r>
          </w:p>
        </w:tc>
        <w:tc>
          <w:tcPr/>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p w:rsidR="00000000" w:rsidDel="00000000" w:rsidP="00000000" w:rsidRDefault="00000000" w:rsidRPr="00000000" w14:paraId="00000010">
            <w:pPr>
              <w:spacing w:after="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240" w:lineRule="auto"/>
              <w:ind w:right="-7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“Purchase Order Number” </w:t>
            </w:r>
          </w:p>
        </w:tc>
        <w:tc>
          <w:tcPr/>
          <w:p w:rsidR="00000000" w:rsidDel="00000000" w:rsidP="00000000" w:rsidRDefault="00000000" w:rsidRPr="00000000" w14:paraId="00000012">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13">
            <w:pPr>
              <w:spacing w:after="240" w:lineRule="auto"/>
              <w:ind w:right="-7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014">
            <w:pPr>
              <w:spacing w:after="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5">
            <w:pPr>
              <w:spacing w:after="240" w:lineRule="auto"/>
              <w:ind w:right="-7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 Compliance Failure”</w:t>
            </w:r>
          </w:p>
          <w:p w:rsidR="00000000" w:rsidDel="00000000" w:rsidP="00000000" w:rsidRDefault="00000000" w:rsidRPr="00000000" w14:paraId="00000016">
            <w:pPr>
              <w:spacing w:after="240" w:lineRule="auto"/>
              <w:ind w:right="-70"/>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7">
            <w:pPr>
              <w:tabs>
                <w:tab w:val="left" w:leader="none" w:pos="-75"/>
              </w:tabs>
              <w:spacing w:after="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tabs>
                <w:tab w:val="left" w:leader="none" w:pos="-75"/>
              </w:tabs>
              <w:ind w:left="40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40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240" w:lineRule="auto"/>
              <w:ind w:left="405"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“Essential Subcontractor” means any Key Subcontractor.</w:t>
            </w:r>
          </w:p>
        </w:tc>
      </w:tr>
    </w:tbl>
    <w:p w:rsidR="00000000" w:rsidDel="00000000" w:rsidP="00000000" w:rsidRDefault="00000000" w:rsidRPr="00000000" w14:paraId="0000001B">
      <w:pPr>
        <w:pStyle w:val="Heading2"/>
        <w:keepNext w:val="0"/>
        <w:keepLines w:val="0"/>
        <w:pBdr>
          <w:top w:space="0" w:sz="0" w:val="nil"/>
          <w:left w:space="0" w:sz="0" w:val="nil"/>
          <w:bottom w:space="0" w:sz="0" w:val="nil"/>
          <w:right w:space="0" w:sz="0" w:val="nil"/>
          <w:between w:space="0" w:sz="0" w:val="nil"/>
        </w:pBdr>
        <w:spacing w:after="240" w:before="0" w:line="240" w:lineRule="auto"/>
        <w:ind w:left="360" w:firstLine="0"/>
        <w:jc w:val="both"/>
        <w:rPr>
          <w:rFonts w:ascii="Arial" w:cs="Arial" w:eastAsia="Arial" w:hAnsi="Arial"/>
          <w:b w:val="1"/>
          <w:color w:val="000000"/>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1C">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bookmarkStart w:colFirst="0" w:colLast="0" w:name="_heading=h.1fob9te" w:id="2"/>
      <w:bookmarkEnd w:id="2"/>
      <w:r w:rsidDel="00000000" w:rsidR="00000000" w:rsidRPr="00000000">
        <w:rPr>
          <w:rFonts w:ascii="Arial" w:cs="Arial" w:eastAsia="Arial" w:hAnsi="Arial"/>
          <w:b w:val="1"/>
          <w:color w:val="000000"/>
          <w:sz w:val="24"/>
          <w:szCs w:val="24"/>
          <w:rtl w:val="0"/>
        </w:rPr>
        <w:t xml:space="preserve">Exclusion of certain Core Terms and terms of Schedules</w:t>
      </w:r>
    </w:p>
    <w:p w:rsidR="00000000" w:rsidDel="00000000" w:rsidP="00000000" w:rsidRDefault="00000000" w:rsidRPr="00000000" w14:paraId="0000001D">
      <w:pPr>
        <w:pStyle w:val="Heading2"/>
        <w:keepNext w:val="0"/>
        <w:keepLines w:val="0"/>
        <w:numPr>
          <w:ilvl w:val="1"/>
          <w:numId w:val="5"/>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Core Terms are modified in respect of that Call-Off Contract (but are not modified in respect of the Framework Contract):</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pStyle w:val="Heading2"/>
        <w:keepNext w:val="0"/>
        <w:keepLines w:val="0"/>
        <w:numPr>
          <w:ilvl w:val="2"/>
          <w:numId w:val="5"/>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Clauses 31.1, 31.2, 31.3 and 31.4(d) of the Core Terms do not apply to  that Call-Off Contract, but for the avoidance of doubt, the remainder of Clause 31.4 of the Core Terms shall continue to apply to the Call-Off Contract; and</w:t>
      </w:r>
    </w:p>
    <w:p w:rsidR="00000000" w:rsidDel="00000000" w:rsidP="00000000" w:rsidRDefault="00000000" w:rsidRPr="00000000" w14:paraId="00000020">
      <w:pPr>
        <w:pStyle w:val="Heading2"/>
        <w:keepNext w:val="0"/>
        <w:keepLines w:val="0"/>
        <w:numPr>
          <w:ilvl w:val="2"/>
          <w:numId w:val="5"/>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Clause 7.2 of the Core Terms does not apply to that Call-Off Contract.</w:t>
      </w:r>
      <w:r w:rsidDel="00000000" w:rsidR="00000000" w:rsidRPr="00000000">
        <w:rPr>
          <w:rtl w:val="0"/>
        </w:rPr>
      </w:r>
    </w:p>
    <w:p w:rsidR="00000000" w:rsidDel="00000000" w:rsidP="00000000" w:rsidRDefault="00000000" w:rsidRPr="00000000" w14:paraId="00000021">
      <w:pPr>
        <w:pStyle w:val="Heading2"/>
        <w:keepNext w:val="0"/>
        <w:keepLines w:val="0"/>
        <w:numPr>
          <w:ilvl w:val="1"/>
          <w:numId w:val="5"/>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22">
      <w:pPr>
        <w:ind w:left="792" w:firstLine="0"/>
        <w:rPr/>
      </w:pPr>
      <w:r w:rsidDel="00000000" w:rsidR="00000000" w:rsidRPr="00000000">
        <w:rPr>
          <w:rtl w:val="0"/>
        </w:rPr>
      </w:r>
    </w:p>
    <w:p w:rsidR="00000000" w:rsidDel="00000000" w:rsidP="00000000" w:rsidRDefault="00000000" w:rsidRPr="00000000" w14:paraId="00000023">
      <w:pPr>
        <w:pStyle w:val="Heading2"/>
        <w:keepNext w:val="0"/>
        <w:keepLines w:val="0"/>
        <w:numPr>
          <w:ilvl w:val="2"/>
          <w:numId w:val="5"/>
        </w:numPr>
        <w:spacing w:line="240" w:lineRule="auto"/>
        <w:ind w:left="1230" w:hanging="5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definition of “Occasion of Tax Non-Compliance” contained in Joint   Schedule 1 (Definitions) does not apply to that Call-Off Contract; and</w:t>
      </w:r>
    </w:p>
    <w:p w:rsidR="00000000" w:rsidDel="00000000" w:rsidP="00000000" w:rsidRDefault="00000000" w:rsidRPr="00000000" w14:paraId="00000024">
      <w:pPr>
        <w:ind w:left="1224" w:firstLine="0"/>
        <w:rPr/>
      </w:pPr>
      <w:r w:rsidDel="00000000" w:rsidR="00000000" w:rsidRPr="00000000">
        <w:rPr>
          <w:rtl w:val="0"/>
        </w:rPr>
      </w:r>
    </w:p>
    <w:p w:rsidR="00000000" w:rsidDel="00000000" w:rsidP="00000000" w:rsidRDefault="00000000" w:rsidRPr="00000000" w14:paraId="00000025">
      <w:pPr>
        <w:pStyle w:val="Heading2"/>
        <w:keepNext w:val="0"/>
        <w:keepLines w:val="0"/>
        <w:numPr>
          <w:ilvl w:val="2"/>
          <w:numId w:val="5"/>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5(d) of Joint Schedule 11 (Processing Data) does not apply       to that Call-Off Contract.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pStyle w:val="Heading2"/>
        <w:keepNext w:val="0"/>
        <w:keepLines w:val="0"/>
        <w:numPr>
          <w:ilvl w:val="1"/>
          <w:numId w:val="5"/>
        </w:numPr>
        <w:spacing w:line="240" w:lineRule="auto"/>
        <w:ind w:left="792" w:hanging="432"/>
        <w:jc w:val="both"/>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The Supplier shall invoice the Buyer as specified in Clause 4 of the Core Terms as modified by any Framework Special Terms or any Call-Off Special Terms.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numPr>
          <w:ilvl w:val="1"/>
          <w:numId w:val="5"/>
        </w:numPr>
        <w:spacing w:after="240" w:before="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2B">
      <w:pPr>
        <w:pStyle w:val="Heading2"/>
        <w:keepNext w:val="0"/>
        <w:keepLines w:val="0"/>
        <w:numPr>
          <w:ilvl w:val="2"/>
          <w:numId w:val="5"/>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C">
      <w:pPr>
        <w:pStyle w:val="Heading2"/>
        <w:keepNext w:val="0"/>
        <w:keepLines w:val="0"/>
        <w:numPr>
          <w:ilvl w:val="2"/>
          <w:numId w:val="5"/>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D">
      <w:pPr>
        <w:pStyle w:val="Heading2"/>
        <w:keepNext w:val="0"/>
        <w:keepLines w:val="0"/>
        <w:numPr>
          <w:ilvl w:val="1"/>
          <w:numId w:val="5"/>
        </w:numPr>
        <w:spacing w:after="240" w:before="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of the Core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E">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F">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30">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31">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32">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33">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34">
      <w:pPr>
        <w:pStyle w:val="Heading2"/>
        <w:keepNext w:val="0"/>
        <w:keepLines w:val="0"/>
        <w:numPr>
          <w:ilvl w:val="2"/>
          <w:numId w:val="5"/>
        </w:numPr>
        <w:spacing w:after="240" w:before="0" w:line="240" w:lineRule="auto"/>
        <w:ind w:left="1418" w:hanging="698"/>
        <w:jc w:val="both"/>
        <w:rPr>
          <w:rFonts w:ascii="Arial" w:cs="Arial" w:eastAsia="Arial" w:hAnsi="Arial"/>
          <w:color w:val="000000"/>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35">
      <w:pPr>
        <w:pStyle w:val="Heading2"/>
        <w:keepNext w:val="0"/>
        <w:keepLines w:val="0"/>
        <w:numPr>
          <w:ilvl w:val="3"/>
          <w:numId w:val="5"/>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36">
      <w:pPr>
        <w:pStyle w:val="Heading2"/>
        <w:keepNext w:val="0"/>
        <w:keepLines w:val="0"/>
        <w:numPr>
          <w:ilvl w:val="3"/>
          <w:numId w:val="5"/>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37">
      <w:pPr>
        <w:pStyle w:val="Heading2"/>
        <w:keepNext w:val="0"/>
        <w:keepLines w:val="0"/>
        <w:numPr>
          <w:ilvl w:val="3"/>
          <w:numId w:val="5"/>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38">
      <w:pPr>
        <w:pStyle w:val="Heading2"/>
        <w:keepNext w:val="0"/>
        <w:keepLines w:val="0"/>
        <w:spacing w:after="240" w:before="0" w:line="240" w:lineRule="auto"/>
        <w:ind w:left="144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39">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3A">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10.4.1 of the Core Terms (Ending the contract or any subcontract) applies and Clauses 10.6.1 and 10.6.2 of the Core Terms (Ending the contract or any subcontract) shall apply as if the Contract had been terminated under Clause 10.4.1 of the Core Terms (Ending the contract or any subcontract).</w:t>
      </w:r>
      <w:r w:rsidDel="00000000" w:rsidR="00000000" w:rsidRPr="00000000">
        <w:rPr>
          <w:rtl w:val="0"/>
        </w:rPr>
      </w:r>
    </w:p>
    <w:p w:rsidR="00000000" w:rsidDel="00000000" w:rsidP="00000000" w:rsidRDefault="00000000" w:rsidRPr="00000000" w14:paraId="0000003B">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C">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D">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E">
      <w:pPr>
        <w:pStyle w:val="Heading2"/>
        <w:keepNext w:val="0"/>
        <w:keepLines w:val="0"/>
        <w:numPr>
          <w:ilvl w:val="1"/>
          <w:numId w:val="5"/>
        </w:numPr>
        <w:spacing w:after="240" w:line="240" w:lineRule="auto"/>
        <w:ind w:left="792" w:hanging="432"/>
        <w:jc w:val="both"/>
        <w:rPr>
          <w:rFonts w:ascii="Arial" w:cs="Arial" w:eastAsia="Arial" w:hAnsi="Arial"/>
          <w:color w:val="000000"/>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F">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40">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41">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42">
      <w:pPr>
        <w:pStyle w:val="Heading2"/>
        <w:keepNext w:val="0"/>
        <w:keepLines w:val="0"/>
        <w:numPr>
          <w:ilvl w:val="3"/>
          <w:numId w:val="5"/>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43">
      <w:pPr>
        <w:pStyle w:val="Heading2"/>
        <w:keepNext w:val="0"/>
        <w:keepLines w:val="0"/>
        <w:numPr>
          <w:ilvl w:val="3"/>
          <w:numId w:val="5"/>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44">
      <w:pPr>
        <w:pStyle w:val="Heading2"/>
        <w:keepNext w:val="0"/>
        <w:keepLines w:val="0"/>
        <w:numPr>
          <w:ilvl w:val="1"/>
          <w:numId w:val="5"/>
        </w:numPr>
        <w:spacing w:after="240" w:line="240" w:lineRule="auto"/>
        <w:ind w:left="792" w:hanging="432"/>
        <w:jc w:val="both"/>
        <w:rPr>
          <w:rFonts w:ascii="Arial" w:cs="Arial" w:eastAsia="Arial" w:hAnsi="Arial"/>
          <w:color w:val="000000"/>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45">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12.2 of the Core Terms.</w:t>
      </w:r>
      <w:r w:rsidDel="00000000" w:rsidR="00000000" w:rsidRPr="00000000">
        <w:rPr>
          <w:rtl w:val="0"/>
        </w:rPr>
      </w:r>
    </w:p>
    <w:p w:rsidR="00000000" w:rsidDel="00000000" w:rsidP="00000000" w:rsidRDefault="00000000" w:rsidRPr="00000000" w14:paraId="00000046">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35nkun2" w:id="14"/>
      <w:bookmarkEnd w:id="14"/>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47">
      <w:pPr>
        <w:pStyle w:val="Heading2"/>
        <w:keepNext w:val="0"/>
        <w:keepLines w:val="0"/>
        <w:numPr>
          <w:ilvl w:val="1"/>
          <w:numId w:val="5"/>
        </w:numPr>
        <w:spacing w:after="24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48">
      <w:pPr>
        <w:pStyle w:val="Heading2"/>
        <w:keepNext w:val="0"/>
        <w:keepLines w:val="0"/>
        <w:numPr>
          <w:ilvl w:val="2"/>
          <w:numId w:val="5"/>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49">
      <w:pPr>
        <w:pStyle w:val="Heading2"/>
        <w:keepNext w:val="0"/>
        <w:keepLines w:val="0"/>
        <w:numPr>
          <w:ilvl w:val="2"/>
          <w:numId w:val="5"/>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4A">
      <w:pPr>
        <w:pStyle w:val="Heading2"/>
        <w:keepNext w:val="0"/>
        <w:keepLines w:val="0"/>
        <w:numPr>
          <w:ilvl w:val="2"/>
          <w:numId w:val="5"/>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4B">
      <w:pPr>
        <w:pStyle w:val="Heading2"/>
        <w:keepNext w:val="0"/>
        <w:keepLines w:val="0"/>
        <w:spacing w:after="240" w:line="240" w:lineRule="auto"/>
        <w:ind w:left="79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10.4.1 of the Core Terms (Ending the contract or any subcontract) applies and Clauses 10.6.1 and 10.6.2 of the Core Terms (Ending the contract or any subcontract) shall apply as if the Contract had been terminated under Clause 10.4.1 of the Core Terms (Ending the contract or any subcontract).</w:t>
      </w:r>
    </w:p>
    <w:p w:rsidR="00000000" w:rsidDel="00000000" w:rsidP="00000000" w:rsidRDefault="00000000" w:rsidRPr="00000000" w14:paraId="0000004C">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addition to those circumstances listed in clause 15.2 to 15.4 of the Core Terms (What you must keep confidential),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D">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bookmarkStart w:colFirst="0" w:colLast="0" w:name="_heading=h.1ksv4uv" w:id="15"/>
      <w:bookmarkEnd w:id="15"/>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E">
      <w:pPr>
        <w:pStyle w:val="Heading2"/>
        <w:keepNext w:val="0"/>
        <w:keepLines w:val="0"/>
        <w:numPr>
          <w:ilvl w:val="1"/>
          <w:numId w:val="5"/>
        </w:numPr>
        <w:spacing w:after="240" w:line="240" w:lineRule="auto"/>
        <w:ind w:left="792" w:hanging="432"/>
        <w:jc w:val="both"/>
        <w:rPr>
          <w:color w:val="000000"/>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F">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50">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(Resolving disputes) if necessary.</w:t>
      </w:r>
      <w:r w:rsidDel="00000000" w:rsidR="00000000" w:rsidRPr="00000000">
        <w:rPr>
          <w:rtl w:val="0"/>
        </w:rPr>
      </w:r>
    </w:p>
    <w:p w:rsidR="00000000" w:rsidDel="00000000" w:rsidP="00000000" w:rsidRDefault="00000000" w:rsidRPr="00000000" w14:paraId="00000051">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10.4.1 of the Core Terms (Ending the contract or any subcontract) applies and Clauses 10.6.1 and 10.6.2 of the Core Terms (Ending the contract or any subcontract) shall apply as if the Contract had been terminated under Clause 10.4.1 of the Core Terms (Ending the contract or any subcontract).</w:t>
      </w:r>
      <w:r w:rsidDel="00000000" w:rsidR="00000000" w:rsidRPr="00000000">
        <w:rPr>
          <w:rtl w:val="0"/>
        </w:rPr>
      </w:r>
    </w:p>
    <w:p w:rsidR="00000000" w:rsidDel="00000000" w:rsidP="00000000" w:rsidRDefault="00000000" w:rsidRPr="00000000" w14:paraId="00000052">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53">
      <w:pPr>
        <w:pStyle w:val="Heading2"/>
        <w:keepNext w:val="0"/>
        <w:keepLines w:val="0"/>
        <w:numPr>
          <w:ilvl w:val="1"/>
          <w:numId w:val="5"/>
        </w:numPr>
        <w:spacing w:after="240" w:line="240" w:lineRule="auto"/>
        <w:ind w:left="792" w:hanging="432"/>
        <w:jc w:val="both"/>
        <w:rPr>
          <w:rFonts w:ascii="Arial" w:cs="Arial" w:eastAsia="Arial" w:hAnsi="Arial"/>
          <w:sz w:val="24"/>
          <w:szCs w:val="24"/>
        </w:rPr>
      </w:pPr>
      <w:bookmarkStart w:colFirst="0" w:colLast="0" w:name="_heading=h.3j2qqm3" w:id="19"/>
      <w:bookmarkEnd w:id="19"/>
      <w:r w:rsidDel="00000000" w:rsidR="00000000" w:rsidRPr="00000000">
        <w:rPr>
          <w:rFonts w:ascii="Arial" w:cs="Arial" w:eastAsia="Arial" w:hAnsi="Arial"/>
          <w:color w:val="000000"/>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54">
      <w:pPr>
        <w:pStyle w:val="Heading2"/>
        <w:keepNext w:val="0"/>
        <w:keepLines w:val="0"/>
        <w:numPr>
          <w:ilvl w:val="2"/>
          <w:numId w:val="5"/>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55">
      <w:pPr>
        <w:pStyle w:val="Heading2"/>
        <w:keepNext w:val="0"/>
        <w:keepLines w:val="0"/>
        <w:numPr>
          <w:ilvl w:val="3"/>
          <w:numId w:val="5"/>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056">
      <w:pPr>
        <w:pStyle w:val="Heading2"/>
        <w:keepNext w:val="0"/>
        <w:keepLines w:val="0"/>
        <w:numPr>
          <w:ilvl w:val="3"/>
          <w:numId w:val="5"/>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57">
      <w:pPr>
        <w:pStyle w:val="Heading2"/>
        <w:keepNext w:val="0"/>
        <w:keepLines w:val="0"/>
        <w:numPr>
          <w:ilvl w:val="3"/>
          <w:numId w:val="5"/>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58">
      <w:pPr>
        <w:pStyle w:val="Heading2"/>
        <w:keepNext w:val="0"/>
        <w:keepLines w:val="0"/>
        <w:numPr>
          <w:ilvl w:val="3"/>
          <w:numId w:val="5"/>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59">
      <w:pPr>
        <w:pStyle w:val="Heading2"/>
        <w:keepNext w:val="0"/>
        <w:keepLines w:val="0"/>
        <w:numPr>
          <w:ilvl w:val="1"/>
          <w:numId w:val="5"/>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7.1.1 shall be deemed to be an event to which clause 10.4.1 of the Core Terms (Ending the contract or any subcontract) applies and Clauses 10.6.1 and 10.6.2 of the Core Terms (Ending the contract or any subcontract) shall apply as if the Contract had been terminated under Clause 10.4.1 of the Core Terms (Ending the contract or any subcontract). </w:t>
      </w:r>
      <w:r w:rsidDel="00000000" w:rsidR="00000000" w:rsidRPr="00000000">
        <w:rPr>
          <w:rtl w:val="0"/>
        </w:rPr>
      </w:r>
    </w:p>
    <w:p w:rsidR="00000000" w:rsidDel="00000000" w:rsidP="00000000" w:rsidRDefault="00000000" w:rsidRPr="00000000" w14:paraId="0000005A">
      <w:pPr>
        <w:pStyle w:val="Heading2"/>
        <w:keepNext w:val="0"/>
        <w:keepLines w:val="0"/>
        <w:numPr>
          <w:ilvl w:val="0"/>
          <w:numId w:val="5"/>
        </w:numPr>
        <w:pBdr>
          <w:top w:space="0" w:sz="0" w:val="nil"/>
          <w:left w:space="0" w:sz="0" w:val="nil"/>
          <w:bottom w:space="0" w:sz="0" w:val="nil"/>
          <w:right w:space="0" w:sz="0" w:val="nil"/>
          <w:between w:space="0" w:sz="0" w:val="nil"/>
        </w:pBdr>
        <w:spacing w:after="240" w:before="0" w:line="240" w:lineRule="auto"/>
        <w:ind w:left="567" w:hanging="567"/>
        <w:jc w:val="both"/>
        <w:rPr>
          <w:rFonts w:ascii="Arial" w:cs="Arial" w:eastAsia="Arial" w:hAnsi="Arial"/>
          <w:b w:val="1"/>
          <w:sz w:val="24"/>
          <w:szCs w:val="24"/>
        </w:rPr>
      </w:pPr>
      <w:bookmarkStart w:colFirst="0" w:colLast="0" w:name="_heading=h.1y810tw" w:id="20"/>
      <w:bookmarkEnd w:id="20"/>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5B">
      <w:pPr>
        <w:pStyle w:val="Heading2"/>
        <w:keepNext w:val="0"/>
        <w:keepLines w:val="0"/>
        <w:numPr>
          <w:ilvl w:val="1"/>
          <w:numId w:val="5"/>
        </w:numPr>
        <w:spacing w:after="240" w:line="240" w:lineRule="auto"/>
        <w:ind w:left="851" w:hanging="709"/>
        <w:jc w:val="both"/>
        <w:rPr>
          <w:rFonts w:ascii="Arial" w:cs="Arial" w:eastAsia="Arial" w:hAnsi="Arial"/>
          <w:sz w:val="24"/>
          <w:szCs w:val="24"/>
        </w:rPr>
      </w:pPr>
      <w:bookmarkStart w:colFirst="0" w:colLast="0" w:name="_heading=h.4i7ojhp" w:id="21"/>
      <w:bookmarkEnd w:id="21"/>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C">
      <w:pPr>
        <w:pStyle w:val="Heading2"/>
        <w:keepNext w:val="0"/>
        <w:keepLines w:val="0"/>
        <w:numPr>
          <w:ilvl w:val="1"/>
          <w:numId w:val="5"/>
        </w:numPr>
        <w:spacing w:after="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i w:val="1"/>
          <w:color w:val="000000"/>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D">
      <w:pPr>
        <w:pStyle w:val="Heading2"/>
        <w:keepNext w:val="0"/>
        <w:keepLines w:val="0"/>
        <w:numPr>
          <w:ilvl w:val="1"/>
          <w:numId w:val="5"/>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E">
      <w:pPr>
        <w:pStyle w:val="Heading2"/>
        <w:keepNext w:val="0"/>
        <w:keepLines w:val="0"/>
        <w:numPr>
          <w:ilvl w:val="1"/>
          <w:numId w:val="5"/>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F">
      <w:pPr>
        <w:pStyle w:val="Heading2"/>
        <w:keepNext w:val="0"/>
        <w:keepLines w:val="0"/>
        <w:numPr>
          <w:ilvl w:val="1"/>
          <w:numId w:val="5"/>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60">
      <w:pPr>
        <w:pStyle w:val="Heading2"/>
        <w:keepNext w:val="0"/>
        <w:keepLines w:val="0"/>
        <w:numPr>
          <w:ilvl w:val="1"/>
          <w:numId w:val="5"/>
        </w:numPr>
        <w:spacing w:after="240" w:line="240" w:lineRule="auto"/>
        <w:ind w:left="851" w:hanging="709"/>
        <w:jc w:val="both"/>
        <w:rPr>
          <w:rFonts w:ascii="Arial" w:cs="Arial" w:eastAsia="Arial" w:hAnsi="Arial"/>
          <w:sz w:val="24"/>
          <w:szCs w:val="24"/>
        </w:rPr>
      </w:pPr>
      <w:bookmarkStart w:colFirst="0" w:colLast="0" w:name="_heading=h.2xcytpi" w:id="22"/>
      <w:bookmarkEnd w:id="22"/>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10.4.1 of the Core Terms (Ending the contract or any subcontract) applies. </w:t>
      </w:r>
      <w:r w:rsidDel="00000000" w:rsidR="00000000" w:rsidRPr="00000000">
        <w:rPr>
          <w:rtl w:val="0"/>
        </w:rPr>
      </w:r>
    </w:p>
    <w:p w:rsidR="00000000" w:rsidDel="00000000" w:rsidP="00000000" w:rsidRDefault="00000000" w:rsidRPr="00000000" w14:paraId="00000061">
      <w:pPr>
        <w:spacing w:after="240" w:line="240" w:lineRule="auto"/>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6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Excerpt from HMRC’s “Test for Tax Non-Compliance”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one (An in-scope entity or person)</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is a person or entity which is either: (“X”)</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line="240" w:lineRule="auto"/>
        <w:ind w:left="284" w:firstLine="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Economic Operator or Essential Subcontractor (EOS)</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rFonts w:ascii="Arial" w:cs="Arial" w:eastAsia="Arial" w:hAnsi="Arial"/>
          <w:i w:val="1"/>
          <w:color w:val="000000"/>
          <w:sz w:val="24"/>
          <w:szCs w:val="24"/>
          <w:rtl w:val="0"/>
        </w:rPr>
        <w:t xml:space="preserve">IFRS 10 Consolidated Financial Accounts</w:t>
      </w:r>
      <w:r w:rsidDel="00000000" w:rsidR="00000000" w:rsidRPr="00000000">
        <w:rPr>
          <w:rFonts w:ascii="Arial" w:cs="Arial" w:eastAsia="Arial" w:hAnsi="Arial"/>
          <w:i w:val="1"/>
          <w:color w:val="000000"/>
          <w:sz w:val="24"/>
          <w:szCs w:val="24"/>
          <w:vertAlign w:val="superscript"/>
        </w:rPr>
        <w:footnoteReference w:customMarkFollows="0" w:id="0"/>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director, shareholder or other person (P) which exercises control over EOS. ‘Control’ means P can secure, through holding of shares or powers under articles of association or other document that EOS’s affairs are conducted in accordance with P’s wishes.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 has been engaged in one or more of the following: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Fraudulent evasion</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the General Anti-Abuse Rule</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0">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the Halifax Abuse principle</w:t>
      </w:r>
      <w:r w:rsidDel="00000000" w:rsidR="00000000" w:rsidRPr="00000000">
        <w:rPr>
          <w:rFonts w:ascii="Arial" w:cs="Arial" w:eastAsia="Arial" w:hAnsi="Arial"/>
          <w:color w:val="000000"/>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1">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Entered into arrangements caught by a DOTAS or VADR scheme</w:t>
      </w:r>
      <w:r w:rsidDel="00000000" w:rsidR="00000000" w:rsidRPr="00000000">
        <w:rPr>
          <w:rFonts w:ascii="Arial" w:cs="Arial" w:eastAsia="Arial" w:hAnsi="Arial"/>
          <w:color w:val="000000"/>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2">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a recognised ‘anti-avoidance rule’</w:t>
      </w:r>
      <w:r w:rsidDel="00000000" w:rsidR="00000000" w:rsidRPr="00000000">
        <w:rPr>
          <w:rFonts w:ascii="Arial" w:cs="Arial" w:eastAsia="Arial" w:hAnsi="Arial"/>
          <w:color w:val="000000"/>
          <w:sz w:val="24"/>
          <w:szCs w:val="24"/>
          <w:vertAlign w:val="superscript"/>
        </w:rPr>
        <w:footnoteReference w:customMarkFollows="0" w:id="5"/>
      </w:r>
      <w:r w:rsidDel="00000000" w:rsidR="00000000" w:rsidRPr="00000000">
        <w:rPr>
          <w:rFonts w:ascii="Arial" w:cs="Arial" w:eastAsia="Arial" w:hAnsi="Arial"/>
          <w:color w:val="000000"/>
          <w:sz w:val="24"/>
          <w:szCs w:val="24"/>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73">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Entered into an avoidance scheme identified by HMRC’s published Spotlights list</w:t>
      </w:r>
      <w:r w:rsidDel="00000000" w:rsidR="00000000" w:rsidRPr="00000000">
        <w:rPr>
          <w:rFonts w:ascii="Arial" w:cs="Arial" w:eastAsia="Arial" w:hAnsi="Arial"/>
          <w:color w:val="000000"/>
          <w:sz w:val="24"/>
          <w:szCs w:val="24"/>
          <w:vertAlign w:val="superscript"/>
        </w:rPr>
        <w:footnoteReference w:customMarkFollows="0" w:id="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4">
      <w:pPr>
        <w:numPr>
          <w:ilvl w:val="1"/>
          <w:numId w:val="8"/>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Engaged in conduct which falls under rules in other jurisdictions which are equivalent or similar to (a) to (f) above.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X’s activity in </w:t>
      </w:r>
      <w:r w:rsidDel="00000000" w:rsidR="00000000" w:rsidRPr="00000000">
        <w:rPr>
          <w:rFonts w:ascii="Arial" w:cs="Arial" w:eastAsia="Arial" w:hAnsi="Arial"/>
          <w:i w:val="1"/>
          <w:color w:val="000000"/>
          <w:sz w:val="24"/>
          <w:szCs w:val="24"/>
          <w:rtl w:val="0"/>
        </w:rPr>
        <w:t xml:space="preserve">Condition 2</w:t>
      </w:r>
      <w:r w:rsidDel="00000000" w:rsidR="00000000" w:rsidRPr="00000000">
        <w:rPr>
          <w:rFonts w:ascii="Arial" w:cs="Arial" w:eastAsia="Arial" w:hAnsi="Arial"/>
          <w:color w:val="000000"/>
          <w:sz w:val="24"/>
          <w:szCs w:val="24"/>
          <w:rtl w:val="0"/>
        </w:rPr>
        <w:t xml:space="preserve"> is, where applicable, subject to dispute and/or litigation as follows:</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either X:</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spacing w:after="24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accepted the terms of an offer made under a Contractual Disclosure Facility (CDF) pursuant to the Code of Practice 9 (COP9) procedure</w:t>
      </w:r>
      <w:r w:rsidDel="00000000" w:rsidR="00000000" w:rsidRPr="00000000">
        <w:rPr>
          <w:rFonts w:ascii="Arial" w:cs="Arial" w:eastAsia="Arial" w:hAnsi="Arial"/>
          <w:color w:val="000000"/>
          <w:sz w:val="24"/>
          <w:szCs w:val="24"/>
          <w:vertAlign w:val="superscript"/>
        </w:rPr>
        <w:footnoteReference w:customMarkFollows="0" w:id="7"/>
      </w:r>
      <w:r w:rsidDel="00000000" w:rsidR="00000000" w:rsidRPr="00000000">
        <w:rPr>
          <w:rFonts w:ascii="Arial" w:cs="Arial" w:eastAsia="Arial" w:hAnsi="Arial"/>
          <w:color w:val="000000"/>
          <w:sz w:val="24"/>
          <w:szCs w:val="24"/>
          <w:rtl w:val="0"/>
        </w:rPr>
        <w:t xml:space="preserve">; or,</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spacing w:after="24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charged with an offence of fraudulent evasion. </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7B">
      <w:pPr>
        <w:numPr>
          <w:ilvl w:val="1"/>
          <w:numId w:val="1"/>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(f) this condition is satisfied without any further steps being taken.</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(g) the foreign equivalent to each of the corresponding steps set out above in (i) to (iii).</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F">
      <w:pPr>
        <w:pStyle w:val="Heading3"/>
        <w:keepNext w:val="0"/>
        <w:keepLines w:val="0"/>
        <w:spacing w:after="24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80">
      <w:pPr>
        <w:spacing w:after="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1">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 Form </w:t>
      </w:r>
    </w:p>
    <w:p w:rsidR="00000000" w:rsidDel="00000000" w:rsidP="00000000" w:rsidRDefault="00000000" w:rsidRPr="00000000" w14:paraId="0000008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CONFIDENTIALITY DECLARATION </w:t>
      </w:r>
    </w:p>
    <w:p w:rsidR="00000000" w:rsidDel="00000000" w:rsidP="00000000" w:rsidRDefault="00000000" w:rsidRPr="00000000" w14:paraId="00000083">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 REFERENCE: [</w:t>
      </w:r>
      <w:r w:rsidDel="00000000" w:rsidR="00000000" w:rsidRPr="00000000">
        <w:rPr>
          <w:rFonts w:ascii="Arial" w:cs="Arial" w:eastAsia="Arial" w:hAnsi="Arial"/>
          <w:sz w:val="24"/>
          <w:szCs w:val="24"/>
          <w:highlight w:val="yellow"/>
          <w:rtl w:val="0"/>
        </w:rPr>
        <w:t xml:space="preserve">for Supplier to insert Contract reference number and contract date</w:t>
      </w:r>
      <w:r w:rsidDel="00000000" w:rsidR="00000000" w:rsidRPr="00000000">
        <w:rPr>
          <w:rFonts w:ascii="Arial" w:cs="Arial" w:eastAsia="Arial" w:hAnsi="Arial"/>
          <w:sz w:val="24"/>
          <w:szCs w:val="24"/>
          <w:rtl w:val="0"/>
        </w:rPr>
        <w:t xml:space="preserve">] ((‘the Agreement’)</w:t>
      </w:r>
    </w:p>
    <w:p w:rsidR="00000000" w:rsidDel="00000000" w:rsidP="00000000" w:rsidRDefault="00000000" w:rsidRPr="00000000" w14:paraId="00000084">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DECLARATION:</w:t>
      </w:r>
    </w:p>
    <w:p w:rsidR="00000000" w:rsidDel="00000000" w:rsidP="00000000" w:rsidRDefault="00000000" w:rsidRPr="00000000" w14:paraId="00000085">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solemnly declare that: </w:t>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after="0" w:line="240" w:lineRule="auto"/>
        <w:ind w:left="426"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spacing w:after="0" w:line="240" w:lineRule="auto"/>
        <w:ind w:left="426"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240" w:lineRule="auto"/>
        <w:ind w:left="426" w:firstLine="0"/>
        <w:jc w:val="both"/>
        <w:rPr>
          <w:rFonts w:ascii="Arial" w:cs="Arial" w:eastAsia="Arial" w:hAnsi="Arial"/>
          <w:color w:val="000000"/>
          <w:sz w:val="24"/>
          <w:szCs w:val="24"/>
        </w:rPr>
      </w:pPr>
      <w:r w:rsidDel="00000000" w:rsidR="00000000" w:rsidRPr="00000000">
        <w:rPr>
          <w:rtl w:val="0"/>
        </w:rPr>
      </w:r>
    </w:p>
    <w:tbl>
      <w:tblPr>
        <w:tblStyle w:val="Table2"/>
        <w:tblW w:w="5670.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89">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r>
      <w:tr>
        <w:trPr>
          <w:cantSplit w:val="0"/>
          <w:tblHeader w:val="0"/>
        </w:trPr>
        <w:tc>
          <w:tcPr/>
          <w:p w:rsidR="00000000" w:rsidDel="00000000" w:rsidP="00000000" w:rsidRDefault="00000000" w:rsidRPr="00000000" w14:paraId="0000008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tc>
      </w:tr>
      <w:tr>
        <w:trPr>
          <w:cantSplit w:val="0"/>
          <w:tblHeader w:val="0"/>
        </w:trPr>
        <w:tc>
          <w:tcPr/>
          <w:p w:rsidR="00000000" w:rsidDel="00000000" w:rsidP="00000000" w:rsidRDefault="00000000" w:rsidRPr="00000000" w14:paraId="0000008B">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tc>
      </w:tr>
      <w:tr>
        <w:trPr>
          <w:cantSplit w:val="0"/>
          <w:tblHeader w:val="0"/>
        </w:trPr>
        <w:tc>
          <w:tcPr/>
          <w:p w:rsidR="00000000" w:rsidDel="00000000" w:rsidP="00000000" w:rsidRDefault="00000000" w:rsidRPr="00000000" w14:paraId="0000008C">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w:t>
            </w:r>
          </w:p>
        </w:tc>
      </w:tr>
      <w:tr>
        <w:trPr>
          <w:cantSplit w:val="0"/>
          <w:tblHeader w:val="0"/>
        </w:trPr>
        <w:tc>
          <w:tcPr/>
          <w:p w:rsidR="00000000" w:rsidDel="00000000" w:rsidP="00000000" w:rsidRDefault="00000000" w:rsidRPr="00000000" w14:paraId="0000008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SIGNATURE: </w:t>
            </w:r>
          </w:p>
        </w:tc>
      </w:tr>
    </w:tbl>
    <w:p w:rsidR="00000000" w:rsidDel="00000000" w:rsidP="00000000" w:rsidRDefault="00000000" w:rsidRPr="00000000" w14:paraId="0000008E">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240" w:line="240" w:lineRule="auto"/>
        <w:jc w:val="right"/>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tabs>
        <w:tab w:val="center" w:leader="none" w:pos="4513"/>
        <w:tab w:val="right" w:leader="none"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RM6331</w:t>
    </w:r>
  </w:p>
  <w:p w:rsidR="00000000" w:rsidDel="00000000" w:rsidP="00000000" w:rsidRDefault="00000000" w:rsidRPr="00000000" w14:paraId="000000A4">
    <w:pPr>
      <w:tabs>
        <w:tab w:val="center" w:leader="none" w:pos="4513"/>
        <w:tab w:val="right" w:leader="none"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color w:val="000000"/>
      </w:rPr>
    </w:pPr>
    <w:bookmarkStart w:colFirst="0" w:colLast="0" w:name="_heading=h.1ci93xb" w:id="23"/>
    <w:bookmarkEnd w:id="23"/>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hyperlink r:id="rId1">
        <w:r w:rsidDel="00000000" w:rsidR="00000000" w:rsidRPr="00000000">
          <w:rPr>
            <w:color w:val="0000ff"/>
            <w:sz w:val="20"/>
            <w:szCs w:val="20"/>
            <w:u w:val="single"/>
            <w:rtl w:val="0"/>
          </w:rPr>
          <w:t xml:space="preserve">https://www.iasplus.com/en/standards/ifrs/ifrs10</w:t>
        </w:r>
      </w:hyperlink>
      <w:r w:rsidDel="00000000" w:rsidR="00000000" w:rsidRPr="00000000">
        <w:rPr>
          <w:color w:val="000000"/>
          <w:sz w:val="20"/>
          <w:szCs w:val="20"/>
          <w:rtl w:val="0"/>
        </w:rPr>
        <w:t xml:space="preserve"> </w:t>
      </w:r>
    </w:p>
  </w:footnote>
  <w:footnote w:id="1">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“General Anti-Abuse Rule” means (a) the legislation in Part 5 of the Finance Act 2013; and (b) any</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future legislation introduced into Parliament to counteract tax advantages arising from abusive</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color w:val="000000"/>
          <w:sz w:val="20"/>
          <w:szCs w:val="20"/>
          <w:rtl w:val="0"/>
        </w:rPr>
        <w:t xml:space="preserve">arrangements to avoid national insurance contributions</w:t>
      </w:r>
    </w:p>
  </w:footnote>
  <w:footnote w:id="3">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“Halifax Abuse Principle” means the principle explained in the CJEU Case C-255/02 Halifax and others</w:t>
      </w:r>
    </w:p>
  </w:footnote>
  <w:footnote w:id="4">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Targeted list of tax avoidance schemes that HMRC believes are being used to avoid paying tax due and which are listed on the Spotlight website: </w:t>
      </w:r>
      <w:hyperlink r:id="rId2">
        <w:r w:rsidDel="00000000" w:rsidR="00000000" w:rsidRPr="00000000">
          <w:rPr>
            <w:color w:val="0000ff"/>
            <w:sz w:val="20"/>
            <w:szCs w:val="20"/>
            <w:u w:val="single"/>
            <w:rtl w:val="0"/>
          </w:rPr>
          <w:t xml:space="preserve">https://www.gov.uk/government/collections/tax-avoidance-schemes-currently-in-the-spotlight</w:t>
        </w:r>
      </w:hyperlink>
      <w:r w:rsidDel="00000000" w:rsidR="00000000" w:rsidRPr="00000000">
        <w:rPr>
          <w:color w:val="000000"/>
          <w:sz w:val="20"/>
          <w:szCs w:val="20"/>
          <w:rtl w:val="0"/>
        </w:rPr>
        <w:t xml:space="preserve">  </w:t>
      </w:r>
    </w:p>
  </w:footnote>
  <w:footnote w:id="7">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tabs>
        <w:tab w:val="center" w:leader="none" w:pos="4513"/>
        <w:tab w:val="right" w:leader="none"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Call-Off Schedule 23 (HMRC)</w:t>
    </w:r>
  </w:p>
  <w:p w:rsidR="00000000" w:rsidDel="00000000" w:rsidP="00000000" w:rsidRDefault="00000000" w:rsidRPr="00000000" w14:paraId="0000009D">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9E">
    <w:pPr>
      <w:tabs>
        <w:tab w:val="center" w:leader="none" w:pos="4513"/>
        <w:tab w:val="right" w:leader="none" w:pos="9026"/>
      </w:tabs>
      <w:spacing w:after="0" w:line="240" w:lineRule="auto"/>
      <w:rPr/>
    </w:pPr>
    <w:r w:rsidDel="00000000" w:rsidR="00000000" w:rsidRPr="00000000">
      <w:rPr>
        <w:rFonts w:ascii="Arial" w:cs="Arial" w:eastAsia="Arial" w:hAnsi="Arial"/>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abstractNum w:abstractNumId="5">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0" w:before="40" w:lineRule="auto"/>
    </w:pPr>
    <w:rPr>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240"/>
      <w:outlineLvl w:val="0"/>
    </w:pPr>
    <w:rPr>
      <w:color w:val="2e75b5"/>
      <w:sz w:val="32"/>
      <w:szCs w:val="32"/>
    </w:rPr>
  </w:style>
  <w:style w:type="paragraph" w:styleId="Heading2">
    <w:name w:val="heading 2"/>
    <w:basedOn w:val="Normal"/>
    <w:next w:val="Normal"/>
    <w:uiPriority w:val="9"/>
    <w:unhideWhenUsed w:val="1"/>
    <w:qFormat w:val="1"/>
    <w:pPr>
      <w:keepNext w:val="1"/>
      <w:keepLines w:val="1"/>
      <w:spacing w:after="0" w:before="40"/>
      <w:outlineLvl w:val="1"/>
    </w:pPr>
    <w:rPr>
      <w:color w:val="2e75b5"/>
      <w:sz w:val="26"/>
      <w:szCs w:val="26"/>
    </w:rPr>
  </w:style>
  <w:style w:type="paragraph" w:styleId="Heading3">
    <w:name w:val="heading 3"/>
    <w:basedOn w:val="Normal"/>
    <w:next w:val="Normal"/>
    <w:uiPriority w:val="9"/>
    <w:unhideWhenUsed w:val="1"/>
    <w:qFormat w:val="1"/>
    <w:pPr>
      <w:keepNext w:val="1"/>
      <w:keepLines w:val="1"/>
      <w:spacing w:after="0" w:before="40"/>
      <w:outlineLvl w:val="2"/>
    </w:pPr>
    <w:rPr>
      <w:color w:val="1e4d78"/>
      <w:sz w:val="24"/>
      <w:szCs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paragraph" w:styleId="Revision">
    <w:name w:val="Revision"/>
    <w:hidden w:val="1"/>
    <w:uiPriority w:val="99"/>
    <w:semiHidden w:val="1"/>
    <w:rsid w:val="00975E0E"/>
    <w:pPr>
      <w:spacing w:after="0" w:line="240" w:lineRule="auto"/>
    </w:pPr>
  </w:style>
  <w:style w:type="paragraph" w:styleId="BalloonText">
    <w:name w:val="Balloon Text"/>
    <w:basedOn w:val="Normal"/>
    <w:link w:val="BalloonTextChar"/>
    <w:uiPriority w:val="99"/>
    <w:semiHidden w:val="1"/>
    <w:unhideWhenUsed w:val="1"/>
    <w:rsid w:val="00975E0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75E0E"/>
    <w:rPr>
      <w:rFonts w:ascii="Segoe UI" w:cs="Segoe UI" w:hAnsi="Segoe UI"/>
      <w:sz w:val="18"/>
      <w:szCs w:val="18"/>
    </w:rPr>
  </w:style>
  <w:style w:type="table" w:styleId="a1" w:customStyle="1">
    <w:basedOn w:val="TableNormal"/>
    <w:pPr>
      <w:spacing w:after="0" w:line="240" w:lineRule="auto"/>
    </w:pPr>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wgeSsOxr/v1AODkd0p0CIAFS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YjFjdWtDbmQ2VkItRGRkRzA1U1hIMGtEdXN2bi15c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2023-07-20T10:03:00Z</dcterms:created>
  <dc:creator>Karen Cox</dc:creator>
</cp:coreProperties>
</file>