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tabs>
          <w:tab w:val="left" w:leader="none" w:pos="142"/>
        </w:tabs>
        <w:spacing w:before="120" w:lineRule="auto"/>
        <w:ind w:left="360" w:hanging="360"/>
        <w:jc w:val="left"/>
        <w:rPr>
          <w:rFonts w:ascii="Arial" w:cs="Arial" w:eastAsia="Arial" w:hAnsi="Arial"/>
          <w:b w:val="1"/>
          <w:sz w:val="36"/>
          <w:szCs w:val="36"/>
        </w:rPr>
      </w:pPr>
      <w:bookmarkStart w:colFirst="0" w:colLast="0" w:name="_heading=h.gjdgxs" w:id="0"/>
      <w:bookmarkEnd w:id="0"/>
      <w:r w:rsidDel="00000000" w:rsidR="00000000" w:rsidRPr="00000000">
        <w:rPr>
          <w:rFonts w:ascii="Arial" w:cs="Arial" w:eastAsia="Arial" w:hAnsi="Arial"/>
          <w:b w:val="1"/>
          <w:sz w:val="36"/>
          <w:szCs w:val="36"/>
          <w:rtl w:val="0"/>
        </w:rPr>
        <w:t xml:space="preserve">Call-Off Schedule 25 (Billable Works and Projects)</w:t>
      </w:r>
    </w:p>
    <w:p w:rsidR="00000000" w:rsidDel="00000000" w:rsidP="00000000" w:rsidRDefault="00000000" w:rsidRPr="00000000" w14:paraId="00000002">
      <w:pPr>
        <w:numPr>
          <w:ilvl w:val="0"/>
          <w:numId w:val="1"/>
        </w:numPr>
        <w:pBdr>
          <w:top w:space="0" w:sz="0" w:val="nil"/>
          <w:left w:space="0" w:sz="0" w:val="nil"/>
          <w:bottom w:space="0" w:sz="0" w:val="nil"/>
          <w:right w:space="0" w:sz="0" w:val="nil"/>
          <w:between w:space="0" w:sz="0" w:val="nil"/>
        </w:pBdr>
        <w:spacing w:after="120" w:before="120" w:lineRule="auto"/>
        <w:ind w:left="360" w:hanging="36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Introduction</w:t>
      </w:r>
    </w:p>
    <w:p w:rsidR="00000000" w:rsidDel="00000000" w:rsidP="00000000" w:rsidRDefault="00000000" w:rsidRPr="00000000" w14:paraId="00000003">
      <w:pPr>
        <w:numPr>
          <w:ilvl w:val="1"/>
          <w:numId w:val="1"/>
        </w:numPr>
        <w:pBdr>
          <w:top w:space="0" w:sz="0" w:val="nil"/>
          <w:left w:space="0" w:sz="0" w:val="nil"/>
          <w:bottom w:space="0" w:sz="0" w:val="nil"/>
          <w:right w:space="0" w:sz="0" w:val="nil"/>
          <w:between w:space="0" w:sz="0" w:val="nil"/>
        </w:pBdr>
        <w:spacing w:after="120" w:before="120" w:lineRule="auto"/>
        <w:ind w:left="1080" w:hanging="72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This schedule prescribes the procedure, calculations and rates to be used by the Buyer and Supplier when assessing the Charges for</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00000"/>
          <w:sz w:val="24"/>
          <w:szCs w:val="24"/>
          <w:rtl w:val="0"/>
        </w:rPr>
        <w:t xml:space="preserve">Billable Works and Projects.</w:t>
      </w:r>
      <w:r w:rsidDel="00000000" w:rsidR="00000000" w:rsidRPr="00000000">
        <w:rPr>
          <w:rtl w:val="0"/>
        </w:rPr>
      </w:r>
    </w:p>
    <w:p w:rsidR="00000000" w:rsidDel="00000000" w:rsidP="00000000" w:rsidRDefault="00000000" w:rsidRPr="00000000" w14:paraId="00000004">
      <w:pPr>
        <w:numPr>
          <w:ilvl w:val="1"/>
          <w:numId w:val="1"/>
        </w:numPr>
        <w:pBdr>
          <w:top w:space="0" w:sz="0" w:val="nil"/>
          <w:left w:space="0" w:sz="0" w:val="nil"/>
          <w:bottom w:space="0" w:sz="0" w:val="nil"/>
          <w:right w:space="0" w:sz="0" w:val="nil"/>
          <w:between w:space="0" w:sz="0" w:val="nil"/>
        </w:pBdr>
        <w:spacing w:after="120" w:before="120" w:lineRule="auto"/>
        <w:ind w:left="1080" w:hanging="72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For the avoidance of doubt, nothing in this Schedule shall give the Supplier exclusive rights over Billable Works and Projects and the Buyer shall not be required to order Billable Works or Projects from the Supplier, and shall be entitled to order Billable Works and Projects from other Suppliers.</w:t>
      </w:r>
      <w:r w:rsidDel="00000000" w:rsidR="00000000" w:rsidRPr="00000000">
        <w:rPr>
          <w:rtl w:val="0"/>
        </w:rPr>
      </w:r>
    </w:p>
    <w:p w:rsidR="00000000" w:rsidDel="00000000" w:rsidP="00000000" w:rsidRDefault="00000000" w:rsidRPr="00000000" w14:paraId="00000005">
      <w:pPr>
        <w:numPr>
          <w:ilvl w:val="1"/>
          <w:numId w:val="1"/>
        </w:numPr>
        <w:pBdr>
          <w:top w:space="0" w:sz="0" w:val="nil"/>
          <w:left w:space="0" w:sz="0" w:val="nil"/>
          <w:bottom w:space="0" w:sz="0" w:val="nil"/>
          <w:right w:space="0" w:sz="0" w:val="nil"/>
          <w:between w:space="0" w:sz="0" w:val="nil"/>
        </w:pBdr>
        <w:spacing w:after="120" w:before="120" w:lineRule="auto"/>
        <w:ind w:left="1080" w:hanging="72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The Buyer reserves the right to vary or amend this Schedule a</w:t>
      </w:r>
      <w:r w:rsidDel="00000000" w:rsidR="00000000" w:rsidRPr="00000000">
        <w:rPr>
          <w:rFonts w:ascii="Arial" w:cs="Arial" w:eastAsia="Arial" w:hAnsi="Arial"/>
          <w:sz w:val="24"/>
          <w:szCs w:val="24"/>
          <w:rtl w:val="0"/>
        </w:rPr>
        <w:t xml:space="preserve">s part of a Call Off Award Procedure</w:t>
      </w:r>
    </w:p>
    <w:p w:rsidR="00000000" w:rsidDel="00000000" w:rsidP="00000000" w:rsidRDefault="00000000" w:rsidRPr="00000000" w14:paraId="00000006">
      <w:pPr>
        <w:numPr>
          <w:ilvl w:val="0"/>
          <w:numId w:val="1"/>
        </w:numPr>
        <w:pBdr>
          <w:top w:space="0" w:sz="0" w:val="nil"/>
          <w:left w:space="0" w:sz="0" w:val="nil"/>
          <w:bottom w:space="0" w:sz="0" w:val="nil"/>
          <w:right w:space="0" w:sz="0" w:val="nil"/>
          <w:between w:space="0" w:sz="0" w:val="nil"/>
        </w:pBdr>
        <w:spacing w:after="120" w:before="120" w:lineRule="auto"/>
        <w:ind w:left="360" w:hanging="36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Billable Works</w:t>
      </w:r>
    </w:p>
    <w:p w:rsidR="00000000" w:rsidDel="00000000" w:rsidP="00000000" w:rsidRDefault="00000000" w:rsidRPr="00000000" w14:paraId="00000007">
      <w:pPr>
        <w:numPr>
          <w:ilvl w:val="1"/>
          <w:numId w:val="1"/>
        </w:numPr>
        <w:pBdr>
          <w:top w:space="0" w:sz="0" w:val="nil"/>
          <w:left w:space="0" w:sz="0" w:val="nil"/>
          <w:bottom w:space="0" w:sz="0" w:val="nil"/>
          <w:right w:space="0" w:sz="0" w:val="nil"/>
          <w:between w:space="0" w:sz="0" w:val="nil"/>
        </w:pBdr>
        <w:spacing w:after="0" w:lineRule="auto"/>
        <w:ind w:left="1080" w:hanging="720"/>
        <w:jc w:val="left"/>
        <w:rPr>
          <w:rFonts w:ascii="Arial" w:cs="Arial" w:eastAsia="Arial" w:hAnsi="Arial"/>
          <w:color w:val="000000"/>
          <w:sz w:val="24"/>
          <w:szCs w:val="24"/>
        </w:rPr>
      </w:pPr>
      <w:r w:rsidDel="00000000" w:rsidR="00000000" w:rsidRPr="00000000">
        <w:rPr>
          <w:rFonts w:ascii="Arial" w:cs="Arial" w:eastAsia="Arial" w:hAnsi="Arial"/>
          <w:color w:val="222222"/>
          <w:sz w:val="24"/>
          <w:szCs w:val="24"/>
          <w:highlight w:val="white"/>
          <w:rtl w:val="0"/>
        </w:rPr>
        <w:t xml:space="preserve">The Billable Works Management Uplift Percentage shall be applied against the cost of the Billable Works.</w:t>
      </w: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lineRule="auto"/>
        <w:ind w:left="1080" w:firstLine="0"/>
        <w:jc w:val="left"/>
        <w:rPr>
          <w:rFonts w:ascii="Arial" w:cs="Arial" w:eastAsia="Arial" w:hAnsi="Arial"/>
          <w:color w:val="222222"/>
          <w:sz w:val="24"/>
          <w:szCs w:val="24"/>
          <w:highlight w:val="white"/>
        </w:rPr>
      </w:pPr>
      <w:r w:rsidDel="00000000" w:rsidR="00000000" w:rsidRPr="00000000">
        <w:rPr>
          <w:rtl w:val="0"/>
        </w:rPr>
      </w:r>
    </w:p>
    <w:p w:rsidR="00000000" w:rsidDel="00000000" w:rsidP="00000000" w:rsidRDefault="00000000" w:rsidRPr="00000000" w14:paraId="00000009">
      <w:pPr>
        <w:numPr>
          <w:ilvl w:val="1"/>
          <w:numId w:val="1"/>
        </w:numPr>
        <w:pBdr>
          <w:top w:space="0" w:sz="0" w:val="nil"/>
          <w:left w:space="0" w:sz="0" w:val="nil"/>
          <w:bottom w:space="0" w:sz="0" w:val="nil"/>
          <w:right w:space="0" w:sz="0" w:val="nil"/>
          <w:between w:space="0" w:sz="0" w:val="nil"/>
        </w:pBdr>
        <w:spacing w:after="0" w:lineRule="auto"/>
        <w:ind w:left="1080" w:hanging="720"/>
        <w:jc w:val="left"/>
        <w:rPr>
          <w:rFonts w:ascii="Arial" w:cs="Arial" w:eastAsia="Arial" w:hAnsi="Arial"/>
          <w:color w:val="000000"/>
          <w:sz w:val="24"/>
          <w:szCs w:val="24"/>
        </w:rPr>
      </w:pPr>
      <w:r w:rsidDel="00000000" w:rsidR="00000000" w:rsidRPr="00000000">
        <w:rPr>
          <w:rFonts w:ascii="Arial" w:cs="Arial" w:eastAsia="Arial" w:hAnsi="Arial"/>
          <w:color w:val="222222"/>
          <w:sz w:val="24"/>
          <w:szCs w:val="24"/>
          <w:highlight w:val="white"/>
          <w:rtl w:val="0"/>
        </w:rPr>
        <w:t xml:space="preserve">The Billable Works Management Uplift Percentage shall include the costs of:</w:t>
      </w: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lineRule="auto"/>
        <w:ind w:left="720" w:firstLine="0"/>
        <w:rPr>
          <w:rFonts w:ascii="Arial" w:cs="Arial" w:eastAsia="Arial" w:hAnsi="Arial"/>
          <w:color w:val="222222"/>
          <w:sz w:val="24"/>
          <w:szCs w:val="24"/>
        </w:rPr>
      </w:pPr>
      <w:r w:rsidDel="00000000" w:rsidR="00000000" w:rsidRPr="00000000">
        <w:rPr>
          <w:rtl w:val="0"/>
        </w:rPr>
      </w:r>
    </w:p>
    <w:p w:rsidR="00000000" w:rsidDel="00000000" w:rsidP="00000000" w:rsidRDefault="00000000" w:rsidRPr="00000000" w14:paraId="0000000B">
      <w:pPr>
        <w:numPr>
          <w:ilvl w:val="2"/>
          <w:numId w:val="1"/>
        </w:numPr>
        <w:pBdr>
          <w:top w:space="0" w:sz="0" w:val="nil"/>
          <w:left w:space="0" w:sz="0" w:val="nil"/>
          <w:bottom w:space="0" w:sz="0" w:val="nil"/>
          <w:right w:space="0" w:sz="0" w:val="nil"/>
          <w:between w:space="0" w:sz="0" w:val="nil"/>
        </w:pBdr>
        <w:spacing w:after="200" w:lineRule="auto"/>
        <w:ind w:left="1656" w:hanging="576"/>
        <w:jc w:val="left"/>
        <w:rPr>
          <w:rFonts w:ascii="Arial" w:cs="Arial" w:eastAsia="Arial" w:hAnsi="Arial"/>
          <w:sz w:val="24"/>
          <w:szCs w:val="24"/>
        </w:rPr>
      </w:pPr>
      <w:bookmarkStart w:colFirst="0" w:colLast="0" w:name="_heading=h.30j0zll" w:id="1"/>
      <w:bookmarkEnd w:id="1"/>
      <w:r w:rsidDel="00000000" w:rsidR="00000000" w:rsidRPr="00000000">
        <w:rPr>
          <w:rFonts w:ascii="Arial" w:cs="Arial" w:eastAsia="Arial" w:hAnsi="Arial"/>
          <w:color w:val="222222"/>
          <w:sz w:val="24"/>
          <w:szCs w:val="24"/>
          <w:highlight w:val="white"/>
          <w:rtl w:val="0"/>
        </w:rPr>
        <w:t xml:space="preserve">processing and managing the quotation/tenders within each tier as per the Buyer’s process;</w:t>
      </w:r>
      <w:r w:rsidDel="00000000" w:rsidR="00000000" w:rsidRPr="00000000">
        <w:rPr>
          <w:rtl w:val="0"/>
        </w:rPr>
      </w:r>
    </w:p>
    <w:p w:rsidR="00000000" w:rsidDel="00000000" w:rsidP="00000000" w:rsidRDefault="00000000" w:rsidRPr="00000000" w14:paraId="0000000C">
      <w:pPr>
        <w:numPr>
          <w:ilvl w:val="2"/>
          <w:numId w:val="1"/>
        </w:numPr>
        <w:pBdr>
          <w:top w:space="0" w:sz="0" w:val="nil"/>
          <w:left w:space="0" w:sz="0" w:val="nil"/>
          <w:bottom w:space="0" w:sz="0" w:val="nil"/>
          <w:right w:space="0" w:sz="0" w:val="nil"/>
          <w:between w:space="0" w:sz="0" w:val="nil"/>
        </w:pBdr>
        <w:spacing w:after="200" w:lineRule="auto"/>
        <w:ind w:left="1656" w:hanging="576"/>
        <w:jc w:val="left"/>
        <w:rPr>
          <w:rFonts w:ascii="Arial" w:cs="Arial" w:eastAsia="Arial" w:hAnsi="Arial"/>
          <w:sz w:val="24"/>
          <w:szCs w:val="24"/>
        </w:rPr>
      </w:pPr>
      <w:r w:rsidDel="00000000" w:rsidR="00000000" w:rsidRPr="00000000">
        <w:rPr>
          <w:rFonts w:ascii="Arial" w:cs="Arial" w:eastAsia="Arial" w:hAnsi="Arial"/>
          <w:color w:val="222222"/>
          <w:sz w:val="24"/>
          <w:szCs w:val="24"/>
          <w:highlight w:val="white"/>
          <w:rtl w:val="0"/>
        </w:rPr>
        <w:t xml:space="preserve">management of Billable Works;</w:t>
      </w:r>
      <w:r w:rsidDel="00000000" w:rsidR="00000000" w:rsidRPr="00000000">
        <w:rPr>
          <w:rtl w:val="0"/>
        </w:rPr>
      </w:r>
    </w:p>
    <w:p w:rsidR="00000000" w:rsidDel="00000000" w:rsidP="00000000" w:rsidRDefault="00000000" w:rsidRPr="00000000" w14:paraId="0000000D">
      <w:pPr>
        <w:numPr>
          <w:ilvl w:val="2"/>
          <w:numId w:val="1"/>
        </w:numPr>
        <w:pBdr>
          <w:top w:space="0" w:sz="0" w:val="nil"/>
          <w:left w:space="0" w:sz="0" w:val="nil"/>
          <w:bottom w:space="0" w:sz="0" w:val="nil"/>
          <w:right w:space="0" w:sz="0" w:val="nil"/>
          <w:between w:space="0" w:sz="0" w:val="nil"/>
        </w:pBdr>
        <w:spacing w:after="200" w:lineRule="auto"/>
        <w:ind w:left="1656" w:hanging="576"/>
        <w:jc w:val="left"/>
        <w:rPr>
          <w:rFonts w:ascii="Arial" w:cs="Arial" w:eastAsia="Arial" w:hAnsi="Arial"/>
          <w:sz w:val="24"/>
          <w:szCs w:val="24"/>
        </w:rPr>
      </w:pPr>
      <w:bookmarkStart w:colFirst="0" w:colLast="0" w:name="_heading=h.1fob9te" w:id="2"/>
      <w:bookmarkEnd w:id="2"/>
      <w:r w:rsidDel="00000000" w:rsidR="00000000" w:rsidRPr="00000000">
        <w:rPr>
          <w:rFonts w:ascii="Arial" w:cs="Arial" w:eastAsia="Arial" w:hAnsi="Arial"/>
          <w:color w:val="222222"/>
          <w:sz w:val="24"/>
          <w:szCs w:val="24"/>
          <w:highlight w:val="white"/>
          <w:rtl w:val="0"/>
        </w:rPr>
        <w:t xml:space="preserve">management of subcontractors</w:t>
      </w:r>
      <w:r w:rsidDel="00000000" w:rsidR="00000000" w:rsidRPr="00000000">
        <w:rPr>
          <w:rFonts w:ascii="Arial" w:cs="Arial" w:eastAsia="Arial" w:hAnsi="Arial"/>
          <w:color w:val="222222"/>
          <w:sz w:val="24"/>
          <w:szCs w:val="24"/>
          <w:rtl w:val="0"/>
        </w:rPr>
        <w:t xml:space="preserve"> (where applicable); and</w:t>
      </w:r>
      <w:r w:rsidDel="00000000" w:rsidR="00000000" w:rsidRPr="00000000">
        <w:rPr>
          <w:rtl w:val="0"/>
        </w:rPr>
      </w:r>
    </w:p>
    <w:p w:rsidR="00000000" w:rsidDel="00000000" w:rsidP="00000000" w:rsidRDefault="00000000" w:rsidRPr="00000000" w14:paraId="0000000E">
      <w:pPr>
        <w:numPr>
          <w:ilvl w:val="2"/>
          <w:numId w:val="1"/>
        </w:numPr>
        <w:pBdr>
          <w:top w:space="0" w:sz="0" w:val="nil"/>
          <w:left w:space="0" w:sz="0" w:val="nil"/>
          <w:bottom w:space="0" w:sz="0" w:val="nil"/>
          <w:right w:space="0" w:sz="0" w:val="nil"/>
          <w:between w:space="0" w:sz="0" w:val="nil"/>
        </w:pBdr>
        <w:spacing w:after="200" w:lineRule="auto"/>
        <w:ind w:left="1656" w:hanging="576"/>
        <w:jc w:val="left"/>
        <w:rPr>
          <w:rFonts w:ascii="Arial" w:cs="Arial" w:eastAsia="Arial" w:hAnsi="Arial"/>
          <w:sz w:val="24"/>
          <w:szCs w:val="24"/>
        </w:rPr>
      </w:pPr>
      <w:bookmarkStart w:colFirst="0" w:colLast="0" w:name="_heading=h.3znysh7" w:id="3"/>
      <w:bookmarkEnd w:id="3"/>
      <w:r w:rsidDel="00000000" w:rsidR="00000000" w:rsidRPr="00000000">
        <w:rPr>
          <w:rFonts w:ascii="Arial" w:cs="Arial" w:eastAsia="Arial" w:hAnsi="Arial"/>
          <w:color w:val="222222"/>
          <w:sz w:val="24"/>
          <w:szCs w:val="24"/>
          <w:rtl w:val="0"/>
        </w:rPr>
        <w:t xml:space="preserve">day to day administration. </w:t>
      </w: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0" w:lineRule="auto"/>
        <w:ind w:left="1656"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0">
      <w:pPr>
        <w:numPr>
          <w:ilvl w:val="1"/>
          <w:numId w:val="1"/>
        </w:numPr>
        <w:pBdr>
          <w:top w:space="0" w:sz="0" w:val="nil"/>
          <w:left w:space="0" w:sz="0" w:val="nil"/>
          <w:bottom w:space="0" w:sz="0" w:val="nil"/>
          <w:right w:space="0" w:sz="0" w:val="nil"/>
          <w:between w:space="0" w:sz="0" w:val="nil"/>
        </w:pBdr>
        <w:spacing w:after="0" w:lineRule="auto"/>
        <w:ind w:left="1080" w:hanging="720"/>
        <w:jc w:val="left"/>
        <w:rPr>
          <w:rFonts w:ascii="Arial" w:cs="Arial" w:eastAsia="Arial" w:hAnsi="Arial"/>
          <w:sz w:val="24"/>
          <w:szCs w:val="24"/>
        </w:rPr>
      </w:pPr>
      <w:r w:rsidDel="00000000" w:rsidR="00000000" w:rsidRPr="00000000">
        <w:rPr>
          <w:rFonts w:ascii="Arial" w:cs="Arial" w:eastAsia="Arial" w:hAnsi="Arial"/>
          <w:color w:val="222222"/>
          <w:sz w:val="24"/>
          <w:szCs w:val="24"/>
          <w:rtl w:val="0"/>
        </w:rPr>
        <w:t xml:space="preserve">The Billable Works Management Uplift Percentage shall not be applied to any service delivery costs which are expected to be included in the pricing of the Billable Works.</w:t>
      </w:r>
      <w:r w:rsidDel="00000000" w:rsidR="00000000" w:rsidRPr="00000000">
        <w:rPr>
          <w:rtl w:val="0"/>
        </w:rPr>
      </w:r>
    </w:p>
    <w:p w:rsidR="00000000" w:rsidDel="00000000" w:rsidP="00000000" w:rsidRDefault="00000000" w:rsidRPr="00000000" w14:paraId="00000011">
      <w:pPr>
        <w:numPr>
          <w:ilvl w:val="1"/>
          <w:numId w:val="1"/>
        </w:numPr>
        <w:pBdr>
          <w:top w:space="0" w:sz="0" w:val="nil"/>
          <w:left w:space="0" w:sz="0" w:val="nil"/>
          <w:bottom w:space="0" w:sz="0" w:val="nil"/>
          <w:right w:space="0" w:sz="0" w:val="nil"/>
          <w:between w:space="0" w:sz="0" w:val="nil"/>
        </w:pBdr>
        <w:spacing w:after="120" w:before="120" w:lineRule="auto"/>
        <w:ind w:left="1080" w:hanging="72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All Billable Works shall be authorised in accordance with the Billable Works and Approvals Process.  The Buyer may at its discretion require Billable Works to be:</w:t>
      </w:r>
      <w:r w:rsidDel="00000000" w:rsidR="00000000" w:rsidRPr="00000000">
        <w:rPr>
          <w:rtl w:val="0"/>
        </w:rPr>
      </w:r>
    </w:p>
    <w:p w:rsidR="00000000" w:rsidDel="00000000" w:rsidP="00000000" w:rsidRDefault="00000000" w:rsidRPr="00000000" w14:paraId="00000012">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576"/>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managed and executed by the Supplier;</w:t>
      </w:r>
      <w:r w:rsidDel="00000000" w:rsidR="00000000" w:rsidRPr="00000000">
        <w:rPr>
          <w:rtl w:val="0"/>
        </w:rPr>
      </w:r>
    </w:p>
    <w:p w:rsidR="00000000" w:rsidDel="00000000" w:rsidP="00000000" w:rsidRDefault="00000000" w:rsidRPr="00000000" w14:paraId="00000013">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576"/>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managed by a third party nominated by the Buyer and executed by the Supplier; </w:t>
      </w:r>
      <w:r w:rsidDel="00000000" w:rsidR="00000000" w:rsidRPr="00000000">
        <w:rPr>
          <w:rtl w:val="0"/>
        </w:rPr>
      </w:r>
    </w:p>
    <w:p w:rsidR="00000000" w:rsidDel="00000000" w:rsidP="00000000" w:rsidRDefault="00000000" w:rsidRPr="00000000" w14:paraId="00000014">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576"/>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managed by the Supplier and executed by any third party nominated by the Buyer.</w:t>
      </w:r>
      <w:r w:rsidDel="00000000" w:rsidR="00000000" w:rsidRPr="00000000">
        <w:rPr>
          <w:rtl w:val="0"/>
        </w:rPr>
      </w:r>
    </w:p>
    <w:p w:rsidR="00000000" w:rsidDel="00000000" w:rsidP="00000000" w:rsidRDefault="00000000" w:rsidRPr="00000000" w14:paraId="00000015">
      <w:pPr>
        <w:numPr>
          <w:ilvl w:val="1"/>
          <w:numId w:val="1"/>
        </w:numPr>
        <w:pBdr>
          <w:top w:space="0" w:sz="0" w:val="nil"/>
          <w:left w:space="0" w:sz="0" w:val="nil"/>
          <w:bottom w:space="0" w:sz="0" w:val="nil"/>
          <w:right w:space="0" w:sz="0" w:val="nil"/>
          <w:between w:space="0" w:sz="0" w:val="nil"/>
        </w:pBdr>
        <w:spacing w:after="120" w:before="120" w:lineRule="auto"/>
        <w:ind w:left="1080" w:hanging="720"/>
        <w:rPr>
          <w:rFonts w:ascii="Arial" w:cs="Arial" w:eastAsia="Arial" w:hAnsi="Arial"/>
          <w:sz w:val="24"/>
          <w:szCs w:val="24"/>
        </w:rPr>
      </w:pPr>
      <w:bookmarkStart w:colFirst="0" w:colLast="0" w:name="_heading=h.2et92p0" w:id="4"/>
      <w:bookmarkEnd w:id="4"/>
      <w:r w:rsidDel="00000000" w:rsidR="00000000" w:rsidRPr="00000000">
        <w:rPr>
          <w:rFonts w:ascii="Arial" w:cs="Arial" w:eastAsia="Arial" w:hAnsi="Arial"/>
          <w:color w:val="000000"/>
          <w:sz w:val="24"/>
          <w:szCs w:val="24"/>
          <w:rtl w:val="0"/>
        </w:rPr>
        <w:t xml:space="preserve">Any estimate/quotation for Billable Works shall break down the costs into the categories below:</w:t>
      </w:r>
      <w:r w:rsidDel="00000000" w:rsidR="00000000" w:rsidRPr="00000000">
        <w:rPr>
          <w:rtl w:val="0"/>
        </w:rPr>
      </w:r>
    </w:p>
    <w:p w:rsidR="00000000" w:rsidDel="00000000" w:rsidP="00000000" w:rsidRDefault="00000000" w:rsidRPr="00000000" w14:paraId="00000016">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576"/>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labour;</w:t>
      </w:r>
      <w:r w:rsidDel="00000000" w:rsidR="00000000" w:rsidRPr="00000000">
        <w:rPr>
          <w:rtl w:val="0"/>
        </w:rPr>
      </w:r>
    </w:p>
    <w:p w:rsidR="00000000" w:rsidDel="00000000" w:rsidP="00000000" w:rsidRDefault="00000000" w:rsidRPr="00000000" w14:paraId="00000017">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57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materials; </w:t>
      </w:r>
    </w:p>
    <w:p w:rsidR="00000000" w:rsidDel="00000000" w:rsidP="00000000" w:rsidRDefault="00000000" w:rsidRPr="00000000" w14:paraId="00000018">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57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such other applicable cost categories as the Buyer may notify to the Supplier from time to time; </w:t>
      </w:r>
    </w:p>
    <w:p w:rsidR="00000000" w:rsidDel="00000000" w:rsidP="00000000" w:rsidRDefault="00000000" w:rsidRPr="00000000" w14:paraId="00000019">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576"/>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relevant Billable Works Management Uplift Percentage (which includes Overhead); and</w:t>
      </w:r>
    </w:p>
    <w:p w:rsidR="00000000" w:rsidDel="00000000" w:rsidP="00000000" w:rsidRDefault="00000000" w:rsidRPr="00000000" w14:paraId="0000001A">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576"/>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profit. </w:t>
      </w: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C">
      <w:pPr>
        <w:numPr>
          <w:ilvl w:val="1"/>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080" w:hanging="72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Where Billable Works are delivered directly via the Supplier’s appointed Sub</w:t>
      </w:r>
      <w:r w:rsidDel="00000000" w:rsidR="00000000" w:rsidRPr="00000000">
        <w:rPr>
          <w:rFonts w:ascii="Arial" w:cs="Arial" w:eastAsia="Arial" w:hAnsi="Arial"/>
          <w:sz w:val="24"/>
          <w:szCs w:val="24"/>
          <w:rtl w:val="0"/>
        </w:rPr>
        <w:t xml:space="preserve">c</w:t>
      </w:r>
      <w:r w:rsidDel="00000000" w:rsidR="00000000" w:rsidRPr="00000000">
        <w:rPr>
          <w:rFonts w:ascii="Arial" w:cs="Arial" w:eastAsia="Arial" w:hAnsi="Arial"/>
          <w:color w:val="000000"/>
          <w:sz w:val="24"/>
          <w:szCs w:val="24"/>
          <w:rtl w:val="0"/>
        </w:rPr>
        <w:t xml:space="preserve">ontractor the estimate/quotation shall breakdown the cost categories as per 2.5.1 – 2.5.5 and shall also include:</w:t>
      </w:r>
      <w:r w:rsidDel="00000000" w:rsidR="00000000" w:rsidRPr="00000000">
        <w:rPr>
          <w:rtl w:val="0"/>
        </w:rPr>
      </w:r>
    </w:p>
    <w:p w:rsidR="00000000" w:rsidDel="00000000" w:rsidP="00000000" w:rsidRDefault="00000000" w:rsidRPr="00000000" w14:paraId="0000001D">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57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Subcontractor name</w:t>
      </w:r>
    </w:p>
    <w:p w:rsidR="00000000" w:rsidDel="00000000" w:rsidP="00000000" w:rsidRDefault="00000000" w:rsidRPr="00000000" w14:paraId="0000001E">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57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Subcontractor total cost (including Subcontractor’s profit and overhead)</w:t>
      </w:r>
    </w:p>
    <w:p w:rsidR="00000000" w:rsidDel="00000000" w:rsidP="00000000" w:rsidRDefault="00000000" w:rsidRPr="00000000" w14:paraId="0000001F">
      <w:pPr>
        <w:numPr>
          <w:ilvl w:val="1"/>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080" w:hanging="720"/>
        <w:rPr>
          <w:rFonts w:ascii="Arial" w:cs="Arial" w:eastAsia="Arial" w:hAnsi="Arial"/>
        </w:rPr>
      </w:pPr>
      <w:r w:rsidDel="00000000" w:rsidR="00000000" w:rsidRPr="00000000">
        <w:rPr>
          <w:rFonts w:ascii="Arial" w:cs="Arial" w:eastAsia="Arial" w:hAnsi="Arial"/>
          <w:sz w:val="24"/>
          <w:szCs w:val="24"/>
          <w:rtl w:val="0"/>
        </w:rPr>
        <w:t xml:space="preserve">The application of the Billable Works Management Uplift Percentage and Profit percentages shall be as follows:</w:t>
      </w:r>
      <w:r w:rsidDel="00000000" w:rsidR="00000000" w:rsidRPr="00000000">
        <w:rPr>
          <w:rtl w:val="0"/>
        </w:rPr>
      </w:r>
    </w:p>
    <w:p w:rsidR="00000000" w:rsidDel="00000000" w:rsidP="00000000" w:rsidRDefault="00000000" w:rsidRPr="00000000" w14:paraId="00000020">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576"/>
        <w:rPr>
          <w:rFonts w:ascii="Arial" w:cs="Arial" w:eastAsia="Arial" w:hAnsi="Arial"/>
          <w:sz w:val="24"/>
          <w:szCs w:val="24"/>
        </w:rPr>
      </w:pPr>
      <w:r w:rsidDel="00000000" w:rsidR="00000000" w:rsidRPr="00000000">
        <w:rPr>
          <w:rFonts w:ascii="Arial" w:cs="Arial" w:eastAsia="Arial" w:hAnsi="Arial"/>
          <w:sz w:val="24"/>
          <w:szCs w:val="24"/>
          <w:rtl w:val="0"/>
        </w:rPr>
        <w:t xml:space="preserve">Calculate sum total of costs defined in paragraph 2.5.1 – 2.5.4</w:t>
      </w:r>
    </w:p>
    <w:p w:rsidR="00000000" w:rsidDel="00000000" w:rsidP="00000000" w:rsidRDefault="00000000" w:rsidRPr="00000000" w14:paraId="00000021">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576"/>
        <w:rPr>
          <w:rFonts w:ascii="Arial" w:cs="Arial" w:eastAsia="Arial" w:hAnsi="Arial"/>
          <w:sz w:val="24"/>
          <w:szCs w:val="24"/>
        </w:rPr>
      </w:pPr>
      <w:r w:rsidDel="00000000" w:rsidR="00000000" w:rsidRPr="00000000">
        <w:rPr>
          <w:rFonts w:ascii="Arial" w:cs="Arial" w:eastAsia="Arial" w:hAnsi="Arial"/>
          <w:sz w:val="24"/>
          <w:szCs w:val="24"/>
          <w:rtl w:val="0"/>
        </w:rPr>
        <w:t xml:space="preserve">Apply Billable Works Management Uplift Percentage as per 2.5.4 </w:t>
      </w:r>
    </w:p>
    <w:p w:rsidR="00000000" w:rsidDel="00000000" w:rsidP="00000000" w:rsidRDefault="00000000" w:rsidRPr="00000000" w14:paraId="00000022">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576"/>
        <w:rPr>
          <w:rFonts w:ascii="Arial" w:cs="Arial" w:eastAsia="Arial" w:hAnsi="Arial"/>
          <w:sz w:val="24"/>
          <w:szCs w:val="24"/>
        </w:rPr>
      </w:pPr>
      <w:r w:rsidDel="00000000" w:rsidR="00000000" w:rsidRPr="00000000">
        <w:rPr>
          <w:rFonts w:ascii="Arial" w:cs="Arial" w:eastAsia="Arial" w:hAnsi="Arial"/>
          <w:sz w:val="24"/>
          <w:szCs w:val="24"/>
          <w:rtl w:val="0"/>
        </w:rPr>
        <w:t xml:space="preserve">Apply profit as per 2.5.5 </w:t>
      </w:r>
    </w:p>
    <w:p w:rsidR="00000000" w:rsidDel="00000000" w:rsidP="00000000" w:rsidRDefault="00000000" w:rsidRPr="00000000" w14:paraId="00000023">
      <w:pPr>
        <w:spacing w:after="120" w:before="12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4">
      <w:pPr>
        <w:numPr>
          <w:ilvl w:val="0"/>
          <w:numId w:val="1"/>
        </w:numPr>
        <w:spacing w:after="120" w:before="120" w:lineRule="auto"/>
        <w:ind w:left="360" w:hanging="360"/>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Quotations and Tenders for Billable Works</w:t>
      </w:r>
      <w:r w:rsidDel="00000000" w:rsidR="00000000" w:rsidRPr="00000000">
        <w:rPr>
          <w:rtl w:val="0"/>
        </w:rPr>
      </w:r>
    </w:p>
    <w:p w:rsidR="00000000" w:rsidDel="00000000" w:rsidP="00000000" w:rsidRDefault="00000000" w:rsidRPr="00000000" w14:paraId="00000025">
      <w:pPr>
        <w:numPr>
          <w:ilvl w:val="1"/>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080" w:hanging="720"/>
        <w:rPr>
          <w:rFonts w:ascii="Arial" w:cs="Arial" w:eastAsia="Arial" w:hAnsi="Arial"/>
        </w:rPr>
      </w:pPr>
      <w:bookmarkStart w:colFirst="0" w:colLast="0" w:name="_heading=h.tyjcwt" w:id="5"/>
      <w:bookmarkEnd w:id="5"/>
      <w:r w:rsidDel="00000000" w:rsidR="00000000" w:rsidRPr="00000000">
        <w:rPr>
          <w:rFonts w:ascii="Arial" w:cs="Arial" w:eastAsia="Arial" w:hAnsi="Arial"/>
          <w:color w:val="000000"/>
          <w:sz w:val="24"/>
          <w:szCs w:val="24"/>
          <w:rtl w:val="0"/>
        </w:rPr>
        <w:t xml:space="preserve">Where the Buyer gives instructions to the Supplier to manage and/or execute Billable Works according to </w:t>
      </w:r>
      <w:r w:rsidDel="00000000" w:rsidR="00000000" w:rsidRPr="00000000">
        <w:rPr>
          <w:rFonts w:ascii="Arial" w:cs="Arial" w:eastAsia="Arial" w:hAnsi="Arial"/>
          <w:sz w:val="24"/>
          <w:szCs w:val="24"/>
          <w:rtl w:val="0"/>
        </w:rPr>
        <w:t xml:space="preserve">the estimated value range</w:t>
      </w:r>
      <w:r w:rsidDel="00000000" w:rsidR="00000000" w:rsidRPr="00000000">
        <w:rPr>
          <w:rFonts w:ascii="Arial" w:cs="Arial" w:eastAsia="Arial" w:hAnsi="Arial"/>
          <w:color w:val="000000"/>
          <w:sz w:val="24"/>
          <w:szCs w:val="24"/>
          <w:rtl w:val="0"/>
        </w:rPr>
        <w:t xml:space="preserve">s, unless otherwise stated at Call Off </w:t>
      </w:r>
      <w:r w:rsidDel="00000000" w:rsidR="00000000" w:rsidRPr="00000000">
        <w:rPr>
          <w:rFonts w:ascii="Arial" w:cs="Arial" w:eastAsia="Arial" w:hAnsi="Arial"/>
          <w:sz w:val="24"/>
          <w:szCs w:val="24"/>
          <w:rtl w:val="0"/>
        </w:rPr>
        <w:t xml:space="preserve">within the Order Form:</w:t>
      </w:r>
      <w:r w:rsidDel="00000000" w:rsidR="00000000" w:rsidRPr="00000000">
        <w:rPr>
          <w:rtl w:val="0"/>
        </w:rPr>
      </w:r>
    </w:p>
    <w:p w:rsidR="00000000" w:rsidDel="00000000" w:rsidP="00000000" w:rsidRDefault="00000000" w:rsidRPr="00000000" w14:paraId="00000026">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576"/>
        <w:rPr>
          <w:rFonts w:ascii="Arial" w:cs="Arial" w:eastAsia="Arial" w:hAnsi="Arial"/>
        </w:rPr>
      </w:pPr>
      <w:r w:rsidDel="00000000" w:rsidR="00000000" w:rsidRPr="00000000">
        <w:rPr>
          <w:rFonts w:ascii="Arial" w:cs="Arial" w:eastAsia="Arial" w:hAnsi="Arial"/>
          <w:sz w:val="24"/>
          <w:szCs w:val="24"/>
          <w:rtl w:val="0"/>
        </w:rPr>
        <w:t xml:space="preserve">Tier</w:t>
      </w:r>
      <w:r w:rsidDel="00000000" w:rsidR="00000000" w:rsidRPr="00000000">
        <w:rPr>
          <w:rFonts w:ascii="Arial" w:cs="Arial" w:eastAsia="Arial" w:hAnsi="Arial"/>
          <w:color w:val="000000"/>
          <w:sz w:val="24"/>
          <w:szCs w:val="24"/>
          <w:rtl w:val="0"/>
        </w:rPr>
        <w:t xml:space="preserve"> One Billable Works shall be managed and executed by the Supplier. Where the Billable Works are to be delivered directly by the Supplier, the Supplier shall provide an estimate of costs in accordance with the rates set out in Call Off Schedule 5 (Pricing Details) or other schedule of rates as requested by the Buyer at Call Off. Where Billable Works are to be undertaken by other Supplier appointed third parties, the Supplier shall provide at least [one] written quotation. The Supplier shall not commence any Tier One Billable Works until approval has been granted by the Buyer to proceed to completion. </w:t>
      </w:r>
      <w:r w:rsidDel="00000000" w:rsidR="00000000" w:rsidRPr="00000000">
        <w:rPr>
          <w:rtl w:val="0"/>
        </w:rPr>
      </w:r>
    </w:p>
    <w:p w:rsidR="00000000" w:rsidDel="00000000" w:rsidP="00000000" w:rsidRDefault="00000000" w:rsidRPr="00000000" w14:paraId="00000027">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576"/>
        <w:rPr>
          <w:rFonts w:ascii="Arial" w:cs="Arial" w:eastAsia="Arial" w:hAnsi="Arial"/>
        </w:rPr>
      </w:pPr>
      <w:r w:rsidDel="00000000" w:rsidR="00000000" w:rsidRPr="00000000">
        <w:rPr>
          <w:rFonts w:ascii="Arial" w:cs="Arial" w:eastAsia="Arial" w:hAnsi="Arial"/>
          <w:color w:val="000000"/>
          <w:sz w:val="24"/>
          <w:szCs w:val="24"/>
          <w:rtl w:val="0"/>
        </w:rPr>
        <w:t xml:space="preserve">Tier Two Billable Works shall be managed and/or executed by the Supplier. Where instructed by the Buyer, the Supplier shall obtain at least [three] written quotations. The Supplier shall not commence any Tier Two Billable Works until approval has been granted by the Buyer to proceed to completion. </w:t>
      </w:r>
      <w:r w:rsidDel="00000000" w:rsidR="00000000" w:rsidRPr="00000000">
        <w:rPr>
          <w:rtl w:val="0"/>
        </w:rPr>
      </w:r>
    </w:p>
    <w:p w:rsidR="00000000" w:rsidDel="00000000" w:rsidP="00000000" w:rsidRDefault="00000000" w:rsidRPr="00000000" w14:paraId="00000028">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576"/>
        <w:rPr>
          <w:rFonts w:ascii="Arial" w:cs="Arial" w:eastAsia="Arial" w:hAnsi="Arial"/>
        </w:rPr>
      </w:pPr>
      <w:r w:rsidDel="00000000" w:rsidR="00000000" w:rsidRPr="00000000">
        <w:rPr>
          <w:rFonts w:ascii="Arial" w:cs="Arial" w:eastAsia="Arial" w:hAnsi="Arial"/>
          <w:color w:val="000000"/>
          <w:sz w:val="24"/>
          <w:szCs w:val="24"/>
          <w:rtl w:val="0"/>
        </w:rPr>
        <w:t xml:space="preserve">Tier Three Billable Works shall be managed and/or executed by the Supplier.  Where instructed by the Buyer, the Supplier shall obtain at least [three] formal tenders under the defined procurement process as agreed between the Supplier and the Buyer from time to time. The Supplier shall not commence any Tier Three Billable Works until approval has been granted by the Buyer to proceed to completion. </w:t>
      </w:r>
      <w:r w:rsidDel="00000000" w:rsidR="00000000" w:rsidRPr="00000000">
        <w:rPr>
          <w:rtl w:val="0"/>
        </w:rPr>
      </w:r>
    </w:p>
    <w:p w:rsidR="00000000" w:rsidDel="00000000" w:rsidP="00000000" w:rsidRDefault="00000000" w:rsidRPr="00000000" w14:paraId="00000029">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576"/>
        <w:rPr>
          <w:rFonts w:ascii="Arial" w:cs="Arial" w:eastAsia="Arial" w:hAnsi="Arial"/>
        </w:rPr>
      </w:pPr>
      <w:r w:rsidDel="00000000" w:rsidR="00000000" w:rsidRPr="00000000">
        <w:rPr>
          <w:rFonts w:ascii="Arial" w:cs="Arial" w:eastAsia="Arial" w:hAnsi="Arial"/>
          <w:color w:val="000000"/>
          <w:sz w:val="24"/>
          <w:szCs w:val="24"/>
          <w:rtl w:val="0"/>
        </w:rPr>
        <w:t xml:space="preserve">Tier Four Billable Works shall be managed and/or executed by the Supplier. Where instructed by the Buyer, the Supplier shall obtain at least [five] formal tenders under the Supplier’s defined procurement process. The Supplier shall not commence any Tier Four Billable Works until approval has been granted by the Buyer to proceed to completion.   </w:t>
      </w:r>
      <w:r w:rsidDel="00000000" w:rsidR="00000000" w:rsidRPr="00000000">
        <w:rPr>
          <w:rtl w:val="0"/>
        </w:rPr>
      </w:r>
    </w:p>
    <w:p w:rsidR="00000000" w:rsidDel="00000000" w:rsidP="00000000" w:rsidRDefault="00000000" w:rsidRPr="00000000" w14:paraId="0000002A">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576"/>
        <w:rPr>
          <w:rFonts w:ascii="Arial" w:cs="Arial" w:eastAsia="Arial" w:hAnsi="Arial"/>
          <w:color w:val="000000"/>
        </w:rPr>
      </w:pPr>
      <w:r w:rsidDel="00000000" w:rsidR="00000000" w:rsidRPr="00000000">
        <w:rPr>
          <w:rFonts w:ascii="Arial" w:cs="Arial" w:eastAsia="Arial" w:hAnsi="Arial"/>
          <w:color w:val="000000"/>
          <w:sz w:val="24"/>
          <w:szCs w:val="24"/>
          <w:rtl w:val="0"/>
        </w:rPr>
        <w:t xml:space="preserve">Where the Buyer allows the Supplier to both manage the tender process and tender for the Billable Works, the Supplier shall ensure appropriate Ethical </w:t>
      </w:r>
      <w:r w:rsidDel="00000000" w:rsidR="00000000" w:rsidRPr="00000000">
        <w:rPr>
          <w:rFonts w:ascii="Arial" w:cs="Arial" w:eastAsia="Arial" w:hAnsi="Arial"/>
          <w:sz w:val="24"/>
          <w:szCs w:val="24"/>
          <w:rtl w:val="0"/>
        </w:rPr>
        <w:t xml:space="preserve">W</w:t>
      </w:r>
      <w:r w:rsidDel="00000000" w:rsidR="00000000" w:rsidRPr="00000000">
        <w:rPr>
          <w:rFonts w:ascii="Arial" w:cs="Arial" w:eastAsia="Arial" w:hAnsi="Arial"/>
          <w:color w:val="000000"/>
          <w:sz w:val="24"/>
          <w:szCs w:val="24"/>
          <w:rtl w:val="0"/>
        </w:rPr>
        <w:t xml:space="preserve">all arrangements are in place to prevent conflicts of interest and that the Public Contract Regulations (2015) are adhered to.</w:t>
      </w:r>
      <w:r w:rsidDel="00000000" w:rsidR="00000000" w:rsidRPr="00000000">
        <w:rPr>
          <w:rtl w:val="0"/>
        </w:rPr>
      </w:r>
    </w:p>
    <w:p w:rsidR="00000000" w:rsidDel="00000000" w:rsidP="00000000" w:rsidRDefault="00000000" w:rsidRPr="00000000" w14:paraId="0000002B">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576"/>
        <w:rPr>
          <w:rFonts w:ascii="Arial" w:cs="Arial" w:eastAsia="Arial" w:hAnsi="Arial"/>
          <w:sz w:val="28"/>
          <w:szCs w:val="28"/>
        </w:rPr>
      </w:pPr>
      <w:r w:rsidDel="00000000" w:rsidR="00000000" w:rsidRPr="00000000">
        <w:rPr>
          <w:rFonts w:ascii="Arial" w:cs="Arial" w:eastAsia="Arial" w:hAnsi="Arial"/>
          <w:color w:val="202124"/>
          <w:sz w:val="24"/>
          <w:szCs w:val="24"/>
          <w:highlight w:val="white"/>
          <w:rtl w:val="0"/>
        </w:rPr>
        <w:t xml:space="preserve">The terms and conditions for Billable Works will be as per those in the PSC unless otherwise specified by the Buyer under their defined procurement process.</w:t>
      </w:r>
      <w:r w:rsidDel="00000000" w:rsidR="00000000" w:rsidRPr="00000000">
        <w:rPr>
          <w:rtl w:val="0"/>
        </w:rPr>
      </w:r>
    </w:p>
    <w:p w:rsidR="00000000" w:rsidDel="00000000" w:rsidP="00000000" w:rsidRDefault="00000000" w:rsidRPr="00000000" w14:paraId="0000002C">
      <w:pPr>
        <w:numPr>
          <w:ilvl w:val="1"/>
          <w:numId w:val="1"/>
        </w:numPr>
        <w:pBdr>
          <w:top w:space="0" w:sz="0" w:val="nil"/>
          <w:left w:space="0" w:sz="0" w:val="nil"/>
          <w:bottom w:space="0" w:sz="0" w:val="nil"/>
          <w:right w:space="0" w:sz="0" w:val="nil"/>
          <w:between w:space="0" w:sz="0" w:val="nil"/>
        </w:pBdr>
        <w:spacing w:after="120" w:before="120" w:lineRule="auto"/>
        <w:ind w:left="1080" w:hanging="720"/>
        <w:rPr>
          <w:rFonts w:ascii="Arial" w:cs="Arial" w:eastAsia="Arial" w:hAnsi="Arial"/>
        </w:rPr>
      </w:pPr>
      <w:r w:rsidDel="00000000" w:rsidR="00000000" w:rsidRPr="00000000">
        <w:rPr>
          <w:rFonts w:ascii="Arial" w:cs="Arial" w:eastAsia="Arial" w:hAnsi="Arial"/>
          <w:color w:val="000000"/>
          <w:sz w:val="24"/>
          <w:szCs w:val="24"/>
          <w:rtl w:val="0"/>
        </w:rPr>
        <w:t xml:space="preserve">The Supplier shall seek prior written approval from the Buyer prior to proceeding to provide any Billable Works with the exception of:</w:t>
      </w:r>
      <w:r w:rsidDel="00000000" w:rsidR="00000000" w:rsidRPr="00000000">
        <w:rPr>
          <w:rtl w:val="0"/>
        </w:rPr>
      </w:r>
    </w:p>
    <w:p w:rsidR="00000000" w:rsidDel="00000000" w:rsidP="00000000" w:rsidRDefault="00000000" w:rsidRPr="00000000" w14:paraId="0000002D">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576"/>
        <w:rPr>
          <w:rFonts w:ascii="Arial" w:cs="Arial" w:eastAsia="Arial" w:hAnsi="Arial"/>
        </w:rPr>
      </w:pPr>
      <w:r w:rsidDel="00000000" w:rsidR="00000000" w:rsidRPr="00000000">
        <w:rPr>
          <w:rFonts w:ascii="Arial" w:cs="Arial" w:eastAsia="Arial" w:hAnsi="Arial"/>
          <w:color w:val="000000"/>
          <w:sz w:val="24"/>
          <w:szCs w:val="24"/>
          <w:rtl w:val="0"/>
        </w:rPr>
        <w:t xml:space="preserve">Billable Works up to the value specified in the Order Form (Billable</w:t>
      </w:r>
      <w:r w:rsidDel="00000000" w:rsidR="00000000" w:rsidRPr="00000000">
        <w:rPr>
          <w:rFonts w:ascii="Arial" w:cs="Arial" w:eastAsia="Arial" w:hAnsi="Arial"/>
          <w:sz w:val="24"/>
          <w:szCs w:val="24"/>
          <w:rtl w:val="0"/>
        </w:rPr>
        <w:t xml:space="preserve"> Works not requiring approval)</w:t>
      </w:r>
      <w:r w:rsidDel="00000000" w:rsidR="00000000" w:rsidRPr="00000000">
        <w:rPr>
          <w:rFonts w:ascii="Arial" w:cs="Arial" w:eastAsia="Arial" w:hAnsi="Arial"/>
          <w:color w:val="000000"/>
          <w:sz w:val="24"/>
          <w:szCs w:val="24"/>
          <w:rtl w:val="0"/>
        </w:rPr>
        <w:t xml:space="preserve">; or</w:t>
      </w:r>
      <w:r w:rsidDel="00000000" w:rsidR="00000000" w:rsidRPr="00000000">
        <w:rPr>
          <w:rtl w:val="0"/>
        </w:rPr>
      </w:r>
    </w:p>
    <w:p w:rsidR="00000000" w:rsidDel="00000000" w:rsidP="00000000" w:rsidRDefault="00000000" w:rsidRPr="00000000" w14:paraId="0000002E">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576"/>
        <w:rPr>
          <w:rFonts w:ascii="Arial" w:cs="Arial" w:eastAsia="Arial" w:hAnsi="Arial"/>
        </w:rPr>
      </w:pPr>
      <w:r w:rsidDel="00000000" w:rsidR="00000000" w:rsidRPr="00000000">
        <w:rPr>
          <w:rFonts w:ascii="Arial" w:cs="Arial" w:eastAsia="Arial" w:hAnsi="Arial"/>
          <w:color w:val="000000"/>
          <w:sz w:val="24"/>
          <w:szCs w:val="24"/>
          <w:rtl w:val="0"/>
        </w:rPr>
        <w:t xml:space="preserve">Billable Works required as a consequence of a Business Critical Event,</w:t>
      </w: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120" w:before="120" w:lineRule="auto"/>
        <w:ind w:left="1656"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and the Buyer shall not unreasonably withhold approval to the costs associated with such Billable Works; however the Supplier shall retrospectively commence the relevant approval process set out in paragraph 3.1 by the next Working Day and complete such process as soon as reasonably practicable.</w:t>
      </w:r>
    </w:p>
    <w:p w:rsidR="00000000" w:rsidDel="00000000" w:rsidP="00000000" w:rsidRDefault="00000000" w:rsidRPr="00000000" w14:paraId="00000030">
      <w:pPr>
        <w:numPr>
          <w:ilvl w:val="1"/>
          <w:numId w:val="1"/>
        </w:numPr>
        <w:pBdr>
          <w:top w:space="0" w:sz="0" w:val="nil"/>
          <w:left w:space="0" w:sz="0" w:val="nil"/>
          <w:bottom w:space="0" w:sz="0" w:val="nil"/>
          <w:right w:space="0" w:sz="0" w:val="nil"/>
          <w:between w:space="0" w:sz="0" w:val="nil"/>
        </w:pBdr>
        <w:spacing w:after="120" w:before="120" w:lineRule="auto"/>
        <w:ind w:left="1080" w:hanging="720"/>
        <w:rPr>
          <w:rFonts w:ascii="Arial" w:cs="Arial" w:eastAsia="Arial" w:hAnsi="Arial"/>
        </w:rPr>
      </w:pPr>
      <w:r w:rsidDel="00000000" w:rsidR="00000000" w:rsidRPr="00000000">
        <w:rPr>
          <w:rFonts w:ascii="Arial" w:cs="Arial" w:eastAsia="Arial" w:hAnsi="Arial"/>
          <w:color w:val="000000"/>
          <w:sz w:val="24"/>
          <w:szCs w:val="24"/>
          <w:rtl w:val="0"/>
        </w:rPr>
        <w:t xml:space="preserve">Where Billable Works arise as a result of any:</w:t>
      </w:r>
      <w:r w:rsidDel="00000000" w:rsidR="00000000" w:rsidRPr="00000000">
        <w:rPr>
          <w:rtl w:val="0"/>
        </w:rPr>
      </w:r>
    </w:p>
    <w:p w:rsidR="00000000" w:rsidDel="00000000" w:rsidP="00000000" w:rsidRDefault="00000000" w:rsidRPr="00000000" w14:paraId="00000031">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576"/>
        <w:rPr>
          <w:rFonts w:ascii="Arial" w:cs="Arial" w:eastAsia="Arial" w:hAnsi="Arial"/>
        </w:rPr>
      </w:pPr>
      <w:r w:rsidDel="00000000" w:rsidR="00000000" w:rsidRPr="00000000">
        <w:rPr>
          <w:rFonts w:ascii="Arial" w:cs="Arial" w:eastAsia="Arial" w:hAnsi="Arial"/>
          <w:color w:val="000000"/>
          <w:sz w:val="24"/>
          <w:szCs w:val="24"/>
          <w:rtl w:val="0"/>
        </w:rPr>
        <w:t xml:space="preserve">Works that are Small Works; or </w:t>
      </w:r>
      <w:r w:rsidDel="00000000" w:rsidR="00000000" w:rsidRPr="00000000">
        <w:rPr>
          <w:rtl w:val="0"/>
        </w:rPr>
      </w:r>
    </w:p>
    <w:p w:rsidR="00000000" w:rsidDel="00000000" w:rsidP="00000000" w:rsidRDefault="00000000" w:rsidRPr="00000000" w14:paraId="00000032">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576"/>
        <w:rPr>
          <w:rFonts w:ascii="Arial" w:cs="Arial" w:eastAsia="Arial" w:hAnsi="Arial"/>
        </w:rPr>
      </w:pPr>
      <w:r w:rsidDel="00000000" w:rsidR="00000000" w:rsidRPr="00000000">
        <w:rPr>
          <w:rFonts w:ascii="Arial" w:cs="Arial" w:eastAsia="Arial" w:hAnsi="Arial"/>
          <w:color w:val="000000"/>
          <w:sz w:val="24"/>
          <w:szCs w:val="24"/>
          <w:rtl w:val="0"/>
        </w:rPr>
        <w:t xml:space="preserve">Works arising from Planned Maintenance </w:t>
      </w: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120" w:before="120" w:lineRule="auto"/>
        <w:ind w:left="108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Billable Works shall not proceed until an instruction is received from the Buyer in writing or via the Service Management Platform or Computer Aided Facilities Management (CAFM) System. </w:t>
      </w:r>
    </w:p>
    <w:p w:rsidR="00000000" w:rsidDel="00000000" w:rsidP="00000000" w:rsidRDefault="00000000" w:rsidRPr="00000000" w14:paraId="00000034">
      <w:pPr>
        <w:numPr>
          <w:ilvl w:val="1"/>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080" w:hanging="720"/>
        <w:rPr>
          <w:rFonts w:ascii="Arial" w:cs="Arial" w:eastAsia="Arial" w:hAnsi="Arial"/>
          <w:color w:val="000000"/>
        </w:rPr>
      </w:pPr>
      <w:r w:rsidDel="00000000" w:rsidR="00000000" w:rsidRPr="00000000">
        <w:rPr>
          <w:rFonts w:ascii="Arial" w:cs="Arial" w:eastAsia="Arial" w:hAnsi="Arial"/>
          <w:color w:val="000000"/>
          <w:sz w:val="24"/>
          <w:szCs w:val="24"/>
          <w:rtl w:val="0"/>
        </w:rPr>
        <w:t xml:space="preserve">Quotations for Billable Works may include the Billable Works Management Uplift Percentage (if applicable) as per the rates submitted in the Pricing Matrix.</w:t>
      </w:r>
      <w:r w:rsidDel="00000000" w:rsidR="00000000" w:rsidRPr="00000000">
        <w:rPr>
          <w:rtl w:val="0"/>
        </w:rPr>
      </w:r>
    </w:p>
    <w:p w:rsidR="00000000" w:rsidDel="00000000" w:rsidP="00000000" w:rsidRDefault="00000000" w:rsidRPr="00000000" w14:paraId="00000035">
      <w:pPr>
        <w:numPr>
          <w:ilvl w:val="1"/>
          <w:numId w:val="1"/>
        </w:numPr>
        <w:spacing w:after="120" w:before="120" w:lineRule="auto"/>
        <w:ind w:left="1080" w:hanging="720"/>
        <w:rPr>
          <w:rFonts w:ascii="Arial" w:cs="Arial" w:eastAsia="Arial" w:hAnsi="Arial"/>
        </w:rPr>
      </w:pPr>
      <w:r w:rsidDel="00000000" w:rsidR="00000000" w:rsidRPr="00000000">
        <w:rPr>
          <w:rFonts w:ascii="Arial" w:cs="Arial" w:eastAsia="Arial" w:hAnsi="Arial"/>
          <w:sz w:val="24"/>
          <w:szCs w:val="24"/>
          <w:rtl w:val="0"/>
        </w:rPr>
        <w:t xml:space="preserve">If Billable Works are aborted by the Buyer prior to completion, any claim for costs up to the point of it being aborted shall be limited to costs actually, reasonably and properly incurred and they shall be evidenced as part of any quote for the Buyer to consider. </w:t>
      </w:r>
      <w:r w:rsidDel="00000000" w:rsidR="00000000" w:rsidRPr="00000000">
        <w:rPr>
          <w:rtl w:val="0"/>
        </w:rPr>
      </w:r>
    </w:p>
    <w:p w:rsidR="00000000" w:rsidDel="00000000" w:rsidP="00000000" w:rsidRDefault="00000000" w:rsidRPr="00000000" w14:paraId="00000036">
      <w:pPr>
        <w:numPr>
          <w:ilvl w:val="2"/>
          <w:numId w:val="1"/>
        </w:numPr>
        <w:tabs>
          <w:tab w:val="left" w:leader="none" w:pos="1985"/>
        </w:tabs>
        <w:spacing w:after="120" w:before="120" w:lineRule="auto"/>
        <w:ind w:left="1656" w:hanging="576"/>
        <w:rPr>
          <w:rFonts w:ascii="Arial" w:cs="Arial" w:eastAsia="Arial" w:hAnsi="Arial"/>
        </w:rPr>
      </w:pPr>
      <w:r w:rsidDel="00000000" w:rsidR="00000000" w:rsidRPr="00000000">
        <w:rPr>
          <w:rFonts w:ascii="Arial" w:cs="Arial" w:eastAsia="Arial" w:hAnsi="Arial"/>
          <w:sz w:val="24"/>
          <w:szCs w:val="24"/>
          <w:rtl w:val="0"/>
        </w:rPr>
        <w:t xml:space="preserve">On receipt of the Supplier’s breakdown and evidence, the Buyer shall either:</w:t>
      </w:r>
      <w:r w:rsidDel="00000000" w:rsidR="00000000" w:rsidRPr="00000000">
        <w:rPr>
          <w:rtl w:val="0"/>
        </w:rPr>
      </w:r>
    </w:p>
    <w:p w:rsidR="00000000" w:rsidDel="00000000" w:rsidP="00000000" w:rsidRDefault="00000000" w:rsidRPr="00000000" w14:paraId="00000037">
      <w:pPr>
        <w:numPr>
          <w:ilvl w:val="3"/>
          <w:numId w:val="2"/>
        </w:numPr>
        <w:tabs>
          <w:tab w:val="left" w:leader="none" w:pos="1985"/>
        </w:tabs>
        <w:spacing w:after="120" w:before="120" w:lineRule="auto"/>
        <w:ind w:left="2520" w:hanging="864"/>
        <w:rPr>
          <w:rFonts w:ascii="Arial" w:cs="Arial" w:eastAsia="Arial" w:hAnsi="Arial"/>
          <w:sz w:val="24"/>
          <w:szCs w:val="24"/>
        </w:rPr>
      </w:pPr>
      <w:r w:rsidDel="00000000" w:rsidR="00000000" w:rsidRPr="00000000">
        <w:rPr>
          <w:rFonts w:ascii="Arial" w:cs="Arial" w:eastAsia="Arial" w:hAnsi="Arial"/>
          <w:sz w:val="24"/>
          <w:szCs w:val="24"/>
          <w:rtl w:val="0"/>
        </w:rPr>
        <w:t xml:space="preserve">Notify the Supplier in writing of acceptance of the costs;</w:t>
      </w:r>
    </w:p>
    <w:p w:rsidR="00000000" w:rsidDel="00000000" w:rsidP="00000000" w:rsidRDefault="00000000" w:rsidRPr="00000000" w14:paraId="00000038">
      <w:pPr>
        <w:numPr>
          <w:ilvl w:val="3"/>
          <w:numId w:val="2"/>
        </w:numPr>
        <w:tabs>
          <w:tab w:val="left" w:leader="none" w:pos="1985"/>
        </w:tabs>
        <w:spacing w:after="120" w:before="120" w:lineRule="auto"/>
        <w:ind w:left="2520" w:hanging="864"/>
        <w:rPr>
          <w:rFonts w:ascii="Arial" w:cs="Arial" w:eastAsia="Arial" w:hAnsi="Arial"/>
          <w:sz w:val="24"/>
          <w:szCs w:val="24"/>
        </w:rPr>
      </w:pPr>
      <w:r w:rsidDel="00000000" w:rsidR="00000000" w:rsidRPr="00000000">
        <w:rPr>
          <w:rFonts w:ascii="Arial" w:cs="Arial" w:eastAsia="Arial" w:hAnsi="Arial"/>
          <w:sz w:val="24"/>
          <w:szCs w:val="24"/>
          <w:rtl w:val="0"/>
        </w:rPr>
        <w:t xml:space="preserve">Request further information/evidence; and/or</w:t>
      </w:r>
    </w:p>
    <w:p w:rsidR="00000000" w:rsidDel="00000000" w:rsidP="00000000" w:rsidRDefault="00000000" w:rsidRPr="00000000" w14:paraId="00000039">
      <w:pPr>
        <w:numPr>
          <w:ilvl w:val="3"/>
          <w:numId w:val="2"/>
        </w:numPr>
        <w:tabs>
          <w:tab w:val="left" w:leader="none" w:pos="1985"/>
        </w:tabs>
        <w:spacing w:after="120" w:before="120" w:lineRule="auto"/>
        <w:ind w:left="2520" w:hanging="864"/>
        <w:rPr>
          <w:rFonts w:ascii="Arial" w:cs="Arial" w:eastAsia="Arial" w:hAnsi="Arial"/>
          <w:sz w:val="24"/>
          <w:szCs w:val="24"/>
        </w:rPr>
      </w:pPr>
      <w:r w:rsidDel="00000000" w:rsidR="00000000" w:rsidRPr="00000000">
        <w:rPr>
          <w:rFonts w:ascii="Arial" w:cs="Arial" w:eastAsia="Arial" w:hAnsi="Arial"/>
          <w:sz w:val="24"/>
          <w:szCs w:val="24"/>
          <w:rtl w:val="0"/>
        </w:rPr>
        <w:t xml:space="preserve">Request a meeting to discuss/clarify the evidence provided.</w:t>
      </w:r>
    </w:p>
    <w:p w:rsidR="00000000" w:rsidDel="00000000" w:rsidP="00000000" w:rsidRDefault="00000000" w:rsidRPr="00000000" w14:paraId="0000003A">
      <w:pPr>
        <w:numPr>
          <w:ilvl w:val="1"/>
          <w:numId w:val="1"/>
        </w:numPr>
        <w:tabs>
          <w:tab w:val="left" w:leader="none" w:pos="1985"/>
        </w:tabs>
        <w:spacing w:after="120" w:before="120" w:lineRule="auto"/>
        <w:ind w:left="1080" w:hanging="720"/>
        <w:rPr>
          <w:rFonts w:ascii="Arial" w:cs="Arial" w:eastAsia="Arial" w:hAnsi="Arial"/>
        </w:rPr>
      </w:pPr>
      <w:r w:rsidDel="00000000" w:rsidR="00000000" w:rsidRPr="00000000">
        <w:rPr>
          <w:rFonts w:ascii="Arial" w:cs="Arial" w:eastAsia="Arial" w:hAnsi="Arial"/>
          <w:sz w:val="24"/>
          <w:szCs w:val="24"/>
          <w:rtl w:val="0"/>
        </w:rPr>
        <w:t xml:space="preserve">Where the costs are agreed following the receipt of further information/evidence or following a meeting, the Buyer shall notify the Supplier in writing and confirm the costs are to apply. </w:t>
      </w:r>
      <w:r w:rsidDel="00000000" w:rsidR="00000000" w:rsidRPr="00000000">
        <w:rPr>
          <w:rtl w:val="0"/>
        </w:rPr>
      </w:r>
    </w:p>
    <w:p w:rsidR="00000000" w:rsidDel="00000000" w:rsidP="00000000" w:rsidRDefault="00000000" w:rsidRPr="00000000" w14:paraId="0000003B">
      <w:pPr>
        <w:numPr>
          <w:ilvl w:val="1"/>
          <w:numId w:val="1"/>
        </w:numPr>
        <w:tabs>
          <w:tab w:val="left" w:leader="none" w:pos="1985"/>
        </w:tabs>
        <w:spacing w:after="120" w:before="120" w:lineRule="auto"/>
        <w:ind w:left="1080" w:hanging="720"/>
        <w:rPr>
          <w:rFonts w:ascii="Arial" w:cs="Arial" w:eastAsia="Arial" w:hAnsi="Arial"/>
        </w:rPr>
      </w:pPr>
      <w:r w:rsidDel="00000000" w:rsidR="00000000" w:rsidRPr="00000000">
        <w:rPr>
          <w:rFonts w:ascii="Arial" w:cs="Arial" w:eastAsia="Arial" w:hAnsi="Arial"/>
          <w:sz w:val="24"/>
          <w:szCs w:val="24"/>
          <w:rtl w:val="0"/>
        </w:rPr>
        <w:t xml:space="preserve">In the event that the Parties are unable to agree the costs the Parties shall follow the Dispute Resolution Procedure.</w:t>
      </w:r>
      <w:r w:rsidDel="00000000" w:rsidR="00000000" w:rsidRPr="00000000">
        <w:rPr>
          <w:rtl w:val="0"/>
        </w:rPr>
      </w:r>
    </w:p>
    <w:p w:rsidR="00000000" w:rsidDel="00000000" w:rsidP="00000000" w:rsidRDefault="00000000" w:rsidRPr="00000000" w14:paraId="0000003C">
      <w:pPr>
        <w:numPr>
          <w:ilvl w:val="0"/>
          <w:numId w:val="1"/>
        </w:numPr>
        <w:pBdr>
          <w:top w:space="0" w:sz="0" w:val="nil"/>
          <w:left w:space="0" w:sz="0" w:val="nil"/>
          <w:bottom w:space="0" w:sz="0" w:val="nil"/>
          <w:right w:space="0" w:sz="0" w:val="nil"/>
          <w:between w:space="0" w:sz="0" w:val="nil"/>
        </w:pBdr>
        <w:tabs>
          <w:tab w:val="left" w:leader="none" w:pos="0"/>
        </w:tabs>
        <w:spacing w:before="240" w:lineRule="auto"/>
        <w:ind w:left="0" w:hanging="360"/>
        <w:rPr>
          <w:rFonts w:ascii="Arial" w:cs="Arial" w:eastAsia="Arial" w:hAnsi="Arial"/>
        </w:rPr>
      </w:pPr>
      <w:r w:rsidDel="00000000" w:rsidR="00000000" w:rsidRPr="00000000">
        <w:rPr>
          <w:rFonts w:ascii="Arial" w:cs="Arial" w:eastAsia="Arial" w:hAnsi="Arial"/>
          <w:b w:val="1"/>
          <w:smallCaps w:val="1"/>
          <w:sz w:val="24"/>
          <w:szCs w:val="24"/>
          <w:rtl w:val="0"/>
        </w:rPr>
        <w:t xml:space="preserve">Not used</w:t>
      </w:r>
      <w:r w:rsidDel="00000000" w:rsidR="00000000" w:rsidRPr="00000000">
        <w:rPr>
          <w:rtl w:val="0"/>
        </w:rPr>
      </w:r>
    </w:p>
    <w:p w:rsidR="00000000" w:rsidDel="00000000" w:rsidP="00000000" w:rsidRDefault="00000000" w:rsidRPr="00000000" w14:paraId="0000003D">
      <w:pPr>
        <w:numPr>
          <w:ilvl w:val="0"/>
          <w:numId w:val="1"/>
        </w:numPr>
        <w:pBdr>
          <w:top w:space="0" w:sz="0" w:val="nil"/>
          <w:left w:space="0" w:sz="0" w:val="nil"/>
          <w:bottom w:space="0" w:sz="0" w:val="nil"/>
          <w:right w:space="0" w:sz="0" w:val="nil"/>
          <w:between w:space="0" w:sz="0" w:val="nil"/>
        </w:pBdr>
        <w:spacing w:before="240" w:lineRule="auto"/>
        <w:ind w:left="0" w:hanging="360"/>
        <w:rPr>
          <w:rFonts w:ascii="Arial" w:cs="Arial" w:eastAsia="Arial" w:hAnsi="Arial"/>
        </w:rPr>
      </w:pPr>
      <w:bookmarkStart w:colFirst="0" w:colLast="0" w:name="_heading=h.3dy6vkm" w:id="6"/>
      <w:bookmarkEnd w:id="6"/>
      <w:r w:rsidDel="00000000" w:rsidR="00000000" w:rsidRPr="00000000">
        <w:rPr>
          <w:rFonts w:ascii="Arial" w:cs="Arial" w:eastAsia="Arial" w:hAnsi="Arial"/>
          <w:b w:val="1"/>
          <w:sz w:val="24"/>
          <w:szCs w:val="24"/>
          <w:rtl w:val="0"/>
        </w:rPr>
        <w:t xml:space="preserve">General Projects</w:t>
      </w:r>
      <w:r w:rsidDel="00000000" w:rsidR="00000000" w:rsidRPr="00000000">
        <w:rPr>
          <w:rtl w:val="0"/>
        </w:rPr>
      </w:r>
    </w:p>
    <w:p w:rsidR="00000000" w:rsidDel="00000000" w:rsidP="00000000" w:rsidRDefault="00000000" w:rsidRPr="00000000" w14:paraId="0000003E">
      <w:pPr>
        <w:numPr>
          <w:ilvl w:val="1"/>
          <w:numId w:val="1"/>
        </w:numPr>
        <w:pBdr>
          <w:top w:space="0" w:sz="0" w:val="nil"/>
          <w:left w:space="0" w:sz="0" w:val="nil"/>
          <w:bottom w:space="0" w:sz="0" w:val="nil"/>
          <w:right w:space="0" w:sz="0" w:val="nil"/>
          <w:between w:space="0" w:sz="0" w:val="nil"/>
        </w:pBdr>
        <w:spacing w:before="240" w:lineRule="auto"/>
        <w:ind w:left="1080" w:hanging="720"/>
        <w:rPr>
          <w:rFonts w:ascii="Arial" w:cs="Arial" w:eastAsia="Arial" w:hAnsi="Arial"/>
        </w:rPr>
      </w:pPr>
      <w:r w:rsidDel="00000000" w:rsidR="00000000" w:rsidRPr="00000000">
        <w:rPr>
          <w:rFonts w:ascii="Arial" w:cs="Arial" w:eastAsia="Arial" w:hAnsi="Arial"/>
          <w:sz w:val="24"/>
          <w:szCs w:val="24"/>
          <w:rtl w:val="0"/>
        </w:rPr>
        <w:t xml:space="preserve">If the Buyer decides at its sole discretion that the scope of any Billable Works are such that they require a defined management approach, this will be deemed to be a </w:t>
      </w:r>
      <w:r w:rsidDel="00000000" w:rsidR="00000000" w:rsidRPr="00000000">
        <w:rPr>
          <w:rFonts w:ascii="Arial" w:cs="Arial" w:eastAsia="Arial" w:hAnsi="Arial"/>
          <w:sz w:val="24"/>
          <w:szCs w:val="24"/>
          <w:rtl w:val="0"/>
        </w:rPr>
        <w:t xml:space="preserve">General Project </w:t>
      </w:r>
      <w:r w:rsidDel="00000000" w:rsidR="00000000" w:rsidRPr="00000000">
        <w:rPr>
          <w:rFonts w:ascii="Arial" w:cs="Arial" w:eastAsia="Arial" w:hAnsi="Arial"/>
          <w:sz w:val="24"/>
          <w:szCs w:val="24"/>
          <w:rtl w:val="0"/>
        </w:rPr>
        <w:t xml:space="preserve">and not a Billable Work and the management approach will be defined by the Buyer at Further Competition</w:t>
      </w:r>
      <w:r w:rsidDel="00000000" w:rsidR="00000000" w:rsidRPr="00000000">
        <w:rPr>
          <w:rtl w:val="0"/>
        </w:rPr>
      </w:r>
    </w:p>
    <w:p w:rsidR="00000000" w:rsidDel="00000000" w:rsidP="00000000" w:rsidRDefault="00000000" w:rsidRPr="00000000" w14:paraId="0000003F">
      <w:pPr>
        <w:numPr>
          <w:ilvl w:val="1"/>
          <w:numId w:val="1"/>
        </w:numPr>
        <w:pBdr>
          <w:top w:space="0" w:sz="0" w:val="nil"/>
          <w:left w:space="0" w:sz="0" w:val="nil"/>
          <w:bottom w:space="0" w:sz="0" w:val="nil"/>
          <w:right w:space="0" w:sz="0" w:val="nil"/>
          <w:between w:space="0" w:sz="0" w:val="nil"/>
        </w:pBdr>
        <w:spacing w:after="0" w:before="120" w:lineRule="auto"/>
        <w:ind w:left="1080" w:hanging="720"/>
        <w:rPr>
          <w:rFonts w:ascii="Arial" w:cs="Arial" w:eastAsia="Arial" w:hAnsi="Arial"/>
          <w:color w:val="000000"/>
        </w:rPr>
      </w:pPr>
      <w:r w:rsidDel="00000000" w:rsidR="00000000" w:rsidRPr="00000000">
        <w:rPr>
          <w:rFonts w:ascii="Arial" w:cs="Arial" w:eastAsia="Arial" w:hAnsi="Arial"/>
          <w:color w:val="000000"/>
          <w:sz w:val="24"/>
          <w:szCs w:val="24"/>
          <w:rtl w:val="0"/>
        </w:rPr>
        <w:t xml:space="preserve">The Supplier shall provide evidence of the resource allocation required to provide any Project at the time of quotation or tender and such associated costs must be agreed as acceptable by the Buyer prior to any Works which are part of a Project commencing. </w:t>
      </w: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after="120" w:lineRule="auto"/>
        <w:ind w:left="108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41">
      <w:pPr>
        <w:numPr>
          <w:ilvl w:val="1"/>
          <w:numId w:val="1"/>
        </w:numPr>
        <w:pBdr>
          <w:top w:space="0" w:sz="0" w:val="nil"/>
          <w:left w:space="0" w:sz="0" w:val="nil"/>
          <w:bottom w:space="0" w:sz="0" w:val="nil"/>
          <w:right w:space="0" w:sz="0" w:val="nil"/>
          <w:between w:space="0" w:sz="0" w:val="nil"/>
        </w:pBdr>
        <w:tabs>
          <w:tab w:val="left" w:leader="none" w:pos="1985"/>
        </w:tabs>
        <w:spacing w:after="120" w:before="120" w:lineRule="auto"/>
        <w:ind w:left="108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If the Buyer aborts General Projects at any stage, the Supplier may provide a full breakdown and evidence of the resource allocation utilised and associated costs to date on notification of the Buyer.   Such associated costs must be agreed as acceptable by the Buyer prior to raising the invoice</w:t>
      </w:r>
    </w:p>
    <w:p w:rsidR="00000000" w:rsidDel="00000000" w:rsidP="00000000" w:rsidRDefault="00000000" w:rsidRPr="00000000" w14:paraId="00000042">
      <w:pPr>
        <w:numPr>
          <w:ilvl w:val="2"/>
          <w:numId w:val="1"/>
        </w:numPr>
        <w:pBdr>
          <w:top w:space="0" w:sz="0" w:val="nil"/>
          <w:left w:space="0" w:sz="0" w:val="nil"/>
          <w:bottom w:space="0" w:sz="0" w:val="nil"/>
          <w:right w:space="0" w:sz="0" w:val="nil"/>
          <w:between w:space="0" w:sz="0" w:val="nil"/>
        </w:pBdr>
        <w:tabs>
          <w:tab w:val="left" w:leader="none" w:pos="1985"/>
        </w:tabs>
        <w:spacing w:after="120" w:before="120" w:lineRule="auto"/>
        <w:ind w:left="1656" w:hanging="576"/>
        <w:rPr>
          <w:rFonts w:ascii="Arial" w:cs="Arial" w:eastAsia="Arial" w:hAnsi="Arial"/>
          <w:sz w:val="24"/>
          <w:szCs w:val="24"/>
        </w:rPr>
      </w:pPr>
      <w:r w:rsidDel="00000000" w:rsidR="00000000" w:rsidRPr="00000000">
        <w:rPr>
          <w:rFonts w:ascii="Arial" w:cs="Arial" w:eastAsia="Arial" w:hAnsi="Arial"/>
          <w:sz w:val="24"/>
          <w:szCs w:val="24"/>
          <w:rtl w:val="0"/>
        </w:rPr>
        <w:t xml:space="preserve">On </w:t>
      </w:r>
      <w:r w:rsidDel="00000000" w:rsidR="00000000" w:rsidRPr="00000000">
        <w:rPr>
          <w:rFonts w:ascii="Arial" w:cs="Arial" w:eastAsia="Arial" w:hAnsi="Arial"/>
          <w:color w:val="000000"/>
          <w:sz w:val="24"/>
          <w:szCs w:val="24"/>
          <w:rtl w:val="0"/>
        </w:rPr>
        <w:t xml:space="preserve">receipt of the Suppliers breakdown and evidence, the Buyer shall either:</w:t>
      </w:r>
      <w:r w:rsidDel="00000000" w:rsidR="00000000" w:rsidRPr="00000000">
        <w:rPr>
          <w:rtl w:val="0"/>
        </w:rPr>
      </w:r>
    </w:p>
    <w:p w:rsidR="00000000" w:rsidDel="00000000" w:rsidP="00000000" w:rsidRDefault="00000000" w:rsidRPr="00000000" w14:paraId="00000043">
      <w:pPr>
        <w:numPr>
          <w:ilvl w:val="3"/>
          <w:numId w:val="2"/>
        </w:numPr>
        <w:pBdr>
          <w:top w:space="0" w:sz="0" w:val="nil"/>
          <w:left w:space="0" w:sz="0" w:val="nil"/>
          <w:bottom w:space="0" w:sz="0" w:val="nil"/>
          <w:right w:space="0" w:sz="0" w:val="nil"/>
          <w:between w:space="0" w:sz="0" w:val="nil"/>
        </w:pBdr>
        <w:tabs>
          <w:tab w:val="left" w:leader="none" w:pos="1985"/>
        </w:tabs>
        <w:spacing w:after="120" w:before="120" w:lineRule="auto"/>
        <w:ind w:left="2520" w:hanging="86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Notify the Supplier in writing of acceptance of the costs;</w:t>
      </w:r>
    </w:p>
    <w:p w:rsidR="00000000" w:rsidDel="00000000" w:rsidP="00000000" w:rsidRDefault="00000000" w:rsidRPr="00000000" w14:paraId="00000044">
      <w:pPr>
        <w:numPr>
          <w:ilvl w:val="3"/>
          <w:numId w:val="2"/>
        </w:numPr>
        <w:pBdr>
          <w:top w:space="0" w:sz="0" w:val="nil"/>
          <w:left w:space="0" w:sz="0" w:val="nil"/>
          <w:bottom w:space="0" w:sz="0" w:val="nil"/>
          <w:right w:space="0" w:sz="0" w:val="nil"/>
          <w:between w:space="0" w:sz="0" w:val="nil"/>
        </w:pBdr>
        <w:tabs>
          <w:tab w:val="left" w:leader="none" w:pos="1985"/>
        </w:tabs>
        <w:spacing w:after="120" w:before="120" w:lineRule="auto"/>
        <w:ind w:left="2520" w:hanging="86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Request further information/evidence; and/or</w:t>
      </w:r>
    </w:p>
    <w:p w:rsidR="00000000" w:rsidDel="00000000" w:rsidP="00000000" w:rsidRDefault="00000000" w:rsidRPr="00000000" w14:paraId="00000045">
      <w:pPr>
        <w:numPr>
          <w:ilvl w:val="3"/>
          <w:numId w:val="2"/>
        </w:numPr>
        <w:pBdr>
          <w:top w:space="0" w:sz="0" w:val="nil"/>
          <w:left w:space="0" w:sz="0" w:val="nil"/>
          <w:bottom w:space="0" w:sz="0" w:val="nil"/>
          <w:right w:space="0" w:sz="0" w:val="nil"/>
          <w:between w:space="0" w:sz="0" w:val="nil"/>
        </w:pBdr>
        <w:tabs>
          <w:tab w:val="left" w:leader="none" w:pos="1985"/>
        </w:tabs>
        <w:spacing w:after="120" w:before="120" w:lineRule="auto"/>
        <w:ind w:left="2520" w:hanging="864"/>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Request a meeting to discuss/clarify the evidence provided.</w:t>
      </w:r>
      <w:r w:rsidDel="00000000" w:rsidR="00000000" w:rsidRPr="00000000">
        <w:rPr>
          <w:rtl w:val="0"/>
        </w:rPr>
      </w:r>
    </w:p>
    <w:p w:rsidR="00000000" w:rsidDel="00000000" w:rsidP="00000000" w:rsidRDefault="00000000" w:rsidRPr="00000000" w14:paraId="00000046">
      <w:pPr>
        <w:numPr>
          <w:ilvl w:val="2"/>
          <w:numId w:val="1"/>
        </w:numPr>
        <w:pBdr>
          <w:top w:space="0" w:sz="0" w:val="nil"/>
          <w:left w:space="0" w:sz="0" w:val="nil"/>
          <w:bottom w:space="0" w:sz="0" w:val="nil"/>
          <w:right w:space="0" w:sz="0" w:val="nil"/>
          <w:between w:space="0" w:sz="0" w:val="nil"/>
        </w:pBdr>
        <w:tabs>
          <w:tab w:val="left" w:leader="none" w:pos="1985"/>
        </w:tabs>
        <w:spacing w:after="120" w:before="120" w:lineRule="auto"/>
        <w:ind w:left="1656" w:hanging="576"/>
        <w:rPr>
          <w:rFonts w:ascii="Arial" w:cs="Arial" w:eastAsia="Arial" w:hAnsi="Arial"/>
        </w:rPr>
      </w:pPr>
      <w:r w:rsidDel="00000000" w:rsidR="00000000" w:rsidRPr="00000000">
        <w:rPr>
          <w:rFonts w:ascii="Arial" w:cs="Arial" w:eastAsia="Arial" w:hAnsi="Arial"/>
          <w:color w:val="000000"/>
          <w:sz w:val="24"/>
          <w:szCs w:val="24"/>
          <w:rtl w:val="0"/>
        </w:rPr>
        <w:t xml:space="preserve">Where the costs are agreed following the receipt of further information/evidence or following a meeting, the Buyer shall notify the Supplier in writing and confirm the costs are to apply. </w:t>
      </w:r>
      <w:r w:rsidDel="00000000" w:rsidR="00000000" w:rsidRPr="00000000">
        <w:rPr>
          <w:rtl w:val="0"/>
        </w:rPr>
      </w:r>
    </w:p>
    <w:p w:rsidR="00000000" w:rsidDel="00000000" w:rsidP="00000000" w:rsidRDefault="00000000" w:rsidRPr="00000000" w14:paraId="00000047">
      <w:pPr>
        <w:numPr>
          <w:ilvl w:val="2"/>
          <w:numId w:val="1"/>
        </w:numPr>
        <w:pBdr>
          <w:top w:space="0" w:sz="0" w:val="nil"/>
          <w:left w:space="0" w:sz="0" w:val="nil"/>
          <w:bottom w:space="0" w:sz="0" w:val="nil"/>
          <w:right w:space="0" w:sz="0" w:val="nil"/>
          <w:between w:space="0" w:sz="0" w:val="nil"/>
        </w:pBdr>
        <w:tabs>
          <w:tab w:val="left" w:leader="none" w:pos="1985"/>
        </w:tabs>
        <w:spacing w:after="120" w:before="120" w:lineRule="auto"/>
        <w:ind w:left="1656" w:hanging="576"/>
        <w:rPr>
          <w:rFonts w:ascii="Arial" w:cs="Arial" w:eastAsia="Arial" w:hAnsi="Arial"/>
        </w:rPr>
      </w:pPr>
      <w:r w:rsidDel="00000000" w:rsidR="00000000" w:rsidRPr="00000000">
        <w:rPr>
          <w:rFonts w:ascii="Arial" w:cs="Arial" w:eastAsia="Arial" w:hAnsi="Arial"/>
          <w:color w:val="000000"/>
          <w:sz w:val="24"/>
          <w:szCs w:val="24"/>
          <w:rtl w:val="0"/>
        </w:rPr>
        <w:t xml:space="preserve">In the event that the Parties are unable to agree the costs the Parties shall follow the Dispute Resolution Procedure.</w:t>
      </w: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Fonts w:ascii="Arial" w:cs="Arial" w:eastAsia="Arial" w:hAnsi="Arial"/>
          <w:rtl w:val="0"/>
        </w:rPr>
        <w:tab/>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Times New Roman"/>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E">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F">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0">
    <w:pPr>
      <w:tabs>
        <w:tab w:val="center" w:leader="none" w:pos="4513"/>
        <w:tab w:val="right" w:leader="none" w:pos="9026"/>
      </w:tabs>
      <w:spacing w:after="0" w:lineRule="auto"/>
      <w:rPr/>
    </w:pPr>
    <w:r w:rsidDel="00000000" w:rsidR="00000000" w:rsidRPr="00000000">
      <w:rPr>
        <w:rtl w:val="0"/>
      </w:rPr>
    </w:r>
  </w:p>
  <w:p w:rsidR="00000000" w:rsidDel="00000000" w:rsidP="00000000" w:rsidRDefault="00000000" w:rsidRPr="00000000" w14:paraId="00000061">
    <w:pPr>
      <w:tabs>
        <w:tab w:val="center" w:leader="none" w:pos="4513"/>
        <w:tab w:val="right" w:leader="none" w:pos="9026"/>
      </w:tabs>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RM6331</w:t>
    </w:r>
  </w:p>
  <w:p w:rsidR="00000000" w:rsidDel="00000000" w:rsidP="00000000" w:rsidRDefault="00000000" w:rsidRPr="00000000" w14:paraId="00000062">
    <w:pPr>
      <w:tabs>
        <w:tab w:val="center" w:leader="none" w:pos="4513"/>
        <w:tab w:val="right" w:leader="none" w:pos="9026"/>
      </w:tabs>
      <w:spacing w:after="0" w:line="276" w:lineRule="auto"/>
      <w:rPr>
        <w:rFonts w:ascii="Arial" w:cs="Arial" w:eastAsia="Arial" w:hAnsi="Arial"/>
        <w:sz w:val="20"/>
        <w:szCs w:val="20"/>
      </w:rPr>
    </w:pPr>
    <w:bookmarkStart w:colFirst="0" w:colLast="0" w:name="_heading=h.4d34og8" w:id="9"/>
    <w:bookmarkEnd w:id="9"/>
    <w:r w:rsidDel="00000000" w:rsidR="00000000" w:rsidRPr="00000000">
      <w:rPr>
        <w:rFonts w:ascii="Arial" w:cs="Arial" w:eastAsia="Arial" w:hAnsi="Arial"/>
        <w:sz w:val="20"/>
        <w:szCs w:val="20"/>
        <w:rtl w:val="0"/>
      </w:rPr>
      <w:t xml:space="preserve">Project Version: v1.0</w:t>
      <w:tab/>
      <w:tab/>
    </w:r>
    <w:r w:rsidDel="00000000" w:rsidR="00000000" w:rsidRPr="00000000">
      <w:rPr>
        <w:rFonts w:ascii="Arial" w:cs="Arial" w:eastAsia="Arial" w:hAnsi="Arial"/>
        <w:sz w:val="20"/>
        <w:szCs w:val="20"/>
      </w:rPr>
      <w:fldChar w:fldCharType="begin"/>
      <w:instrText xml:space="preserve">PAGE</w:instrText>
      <w:fldChar w:fldCharType="separate"/>
      <w:fldChar w:fldCharType="end"/>
    </w:r>
    <w:bookmarkStart w:colFirst="0" w:colLast="0" w:name="bookmark=id.2s8eyo1" w:id="8"/>
    <w:bookmarkEnd w:id="8"/>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63">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Model Version: v1.0</w:t>
    </w:r>
  </w:p>
  <w:p w:rsidR="00000000" w:rsidDel="00000000" w:rsidP="00000000" w:rsidRDefault="00000000" w:rsidRPr="00000000" w14:paraId="00000064">
    <w:pPr>
      <w:spacing w:after="0" w:lineRule="auto"/>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7">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rFonts w:ascii="Arial" w:cs="Arial" w:eastAsia="Arial" w:hAnsi="Arial"/>
        <w:b w:val="1"/>
        <w:color w:val="000000"/>
        <w:sz w:val="20"/>
        <w:szCs w:val="20"/>
      </w:rPr>
    </w:pPr>
    <w:bookmarkStart w:colFirst="0" w:colLast="0" w:name="_heading=h.1t3h5sf" w:id="7"/>
    <w:bookmarkEnd w:id="7"/>
    <w:r w:rsidDel="00000000" w:rsidR="00000000" w:rsidRPr="00000000">
      <w:rPr>
        <w:rFonts w:ascii="Arial" w:cs="Arial" w:eastAsia="Arial" w:hAnsi="Arial"/>
        <w:b w:val="1"/>
        <w:color w:val="000000"/>
        <w:sz w:val="20"/>
        <w:szCs w:val="20"/>
        <w:rtl w:val="0"/>
      </w:rPr>
      <w:t xml:space="preserve">Call-Off Schedule</w:t>
    </w:r>
    <w:r w:rsidDel="00000000" w:rsidR="00000000" w:rsidRPr="00000000">
      <w:rPr>
        <w:rFonts w:ascii="Arial" w:cs="Arial" w:eastAsia="Arial" w:hAnsi="Arial"/>
        <w:b w:val="1"/>
        <w:color w:val="000000"/>
        <w:sz w:val="20"/>
        <w:szCs w:val="20"/>
        <w:highlight w:val="white"/>
        <w:rtl w:val="0"/>
      </w:rPr>
      <w:t xml:space="preserve"> </w:t>
    </w:r>
    <w:r w:rsidDel="00000000" w:rsidR="00000000" w:rsidRPr="00000000">
      <w:rPr>
        <w:rFonts w:ascii="Arial" w:cs="Arial" w:eastAsia="Arial" w:hAnsi="Arial"/>
        <w:b w:val="1"/>
        <w:sz w:val="20"/>
        <w:szCs w:val="20"/>
        <w:highlight w:val="white"/>
        <w:rtl w:val="0"/>
      </w:rPr>
      <w:t xml:space="preserve">25</w:t>
    </w:r>
    <w:r w:rsidDel="00000000" w:rsidR="00000000" w:rsidRPr="00000000">
      <w:rPr>
        <w:rFonts w:ascii="Arial" w:cs="Arial" w:eastAsia="Arial" w:hAnsi="Arial"/>
        <w:b w:val="1"/>
        <w:color w:val="000000"/>
        <w:sz w:val="20"/>
        <w:szCs w:val="20"/>
        <w:rtl w:val="0"/>
      </w:rPr>
      <w:t xml:space="preserve"> (Billable Works and Projects) </w:t>
    </w:r>
  </w:p>
  <w:p w:rsidR="00000000" w:rsidDel="00000000" w:rsidP="00000000" w:rsidRDefault="00000000" w:rsidRPr="00000000" w14:paraId="00000058">
    <w:pPr>
      <w:tabs>
        <w:tab w:val="center" w:leader="none" w:pos="4513"/>
        <w:tab w:val="right" w:leader="none" w:pos="9026"/>
      </w:tabs>
      <w:spacing w:after="0" w:lineRule="auto"/>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Call-Off Ref:</w:t>
    </w:r>
  </w:p>
  <w:p w:rsidR="00000000" w:rsidDel="00000000" w:rsidP="00000000" w:rsidRDefault="00000000" w:rsidRPr="00000000" w14:paraId="00000059">
    <w:pPr>
      <w:tabs>
        <w:tab w:val="center" w:leader="none" w:pos="4513"/>
        <w:tab w:val="right" w:leader="none" w:pos="9026"/>
      </w:tabs>
      <w:spacing w:after="0" w:lineRule="auto"/>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Crown Copyright 2023</w:t>
    </w:r>
  </w:p>
  <w:p w:rsidR="00000000" w:rsidDel="00000000" w:rsidP="00000000" w:rsidRDefault="00000000" w:rsidRPr="00000000" w14:paraId="0000005A">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color w:val="000000"/>
      </w:rPr>
    </w:pP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C">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D">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rFonts w:ascii="Arial" w:cs="Arial" w:eastAsia="Arial" w:hAnsi="Arial"/>
        <w:b w:val="1"/>
        <w:i w:val="0"/>
        <w:smallCaps w:val="0"/>
        <w:strike w:val="0"/>
        <w:color w:val="000000"/>
        <w:sz w:val="24"/>
        <w:szCs w:val="24"/>
        <w:u w:val="none"/>
        <w:vertAlign w:val="baseline"/>
      </w:rPr>
    </w:lvl>
    <w:lvl w:ilvl="1">
      <w:start w:val="1"/>
      <w:numFmt w:val="decimal"/>
      <w:lvlText w:val="%1.%2"/>
      <w:lvlJc w:val="left"/>
      <w:pPr>
        <w:ind w:left="1080" w:hanging="720"/>
      </w:pPr>
      <w:rPr>
        <w:rFonts w:ascii="Arial" w:cs="Arial" w:eastAsia="Arial" w:hAnsi="Arial"/>
        <w:b w:val="0"/>
        <w:i w:val="0"/>
        <w:smallCaps w:val="0"/>
        <w:strike w:val="0"/>
        <w:color w:val="000000"/>
        <w:sz w:val="24"/>
        <w:szCs w:val="24"/>
        <w:u w:val="none"/>
        <w:vertAlign w:val="baseline"/>
      </w:rPr>
    </w:lvl>
    <w:lvl w:ilvl="2">
      <w:start w:val="1"/>
      <w:numFmt w:val="decimal"/>
      <w:lvlText w:val="%1.%2.%3"/>
      <w:lvlJc w:val="left"/>
      <w:pPr>
        <w:ind w:left="1656" w:hanging="576"/>
      </w:pPr>
      <w:rPr>
        <w:rFonts w:ascii="Arial" w:cs="Arial" w:eastAsia="Arial" w:hAnsi="Arial"/>
        <w:b w:val="0"/>
        <w:i w:val="0"/>
        <w:smallCaps w:val="0"/>
        <w:strike w:val="0"/>
        <w:color w:val="000000"/>
        <w:sz w:val="24"/>
        <w:szCs w:val="24"/>
        <w:u w:val="none"/>
        <w:vertAlign w:val="baseline"/>
      </w:rPr>
    </w:lvl>
    <w:lvl w:ilvl="3">
      <w:start w:val="1"/>
      <w:numFmt w:val="lowerLetter"/>
      <w:lvlText w:val="(%4)"/>
      <w:lvlJc w:val="left"/>
      <w:pPr>
        <w:ind w:left="2849" w:hanging="864.0000000000002"/>
      </w:pPr>
      <w:rPr>
        <w:rFonts w:ascii="Arial" w:cs="Arial" w:eastAsia="Arial" w:hAnsi="Arial"/>
        <w:b w:val="0"/>
        <w:i w:val="0"/>
        <w:smallCaps w:val="0"/>
        <w:strike w:val="0"/>
        <w:color w:val="000000"/>
        <w:sz w:val="24"/>
        <w:szCs w:val="24"/>
        <w:u w:val="none"/>
        <w:vertAlign w:val="baseline"/>
      </w:rPr>
    </w:lvl>
    <w:lvl w:ilvl="4">
      <w:start w:val="1"/>
      <w:numFmt w:val="lowerRoman"/>
      <w:lvlText w:val="(%5)"/>
      <w:lvlJc w:val="left"/>
      <w:pPr>
        <w:ind w:left="3240" w:hanging="72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2">
    <w:lvl w:ilvl="0">
      <w:start w:val="1"/>
      <w:numFmt w:val="decimal"/>
      <w:lvlText w:val="%1."/>
      <w:lvlJc w:val="left"/>
      <w:pPr>
        <w:ind w:left="360" w:hanging="360"/>
      </w:pPr>
      <w:rPr>
        <w:rFonts w:ascii="Arial" w:cs="Arial" w:eastAsia="Arial" w:hAnsi="Arial"/>
        <w:b w:val="1"/>
        <w:i w:val="0"/>
        <w:smallCaps w:val="0"/>
        <w:strike w:val="0"/>
        <w:color w:val="000000"/>
        <w:sz w:val="24"/>
        <w:szCs w:val="24"/>
        <w:u w:val="none"/>
        <w:vertAlign w:val="baseline"/>
      </w:rPr>
    </w:lvl>
    <w:lvl w:ilvl="1">
      <w:start w:val="1"/>
      <w:numFmt w:val="decimal"/>
      <w:lvlText w:val="%1.%2"/>
      <w:lvlJc w:val="left"/>
      <w:pPr>
        <w:ind w:left="1080" w:hanging="720"/>
      </w:pPr>
      <w:rPr>
        <w:rFonts w:ascii="Calibri" w:cs="Calibri" w:eastAsia="Calibri" w:hAnsi="Calibri"/>
        <w:b w:val="0"/>
        <w:i w:val="0"/>
        <w:smallCaps w:val="0"/>
        <w:strike w:val="0"/>
        <w:color w:val="000000"/>
        <w:sz w:val="22"/>
        <w:szCs w:val="22"/>
        <w:u w:val="none"/>
        <w:vertAlign w:val="baseline"/>
      </w:rPr>
    </w:lvl>
    <w:lvl w:ilvl="2">
      <w:start w:val="1"/>
      <w:numFmt w:val="decimal"/>
      <w:lvlText w:val="%1.%2.%3"/>
      <w:lvlJc w:val="left"/>
      <w:pPr>
        <w:ind w:left="1656" w:hanging="576"/>
      </w:pPr>
      <w:rPr>
        <w:rFonts w:ascii="Calibri" w:cs="Calibri" w:eastAsia="Calibri" w:hAnsi="Calibri"/>
        <w:b w:val="0"/>
        <w:i w:val="0"/>
        <w:smallCaps w:val="0"/>
        <w:strike w:val="0"/>
        <w:color w:val="000000"/>
        <w:sz w:val="22"/>
        <w:szCs w:val="22"/>
        <w:u w:val="none"/>
        <w:vertAlign w:val="baseline"/>
      </w:rPr>
    </w:lvl>
    <w:lvl w:ilvl="3">
      <w:start w:val="1"/>
      <w:numFmt w:val="lowerLetter"/>
      <w:lvlText w:val="(%4)"/>
      <w:lvlJc w:val="left"/>
      <w:pPr>
        <w:ind w:left="2520" w:hanging="864"/>
      </w:pPr>
      <w:rPr>
        <w:rFonts w:ascii="Arial" w:cs="Arial" w:eastAsia="Arial" w:hAnsi="Arial"/>
        <w:b w:val="0"/>
        <w:i w:val="0"/>
        <w:smallCaps w:val="0"/>
        <w:strike w:val="0"/>
        <w:color w:val="000000"/>
        <w:sz w:val="22"/>
        <w:szCs w:val="22"/>
        <w:u w:val="none"/>
        <w:vertAlign w:val="baseline"/>
      </w:rPr>
    </w:lvl>
    <w:lvl w:ilvl="4">
      <w:start w:val="1"/>
      <w:numFmt w:val="lowerRoman"/>
      <w:lvlText w:val="(%5)"/>
      <w:lvlJc w:val="left"/>
      <w:pPr>
        <w:ind w:left="3240" w:hanging="72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40"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60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0" w:before="200" w:lineRule="auto"/>
    </w:pPr>
    <w:rPr>
      <w:rFonts w:ascii="Cambria" w:cs="Cambria" w:eastAsia="Cambria" w:hAnsi="Cambria"/>
      <w:b w:val="1"/>
      <w:color w:val="4f81bd"/>
    </w:rPr>
  </w:style>
  <w:style w:type="paragraph" w:styleId="Heading4">
    <w:name w:val="heading 4"/>
    <w:basedOn w:val="Normal"/>
    <w:next w:val="Normal"/>
    <w:pPr>
      <w:keepNext w:val="1"/>
      <w:keepLines w:val="1"/>
      <w:spacing w:after="0" w:before="200" w:lineRule="auto"/>
    </w:pPr>
    <w:rPr>
      <w:rFonts w:ascii="Cambria" w:cs="Cambria" w:eastAsia="Cambria" w:hAnsi="Cambria"/>
      <w:b w:val="1"/>
      <w:i w:val="1"/>
      <w:color w:val="4f81bd"/>
    </w:rPr>
  </w:style>
  <w:style w:type="paragraph" w:styleId="Heading5">
    <w:name w:val="heading 5"/>
    <w:basedOn w:val="Normal"/>
    <w:next w:val="Normal"/>
    <w:pPr>
      <w:ind w:left="4320" w:hanging="720"/>
    </w:pPr>
    <w:rPr>
      <w:rFonts w:ascii="Times New Roman" w:cs="Times New Roman" w:eastAsia="Times New Roman" w:hAnsi="Times New Roman"/>
    </w:rPr>
  </w:style>
  <w:style w:type="paragraph" w:styleId="Heading6">
    <w:name w:val="heading 6"/>
    <w:basedOn w:val="Normal"/>
    <w:next w:val="Normal"/>
    <w:pPr>
      <w:spacing w:line="360" w:lineRule="auto"/>
      <w:ind w:left="4320" w:hanging="720"/>
    </w:pPr>
    <w:rPr>
      <w:rFonts w:ascii="Times New Roman" w:cs="Times New Roman" w:eastAsia="Times New Roman" w:hAnsi="Times New Roman"/>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0" w:before="480"/>
      <w:outlineLvl w:val="0"/>
    </w:pPr>
    <w:rPr>
      <w:rFonts w:ascii="Cambria" w:cs="Cambria" w:eastAsia="Cambria" w:hAnsi="Cambria"/>
      <w:b w:val="1"/>
      <w:color w:val="366091"/>
      <w:sz w:val="28"/>
      <w:szCs w:val="28"/>
    </w:rPr>
  </w:style>
  <w:style w:type="paragraph" w:styleId="Heading2">
    <w:name w:val="heading 2"/>
    <w:basedOn w:val="Normal"/>
    <w:next w:val="Normal"/>
    <w:uiPriority w:val="9"/>
    <w:semiHidden w:val="1"/>
    <w:unhideWhenUsed w:val="1"/>
    <w:qFormat w:val="1"/>
    <w:pPr>
      <w:keepNext w:val="1"/>
      <w:keepLines w:val="1"/>
      <w:spacing w:after="0" w:before="200"/>
      <w:outlineLvl w:val="1"/>
    </w:pPr>
    <w:rPr>
      <w:rFonts w:ascii="Cambria" w:cs="Cambria" w:eastAsia="Cambria" w:hAnsi="Cambria"/>
      <w:b w:val="1"/>
      <w:color w:val="4f81bd"/>
      <w:sz w:val="26"/>
      <w:szCs w:val="26"/>
    </w:rPr>
  </w:style>
  <w:style w:type="paragraph" w:styleId="Heading3">
    <w:name w:val="heading 3"/>
    <w:basedOn w:val="Normal"/>
    <w:next w:val="Normal"/>
    <w:uiPriority w:val="9"/>
    <w:semiHidden w:val="1"/>
    <w:unhideWhenUsed w:val="1"/>
    <w:qFormat w:val="1"/>
    <w:pPr>
      <w:keepNext w:val="1"/>
      <w:keepLines w:val="1"/>
      <w:spacing w:after="0" w:before="200"/>
      <w:outlineLvl w:val="2"/>
    </w:pPr>
    <w:rPr>
      <w:rFonts w:ascii="Cambria" w:cs="Cambria" w:eastAsia="Cambria" w:hAnsi="Cambria"/>
      <w:b w:val="1"/>
      <w:color w:val="4f81bd"/>
    </w:rPr>
  </w:style>
  <w:style w:type="paragraph" w:styleId="Heading4">
    <w:name w:val="heading 4"/>
    <w:basedOn w:val="Normal"/>
    <w:next w:val="Normal"/>
    <w:uiPriority w:val="9"/>
    <w:semiHidden w:val="1"/>
    <w:unhideWhenUsed w:val="1"/>
    <w:qFormat w:val="1"/>
    <w:pPr>
      <w:keepNext w:val="1"/>
      <w:keepLines w:val="1"/>
      <w:spacing w:after="0" w:before="200"/>
      <w:outlineLvl w:val="3"/>
    </w:pPr>
    <w:rPr>
      <w:rFonts w:ascii="Cambria" w:cs="Cambria" w:eastAsia="Cambria" w:hAnsi="Cambria"/>
      <w:b w:val="1"/>
      <w:i w:val="1"/>
      <w:color w:val="4f81bd"/>
    </w:rPr>
  </w:style>
  <w:style w:type="paragraph" w:styleId="Heading5">
    <w:name w:val="heading 5"/>
    <w:basedOn w:val="Normal"/>
    <w:next w:val="Normal"/>
    <w:uiPriority w:val="9"/>
    <w:semiHidden w:val="1"/>
    <w:unhideWhenUsed w:val="1"/>
    <w:qFormat w:val="1"/>
    <w:pPr>
      <w:ind w:left="4320" w:hanging="720"/>
      <w:outlineLvl w:val="4"/>
    </w:pPr>
    <w:rPr>
      <w:rFonts w:ascii="Times New Roman" w:cs="Times New Roman" w:eastAsia="Times New Roman" w:hAnsi="Times New Roman"/>
    </w:rPr>
  </w:style>
  <w:style w:type="paragraph" w:styleId="Heading6">
    <w:name w:val="heading 6"/>
    <w:basedOn w:val="Normal"/>
    <w:next w:val="Normal"/>
    <w:uiPriority w:val="9"/>
    <w:semiHidden w:val="1"/>
    <w:unhideWhenUsed w:val="1"/>
    <w:qFormat w:val="1"/>
    <w:pPr>
      <w:spacing w:line="360" w:lineRule="auto"/>
      <w:ind w:left="4320" w:hanging="720"/>
      <w:outlineLvl w:val="5"/>
    </w:pPr>
    <w:rPr>
      <w:rFonts w:ascii="Times New Roman" w:cs="Times New Roman" w:eastAsia="Times New Roman" w:hAnsi="Times New Roman"/>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CommentText">
    <w:name w:val="annotation text"/>
    <w:basedOn w:val="Normal"/>
    <w:link w:val="CommentTextChar"/>
    <w:uiPriority w:val="99"/>
    <w:unhideWhenUsed w:val="1"/>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Revision">
    <w:name w:val="Revision"/>
    <w:hidden w:val="1"/>
    <w:uiPriority w:val="99"/>
    <w:semiHidden w:val="1"/>
    <w:rsid w:val="00073E5A"/>
    <w:pPr>
      <w:spacing w:after="0"/>
      <w:jc w:val="left"/>
    </w:pPr>
  </w:style>
  <w:style w:type="paragraph" w:styleId="CommentSubject">
    <w:name w:val="annotation subject"/>
    <w:basedOn w:val="CommentText"/>
    <w:next w:val="CommentText"/>
    <w:link w:val="CommentSubjectChar"/>
    <w:uiPriority w:val="99"/>
    <w:semiHidden w:val="1"/>
    <w:unhideWhenUsed w:val="1"/>
    <w:rsid w:val="00073E5A"/>
    <w:rPr>
      <w:b w:val="1"/>
      <w:bCs w:val="1"/>
    </w:rPr>
  </w:style>
  <w:style w:type="character" w:styleId="CommentSubjectChar" w:customStyle="1">
    <w:name w:val="Comment Subject Char"/>
    <w:basedOn w:val="CommentTextChar"/>
    <w:link w:val="CommentSubject"/>
    <w:uiPriority w:val="99"/>
    <w:semiHidden w:val="1"/>
    <w:rsid w:val="00073E5A"/>
    <w:rPr>
      <w:b w:val="1"/>
      <w:bCs w:val="1"/>
      <w:sz w:val="20"/>
      <w:szCs w:val="20"/>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3.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wxh5ov1KfNdkmdsX3CVaO1XVcA==">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2023-07-14T14:35:00Z</dcterms:created>
  <dc:creator>Pauline Hanratty</dc:creator>
</cp:coreProperties>
</file>