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left"/>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36"/>
          <w:szCs w:val="36"/>
        </w:rPr>
      </w:pPr>
      <w:bookmarkStart w:colFirst="0" w:colLast="0" w:name="_heading=h.gjdgxs" w:id="0"/>
      <w:bookmarkEnd w:id="0"/>
      <w:r w:rsidDel="00000000" w:rsidR="00000000" w:rsidRPr="00000000">
        <w:rPr>
          <w:rFonts w:ascii="Arial" w:cs="Arial" w:eastAsia="Arial" w:hAnsi="Arial"/>
          <w:b w:val="1"/>
          <w:color w:val="000000"/>
          <w:sz w:val="36"/>
          <w:szCs w:val="36"/>
          <w:rtl w:val="0"/>
        </w:rPr>
        <w:t xml:space="preserve">Call-Off Schedule 28 (TUPE Surcharge)</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rFonts w:ascii="Arial" w:cs="Arial" w:eastAsia="Arial" w:hAnsi="Arial"/>
          <w:b w:val="1"/>
          <w:color w:val="000000"/>
          <w:sz w:val="6"/>
          <w:szCs w:val="6"/>
        </w:rPr>
      </w:pPr>
      <w:bookmarkStart w:colFirst="0" w:colLast="0" w:name="_heading=h.30j0zll" w:id="1"/>
      <w:bookmarkEnd w:id="1"/>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8"/>
        <w:gridCol w:w="4508"/>
        <w:tblGridChange w:id="0">
          <w:tblGrid>
            <w:gridCol w:w="4508"/>
            <w:gridCol w:w="4508"/>
          </w:tblGrid>
        </w:tblGridChange>
      </w:tblGrid>
      <w:tr>
        <w:trPr>
          <w:cantSplit w:val="0"/>
          <w:tblHeader w:val="0"/>
        </w:trPr>
        <w:tc>
          <w:tcPr>
            <w:gridSpan w:val="2"/>
          </w:tcPr>
          <w:p w:rsidR="00000000" w:rsidDel="00000000" w:rsidP="00000000" w:rsidRDefault="00000000" w:rsidRPr="00000000" w14:paraId="00000004">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(i) Joint Schedule 1 (Definitions) and (ii) Call–Off Schedule 2 (Staff Transfer):</w:t>
            </w:r>
          </w:p>
        </w:tc>
      </w:tr>
      <w:tr>
        <w:trPr>
          <w:cantSplit w:val="0"/>
          <w:tblHeader w:val="0"/>
        </w:trPr>
        <w:tc>
          <w:tcPr/>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DEFINITION</w:t>
            </w:r>
          </w:p>
        </w:tc>
        <w:tc>
          <w:tcPr/>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MEANING</w:t>
            </w:r>
          </w:p>
        </w:tc>
      </w:tr>
      <w:tr>
        <w:trPr>
          <w:cantSplit w:val="0"/>
          <w:tblHeader w:val="0"/>
        </w:trPr>
        <w:tc>
          <w:tcP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“Annual Pension Cost”</w:t>
            </w:r>
          </w:p>
        </w:tc>
        <w:tc>
          <w:tcP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Employer Pension Contributions, subject to the Employer Pension Contribution Cap;</w:t>
            </w:r>
          </w:p>
        </w:tc>
      </w:tr>
      <w:tr>
        <w:trPr>
          <w:cantSplit w:val="0"/>
          <w:tblHeader w:val="0"/>
        </w:trPr>
        <w:tc>
          <w:tcP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“Direct Award TUPE Risk Premium”</w:t>
            </w:r>
          </w:p>
        </w:tc>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amount payable on an annual basis based on the difference between:</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the costs to employ Transferring Former Supplier Employees or  where the Former Supplier becomes the Supplier those Former Supplier employees providing the Services at the Commencement Date and/or Transferring Buyer Employees (as the case may be); and</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tab/>
              <w:t xml:space="preserve">the equivalent costs to employ staff used by the Supplier at Further Competition,</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payments due under contracts of employment in respect of the following: </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tab/>
              <w:t xml:space="preserve">annual salary;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w:t>
              <w:tab/>
              <w:t xml:space="preserve">annual national insurance cost;</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w:t>
              <w:tab/>
              <w:t xml:space="preserve">Annual Pension Cost;</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w:t>
              <w:tab/>
              <w:t xml:space="preserve">annual life insurance cost;</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w:t>
              <w:tab/>
              <w:t xml:space="preserve">annual sick pay entitlement;</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w:t>
              <w:tab/>
              <w:t xml:space="preserve">maternity/paternity costs; and</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vii)</w:t>
              <w:tab/>
              <w:t xml:space="preserve">any other cost arising directly from the contract of employment of the Transferring Former Supplier Employee and or Transferring Buyer Employee, </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set out in paragraph 1 of Call Off Schedule 28 (TUPE Surcharge);</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“Cost of Change”</w:t>
            </w:r>
          </w:p>
        </w:tc>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any costs that will be incurred in managing the transition of an individual who is listed as a TUPE employee, and will not be required to fulfil a role as part of the new contract, within the Call Off Pricing Matrix. Examples could include but not be limited to: staff consultation, redeployment costs, short-term salary cover associated with redeployment or release of labour, and temporary staffing;</w:t>
            </w:r>
          </w:p>
        </w:tc>
      </w:tr>
      <w:tr>
        <w:trPr>
          <w:cantSplit w:val="0"/>
          <w:tblHeader w:val="0"/>
        </w:trPr>
        <w:tc>
          <w:tcP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"Employer Pension Contribution"</w:t>
            </w:r>
          </w:p>
        </w:tc>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standard employer pension contributions paid in accordance with the relevant pension scheme rules and used in the calculation of the TUPE Risk Premium less any costs recoverable under Annex D3: LGPS of Part D Pensions of Schedule 2 Staff Transfer;</w:t>
            </w:r>
          </w:p>
        </w:tc>
      </w:tr>
      <w:tr>
        <w:trPr>
          <w:cantSplit w:val="0"/>
          <w:tblHeader w:val="0"/>
        </w:trPr>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"Employer Pension Contribution Cap"</w:t>
            </w:r>
          </w:p>
        </w:tc>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6% maximum rate of Employer Pension Contribution used in the calculation of the TUPE Risk Premium;</w:t>
            </w:r>
          </w:p>
        </w:tc>
      </w:tr>
      <w:tr>
        <w:trPr>
          <w:cantSplit w:val="0"/>
          <w:tblHeader w:val="0"/>
        </w:trPr>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“Fixed Fee TUPE Risk Premium”</w:t>
            </w:r>
          </w:p>
        </w:tc>
        <w:tc>
          <w:tcP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amount payable  on an annual basis based on the difference between:</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the costs to employ Transferring Former Supplier Employees or  where the Former Supplier becomes the Supplier those Former Supplier employees providing the Services at the Commencement Date and/or Transferring Buyer Employees (as the case may be); and</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tab/>
              <w:t xml:space="preserve">the equivalent costs to employ staff used by the Supplier at Further Competition,</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payments due under contracts of employment in respect of the following: </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tab/>
              <w:t xml:space="preserve">annual salary;</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w:t>
              <w:tab/>
              <w:t xml:space="preserve">annual national insurance cost;</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w:t>
              <w:tab/>
              <w:t xml:space="preserve">annual Pension Cost;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w:t>
              <w:tab/>
              <w:t xml:space="preserve">annual life insurance cost;</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w:t>
              <w:tab/>
              <w:t xml:space="preserve">annual sick pay entitlement;</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w:t>
              <w:tab/>
              <w:t xml:space="preserve">maternity/paternity costs; and</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vii)</w:t>
              <w:tab/>
              <w:t xml:space="preserve">any other cost arising directly from the contract of employment of the Transferring Former Supplier Employee and or Transferring Buyer Employee,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set out in paragraph 3 of Call Off Schedule 28 (TUPE Surcharge);</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"Further Competition TUPE Risk Premium"</w:t>
            </w:r>
          </w:p>
        </w:tc>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amount payable  on an annual basis based on the difference between:</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the costs to employ Transferring Former Supplier Employees or  where the Former Supplier becomes the Supplier those Former Supplier employees providing the Services at the Commencement Date and/or Transferring Buyer Employees (as the case may be); and</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tab/>
              <w:t xml:space="preserve">the equivalent costs to employ staff used by the Supplier at Further Competition,</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payments due under contracts of employment in respect of the following: </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tab/>
              <w:t xml:space="preserve">annual salary;</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w:t>
              <w:tab/>
              <w:t xml:space="preserve">annual national insurance cost;</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w:t>
              <w:tab/>
              <w:t xml:space="preserve">Annual Pension Cost;</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w:t>
              <w:tab/>
              <w:t xml:space="preserve">annual life insurance cost;</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w:t>
              <w:tab/>
              <w:t xml:space="preserve">annual sick pay entitlement;</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w:t>
              <w:tab/>
              <w:t xml:space="preserve">maternity/paternity costs; and</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vii)</w:t>
              <w:tab/>
              <w:t xml:space="preserve">any other cost arising directly from the contract of employment of the Transferring Former Supplier Employee and or Transferring Buyer Employee, </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set out in paragraph 2 of Call Off Schedule 28 (TUPE Surcharge);</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“Labour Count”</w:t>
            </w:r>
            <w:r w:rsidDel="00000000" w:rsidR="00000000" w:rsidRPr="00000000">
              <w:rPr>
                <w:rtl w:val="0"/>
              </w:rPr>
            </w:r>
          </w:p>
        </w:tc>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means</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  the total number of Transferring Former Supplier Employees and/or</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202124"/>
                <w:sz w:val="24"/>
                <w:szCs w:val="24"/>
                <w:rtl w:val="0"/>
              </w:rPr>
              <w:t xml:space="preserve">  Transferring Buyer Employees identified in the Supplier’s solution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"Other Pension Cost"</w:t>
            </w:r>
          </w:p>
        </w:tc>
        <w:tc>
          <w:tcP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75"/>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175"/>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in respect of CSPS Eligible Employees those sums set out at Clauses 7.1.1 (annual administration charges covering core services), 7.1.5 (employer contributions), 7.1.7 (the ASLC) and 7.1.8 (flat charges applicable to the Partnership Pension Account) of the CSPS Admission Agreement;</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5"/>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in respect of NHSPS Eligible Employees, the standard employer contribution rate applicable to NHS Pensions employers during the Contract Period and payable by the Supplier (but no other costs, contributions, charges or surcharges payable by the Supplier to or in respect of NHS Pensions or in respect of any NHS Premature Retirement Rights, unless otherwise agreed in writing by the Buyer);</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75"/>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in respect of LGPS Eligible Employees, the standard employer contribution rate applicable to LGPS Eligible Employees during the Contract Period and payable by the Supplier such sums expressed and set out in the rates and adjustments certificate under regulation 62 of the LGPS Regulations (but no other costs, contributions, charges or surcharges payable by the Supplier to or in respect of the LGPS unless otherwise agreed in writing by the Authority) less any costs recoverable under Annex D3: LGPS of Part D Pensions of Schedule 2 Staff Transfer; and </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5"/>
                <w:tab w:val="left" w:leader="none" w:pos="-179"/>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such other pension contributions, charges or costs incurred by the Supplier which have been expressly agreed by the Buyer in writing to constitute “Other Pension Costs”</w:t>
            </w:r>
          </w:p>
        </w:tc>
      </w:tr>
      <w:tr>
        <w:trPr>
          <w:cantSplit w:val="0"/>
          <w:tblHeader w:val="0"/>
        </w:trPr>
        <w:tc>
          <w:tcP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ind w:left="-108"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"TUPE Count"</w:t>
            </w:r>
          </w:p>
        </w:tc>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5"/>
                <w:tab w:val="left" w:leader="none" w:pos="-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total number of Transferring Former Supplier Employees and/or Transferring Buyer Employees identified in the Employee Liability  Information;</w:t>
            </w:r>
          </w:p>
        </w:tc>
      </w:tr>
      <w:tr>
        <w:trPr>
          <w:cantSplit w:val="0"/>
          <w:tblHeader w:val="0"/>
        </w:trPr>
        <w:tc>
          <w:tcPr>
            <w:vAlign w:val="center"/>
          </w:tcPr>
          <w:p w:rsidR="00000000" w:rsidDel="00000000" w:rsidP="00000000" w:rsidRDefault="00000000" w:rsidRPr="00000000" w14:paraId="00000047">
            <w:pPr>
              <w:ind w:left="7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"TUPE Risk Premium"</w:t>
            </w:r>
          </w:p>
        </w:tc>
        <w:tc>
          <w:tcP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75"/>
                <w:tab w:val="left" w:leader="none" w:pos="-17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either the:</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175"/>
                <w:tab w:val="left" w:leader="none" w:pos="-17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Direct Award TUPE Risk Premium;</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75"/>
                <w:tab w:val="left" w:leader="none" w:pos="-179"/>
              </w:tabs>
              <w:spacing w:after="120" w:lineRule="auto"/>
              <w:jc w:val="left"/>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b)</w:t>
              <w:tab/>
              <w:t xml:space="preserve">Further Competition TUPE Risk Premium; or</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75"/>
                <w:tab w:val="left" w:leader="none" w:pos="-17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tab/>
              <w:t xml:space="preserve">Fixed Fee TUPE Risk Premium,</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75"/>
                <w:tab w:val="left" w:leader="none" w:pos="-17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the context requires;</w:t>
            </w:r>
          </w:p>
        </w:tc>
      </w:tr>
      <w:tr>
        <w:trPr>
          <w:cantSplit w:val="0"/>
          <w:tblHeader w:val="0"/>
        </w:trPr>
        <w:tc>
          <w:tcPr>
            <w:vAlign w:val="center"/>
          </w:tcPr>
          <w:p w:rsidR="00000000" w:rsidDel="00000000" w:rsidP="00000000" w:rsidRDefault="00000000" w:rsidRPr="00000000" w14:paraId="0000004D">
            <w:pPr>
              <w:ind w:left="7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"TUPE Risk Premium Average"</w:t>
            </w:r>
          </w:p>
        </w:tc>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75"/>
                <w:tab w:val="left" w:leader="none" w:pos="-17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average  calculated by dividing the Further Competition TUPE Risk Premium by the lower of either:</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175"/>
                <w:tab w:val="left" w:leader="none" w:pos="-17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t>
              <w:tab/>
              <w:t xml:space="preserve">Labour Count; or</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75"/>
                <w:tab w:val="left" w:leader="none" w:pos="-179"/>
              </w:tabs>
              <w:spacing w:after="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w:t>
              <w:tab/>
              <w:t xml:space="preserve">the TUPE Count.</w:t>
            </w:r>
          </w:p>
        </w:tc>
      </w:tr>
    </w:tbl>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52">
      <w:pPr>
        <w:keepNext w:val="1"/>
        <w:pBdr>
          <w:top w:space="0" w:sz="0" w:val="nil"/>
          <w:left w:space="0" w:sz="0" w:val="nil"/>
          <w:bottom w:space="0" w:sz="0" w:val="nil"/>
          <w:right w:space="0" w:sz="0" w:val="nil"/>
          <w:between w:space="0" w:sz="0" w:val="nil"/>
        </w:pBd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tabs>
          <w:tab w:val="left" w:leader="none" w:pos="1134"/>
        </w:tabs>
        <w:spacing w:after="120" w:before="120" w:lineRule="auto"/>
        <w:ind w:left="502" w:hanging="360"/>
        <w:rPr>
          <w:color w:val="000000"/>
          <w:sz w:val="24"/>
          <w:szCs w:val="24"/>
        </w:rPr>
      </w:pPr>
      <w:r w:rsidDel="00000000" w:rsidR="00000000" w:rsidRPr="00000000">
        <w:rPr>
          <w:rFonts w:ascii="Arial" w:cs="Arial" w:eastAsia="Arial" w:hAnsi="Arial"/>
          <w:b w:val="1"/>
          <w:color w:val="000000"/>
          <w:sz w:val="24"/>
          <w:szCs w:val="24"/>
          <w:rtl w:val="0"/>
        </w:rPr>
        <w:t xml:space="preserve">Option 1 – Direct Award – TUPE Risk Premium </w:t>
      </w:r>
      <w:r w:rsidDel="00000000" w:rsidR="00000000" w:rsidRPr="00000000">
        <w:rPr>
          <w:rtl w:val="0"/>
        </w:rPr>
      </w:r>
    </w:p>
    <w:p w:rsidR="00000000" w:rsidDel="00000000" w:rsidP="00000000" w:rsidRDefault="00000000" w:rsidRPr="00000000" w14:paraId="0000005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Direct Award TUPE Risk Premium shall be priced for during the Mobilisation Period (as agreed by the Buyer) and shall follow the process described within Option 2 – Further Competition TUPE Risk Premium.</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1134"/>
        </w:tabs>
        <w:spacing w:after="120" w:before="120" w:lineRule="auto"/>
        <w:ind w:left="93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tabs>
          <w:tab w:val="left" w:leader="none" w:pos="1134"/>
        </w:tabs>
        <w:spacing w:after="120" w:before="120" w:lineRule="auto"/>
        <w:ind w:left="502" w:hanging="360"/>
        <w:rPr>
          <w:rFonts w:ascii="Arial" w:cs="Arial" w:eastAsia="Arial" w:hAnsi="Arial"/>
          <w:b w:val="1"/>
          <w:color w:val="000000"/>
          <w:sz w:val="24"/>
          <w:szCs w:val="24"/>
        </w:rPr>
      </w:pPr>
      <w:bookmarkStart w:colFirst="0" w:colLast="0" w:name="_heading=h.3znysh7" w:id="3"/>
      <w:bookmarkEnd w:id="3"/>
      <w:r w:rsidDel="00000000" w:rsidR="00000000" w:rsidRPr="00000000">
        <w:rPr>
          <w:rFonts w:ascii="Arial" w:cs="Arial" w:eastAsia="Arial" w:hAnsi="Arial"/>
          <w:b w:val="1"/>
          <w:color w:val="000000"/>
          <w:sz w:val="24"/>
          <w:szCs w:val="24"/>
          <w:rtl w:val="0"/>
        </w:rPr>
        <w:t xml:space="preserve">Option 2- Further Competition TUPE Risk Premium</w:t>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Further Competition TUPE Risk Premium shall be priced for at Further Competition as set out in Annex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 - </w:t>
      </w:r>
      <w:r w:rsidDel="00000000" w:rsidR="00000000" w:rsidRPr="00000000">
        <w:rPr>
          <w:rFonts w:ascii="Arial" w:cs="Arial" w:eastAsia="Arial" w:hAnsi="Arial"/>
          <w:sz w:val="24"/>
          <w:szCs w:val="24"/>
          <w:rtl w:val="0"/>
        </w:rPr>
        <w:t xml:space="preserve">Framework</w:t>
      </w:r>
      <w:r w:rsidDel="00000000" w:rsidR="00000000" w:rsidRPr="00000000">
        <w:rPr>
          <w:rFonts w:ascii="Arial" w:cs="Arial" w:eastAsia="Arial" w:hAnsi="Arial"/>
          <w:color w:val="000000"/>
          <w:sz w:val="24"/>
          <w:szCs w:val="24"/>
          <w:rtl w:val="0"/>
        </w:rPr>
        <w:t xml:space="preserve"> Schedule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Call-Off Award Procedure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58">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Relevant Transfer takes place, or will take place, the Supplier shall, no later than 20 Working Days after the Relevant Transfer Date, submit to the Buyer:</w:t>
      </w:r>
    </w:p>
    <w:p w:rsidR="00000000" w:rsidDel="00000000" w:rsidP="00000000" w:rsidRDefault="00000000" w:rsidRPr="00000000" w14:paraId="00000059">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notice that no adjustment is required and the Further Competition TUPE Risk Premium submitted at Call-Off Tender will be used. </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1985"/>
        </w:tabs>
        <w:spacing w:after="120" w:before="120" w:lineRule="auto"/>
        <w:ind w:left="261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w:t>
      </w:r>
    </w:p>
    <w:p w:rsidR="00000000" w:rsidDel="00000000" w:rsidP="00000000" w:rsidRDefault="00000000" w:rsidRPr="00000000" w14:paraId="0000005B">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updated calculation of the Further Competition TUPE Risk Premium together with a breakdown and supporting evidence as may be reasonably required for the Buyer to corroborate and assess the calculation of the Further Competition TUPE Risk Premium.</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1134"/>
        </w:tabs>
        <w:spacing w:after="120" w:before="120" w:lineRule="auto"/>
        <w:ind w:left="93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36" w:hanging="57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Further Competition TUPE Risk Premium, when post award adjustment</w:t>
      </w:r>
    </w:p>
    <w:p w:rsidR="00000000" w:rsidDel="00000000" w:rsidP="00000000" w:rsidRDefault="00000000" w:rsidRPr="00000000" w14:paraId="0000005E">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The Supplier may request a Further Competition TUPE Risk Premium adjustment, and the Buyer may grant the request, if:</w:t>
      </w:r>
    </w:p>
    <w:p w:rsidR="00000000" w:rsidDel="00000000" w:rsidP="00000000" w:rsidRDefault="00000000" w:rsidRPr="00000000" w14:paraId="0000005F">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can evidence any inaccuracies or omissions in the information in the following areas provided during the Further Competition: </w:t>
      </w:r>
    </w:p>
    <w:p w:rsidR="00000000" w:rsidDel="00000000" w:rsidP="00000000" w:rsidRDefault="00000000" w:rsidRPr="00000000" w14:paraId="00000060">
      <w:pPr>
        <w:numPr>
          <w:ilvl w:val="4"/>
          <w:numId w:val="2"/>
        </w:numPr>
        <w:pBdr>
          <w:top w:space="0" w:sz="0" w:val="nil"/>
          <w:left w:space="0" w:sz="0" w:val="nil"/>
          <w:bottom w:space="0" w:sz="0" w:val="nil"/>
          <w:right w:space="0" w:sz="0" w:val="nil"/>
          <w:between w:space="0" w:sz="0" w:val="nil"/>
        </w:pBdr>
        <w:tabs>
          <w:tab w:val="left" w:leader="none" w:pos="1985"/>
        </w:tabs>
        <w:spacing w:after="120" w:before="120" w:lineRule="auto"/>
        <w:ind w:left="3150" w:hanging="54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TUPE Count; </w:t>
      </w:r>
    </w:p>
    <w:p w:rsidR="00000000" w:rsidDel="00000000" w:rsidP="00000000" w:rsidRDefault="00000000" w:rsidRPr="00000000" w14:paraId="00000061">
      <w:pPr>
        <w:numPr>
          <w:ilvl w:val="4"/>
          <w:numId w:val="2"/>
        </w:numPr>
        <w:pBdr>
          <w:top w:space="0" w:sz="0" w:val="nil"/>
          <w:left w:space="0" w:sz="0" w:val="nil"/>
          <w:bottom w:space="0" w:sz="0" w:val="nil"/>
          <w:right w:space="0" w:sz="0" w:val="nil"/>
          <w:between w:space="0" w:sz="0" w:val="nil"/>
        </w:pBdr>
        <w:tabs>
          <w:tab w:val="left" w:leader="none" w:pos="1985"/>
        </w:tabs>
        <w:spacing w:after="120" w:before="120" w:lineRule="auto"/>
        <w:ind w:left="3150" w:hanging="54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costs covered by the  Further Competition TUPE Risk Premium; and/or</w:t>
      </w:r>
    </w:p>
    <w:p w:rsidR="00000000" w:rsidDel="00000000" w:rsidP="00000000" w:rsidRDefault="00000000" w:rsidRPr="00000000" w14:paraId="00000062">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are any other unknown costs arising directly from the contract of employment of the Transferring Former Supplier Employee and/or Transferring Buyer Employee, </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where a full breakdown and supporting evidence is submitted in support of a request to adjust the Further Competition TUPE Risk Premium. </w:t>
      </w:r>
    </w:p>
    <w:p w:rsidR="00000000" w:rsidDel="00000000" w:rsidP="00000000" w:rsidRDefault="00000000" w:rsidRPr="00000000" w14:paraId="00000064">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receipt of the Suppliers calculation of the Further Competition TUPE Risk Premium and, if applicable, a request for a Further Competition TUPE Risk Premium adjustment, the Buyer shall either:</w:t>
      </w:r>
    </w:p>
    <w:p w:rsidR="00000000" w:rsidDel="00000000" w:rsidP="00000000" w:rsidRDefault="00000000" w:rsidRPr="00000000" w14:paraId="00000065">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Notify the Supplier in writing of acceptance of the Further Competition TUPE Risk Premium and, if applicable, the Further Competition TUPE Risk Premium adjustment relating to the Relevant Transfer; </w:t>
      </w:r>
    </w:p>
    <w:p w:rsidR="00000000" w:rsidDel="00000000" w:rsidP="00000000" w:rsidRDefault="00000000" w:rsidRPr="00000000" w14:paraId="00000066">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 further information/evidence; and/or</w:t>
      </w:r>
    </w:p>
    <w:p w:rsidR="00000000" w:rsidDel="00000000" w:rsidP="00000000" w:rsidRDefault="00000000" w:rsidRPr="00000000" w14:paraId="00000067">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 a meeting to discuss/clarify the evidence provided.</w:t>
      </w:r>
    </w:p>
    <w:p w:rsidR="00000000" w:rsidDel="00000000" w:rsidP="00000000" w:rsidRDefault="00000000" w:rsidRPr="00000000" w14:paraId="00000068">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Further Competition TUPE Risk Premium is agreed following the receipt of further information/evidence or following a meeting, the Buyer shall notify the Supplier in writing and confirm the Further Competition TUPE Risk Premium to apply. </w:t>
      </w:r>
    </w:p>
    <w:p w:rsidR="00000000" w:rsidDel="00000000" w:rsidP="00000000" w:rsidRDefault="00000000" w:rsidRPr="00000000" w14:paraId="00000069">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requests a Further Competition TUPE Risk Premium adjustment and it is agreed by the Buyer, the Further Competition TUPE Risk Premium shall be adjusted accordingly.</w:t>
      </w:r>
    </w:p>
    <w:p w:rsidR="00000000" w:rsidDel="00000000" w:rsidP="00000000" w:rsidRDefault="00000000" w:rsidRPr="00000000" w14:paraId="0000006A">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event that the Parties are unable to agree either the Further Competition TUPE Risk Premium or, if applicable, the Further Competition TUPE Risk Premium adjustment, the Parties shall follow the Dispute Resolution Procedure.</w:t>
      </w:r>
    </w:p>
    <w:p w:rsidR="00000000" w:rsidDel="00000000" w:rsidP="00000000" w:rsidRDefault="00000000" w:rsidRPr="00000000" w14:paraId="0000006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agreement of the Further Competition TUPE Risk Premium the Further Competition TUPE Risk Premium Average shall be calculated and this will be used as the basis for the  annual  review of the Further Competition TUPE Risk Premium.</w:t>
      </w:r>
    </w:p>
    <w:p w:rsidR="00000000" w:rsidDel="00000000" w:rsidP="00000000" w:rsidRDefault="00000000" w:rsidRPr="00000000" w14:paraId="0000006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Annual review of Further Competition TUPE Risk Premium</w:t>
      </w:r>
      <w:r w:rsidDel="00000000" w:rsidR="00000000" w:rsidRPr="00000000">
        <w:rPr>
          <w:rtl w:val="0"/>
        </w:rPr>
      </w:r>
    </w:p>
    <w:p w:rsidR="00000000" w:rsidDel="00000000" w:rsidP="00000000" w:rsidRDefault="00000000" w:rsidRPr="00000000" w14:paraId="0000006D">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Further Competition TUPE Risk Premium shall be reviewed by the Buyer at the commencement of each Contract Year.</w:t>
      </w:r>
    </w:p>
    <w:p w:rsidR="00000000" w:rsidDel="00000000" w:rsidP="00000000" w:rsidRDefault="00000000" w:rsidRPr="00000000" w14:paraId="0000006E">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The Supplier shall submit to the Buyer, no later than 20 Working Days prior to the beginning of each Contract Year, evidence of any change to the TUPE Count in the previous Contract Year or since it was last adjusted. </w:t>
      </w:r>
    </w:p>
    <w:p w:rsidR="00000000" w:rsidDel="00000000" w:rsidP="00000000" w:rsidRDefault="00000000" w:rsidRPr="00000000" w14:paraId="0000006F">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TUPE Count is less than the TUPE Count in the previous Contract Year, the Further Competition TUPE Risk Premium shall be adjusted using the following calculation:</w:t>
      </w:r>
    </w:p>
    <w:p w:rsidR="00000000" w:rsidDel="00000000" w:rsidP="00000000" w:rsidRDefault="00000000" w:rsidRPr="00000000" w14:paraId="00000070">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Difference in TUPE Count (Previous Contract Year less current Contract Year) x TUPE Risk Premium Average.</w:t>
      </w:r>
    </w:p>
    <w:p w:rsidR="00000000" w:rsidDel="00000000" w:rsidP="00000000" w:rsidRDefault="00000000" w:rsidRPr="00000000" w14:paraId="0000007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cease to be liable to pay the Further Competition TUPE Risk Premium Average in respect of a particular Transferring Former Supplier Employee or a Transferring Buyer Employee from the date upon which he ceases to be employed by the Supplier or engaged on this Contract (whichever occurs the earliest).</w:t>
      </w:r>
    </w:p>
    <w:p w:rsidR="00000000" w:rsidDel="00000000" w:rsidP="00000000" w:rsidRDefault="00000000" w:rsidRPr="00000000" w14:paraId="00000072">
      <w:pPr>
        <w:numPr>
          <w:ilvl w:val="3"/>
          <w:numId w:val="2"/>
        </w:numPr>
        <w:pBdr>
          <w:top w:space="0" w:sz="0" w:val="nil"/>
          <w:left w:space="0" w:sz="0" w:val="nil"/>
          <w:bottom w:space="0" w:sz="0" w:val="nil"/>
          <w:right w:space="0" w:sz="0" w:val="nil"/>
          <w:between w:space="0" w:sz="0" w:val="nil"/>
        </w:pBdr>
        <w:tabs>
          <w:tab w:val="left" w:leader="none" w:pos="1985"/>
        </w:tabs>
        <w:spacing w:after="120" w:lineRule="auto"/>
        <w:ind w:left="2733" w:hanging="93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 employee ceases to be employed part way through the year, the TUPE Risk Premium Average allocated to that employee will be deducted on a pro rata basis.</w:t>
      </w:r>
    </w:p>
    <w:p w:rsidR="00000000" w:rsidDel="00000000" w:rsidP="00000000" w:rsidRDefault="00000000" w:rsidRPr="00000000" w14:paraId="00000073">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receipt of the Supplier’s calculation of the Further Competition TUPE Risk Premium submitted pursuant to paragraph 2.3.2 the Buyer shall either:</w:t>
      </w:r>
    </w:p>
    <w:p w:rsidR="00000000" w:rsidDel="00000000" w:rsidP="00000000" w:rsidRDefault="00000000" w:rsidRPr="00000000" w14:paraId="00000074">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Notify the Supplier in writing of acceptance of the adjusted Further Competition TUPE Risk Premium; or </w:t>
      </w:r>
    </w:p>
    <w:p w:rsidR="00000000" w:rsidDel="00000000" w:rsidP="00000000" w:rsidRDefault="00000000" w:rsidRPr="00000000" w14:paraId="00000075">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 further information/evidence; and/or</w:t>
      </w:r>
    </w:p>
    <w:p w:rsidR="00000000" w:rsidDel="00000000" w:rsidP="00000000" w:rsidRDefault="00000000" w:rsidRPr="00000000" w14:paraId="00000076">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 a meeting to discuss/clarify the evidence provided.</w:t>
      </w:r>
    </w:p>
    <w:p w:rsidR="00000000" w:rsidDel="00000000" w:rsidP="00000000" w:rsidRDefault="00000000" w:rsidRPr="00000000" w14:paraId="00000077">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adjustment to the Further Competition TUPE Risk Premium is agreed following the receipt of further information/evidence or following a meeting, the Buyer shall notify the Supplier in writing and confirm the Further Competition TUPE Risk Premium that will apply. </w:t>
      </w:r>
    </w:p>
    <w:p w:rsidR="00000000" w:rsidDel="00000000" w:rsidP="00000000" w:rsidRDefault="00000000" w:rsidRPr="00000000" w14:paraId="00000078">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event that the Supplier and the Buyer are unable to agree the adjustment to the Further Competition TUPE Risk Premium, they shall follow the Dispute Resolution Procedure.</w:t>
      </w:r>
    </w:p>
    <w:p w:rsidR="00000000" w:rsidDel="00000000" w:rsidP="00000000" w:rsidRDefault="00000000" w:rsidRPr="00000000" w14:paraId="00000079">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adjusted Further Competition TUPE Risk Premium shall be used as the benchmark in the subsequent annual review of the Further Competition TUPE Risk Premium.</w:t>
      </w:r>
    </w:p>
    <w:p w:rsidR="00000000" w:rsidDel="00000000" w:rsidP="00000000" w:rsidRDefault="00000000" w:rsidRPr="00000000" w14:paraId="0000007A">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Where the adjusted Further Competition TUPE Risk Premium is more than the Further Competition TUPE Risk Premium in the previous Contract Year, the Further Competition TUPE Risk Premium shall not be adjusted</w:t>
      </w: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p w:rsidR="00000000" w:rsidDel="00000000" w:rsidP="00000000" w:rsidRDefault="00000000" w:rsidRPr="00000000" w14:paraId="0000007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36" w:hanging="57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Right of audit</w:t>
      </w:r>
    </w:p>
    <w:p w:rsidR="00000000" w:rsidDel="00000000" w:rsidP="00000000" w:rsidRDefault="00000000" w:rsidRPr="00000000" w14:paraId="0000007C">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reserves the right to review and audit the calculation of the Further Competition TUPE Risk Premium at any time. </w:t>
      </w:r>
    </w:p>
    <w:p w:rsidR="00000000" w:rsidDel="00000000" w:rsidP="00000000" w:rsidRDefault="00000000" w:rsidRPr="00000000" w14:paraId="0000007D">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an overpayment of the Further Competition TUPE Risk Premium is identified following a review and/or audit carried out or by any other means, the Supplier shall repay to the Buyer any over payment of the Further Competition TUPE Risk Premium within 20 Working Days of being notified or becoming aware of the overpayment.</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985"/>
        </w:tabs>
        <w:spacing w:after="120" w:before="1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tabs>
          <w:tab w:val="left" w:leader="none" w:pos="1134"/>
        </w:tabs>
        <w:spacing w:after="120" w:before="120" w:lineRule="auto"/>
        <w:ind w:left="502" w:hanging="360"/>
        <w:rPr>
          <w:rFonts w:ascii="Arial" w:cs="Arial" w:eastAsia="Arial" w:hAnsi="Arial"/>
          <w:b w:val="1"/>
          <w:color w:val="000000"/>
          <w:sz w:val="24"/>
          <w:szCs w:val="24"/>
        </w:rPr>
      </w:pPr>
      <w:bookmarkStart w:colFirst="0" w:colLast="0" w:name="_heading=h.1t3h5sf" w:id="7"/>
      <w:bookmarkEnd w:id="7"/>
      <w:r w:rsidDel="00000000" w:rsidR="00000000" w:rsidRPr="00000000">
        <w:rPr>
          <w:rFonts w:ascii="Arial" w:cs="Arial" w:eastAsia="Arial" w:hAnsi="Arial"/>
          <w:b w:val="1"/>
          <w:color w:val="000000"/>
          <w:sz w:val="24"/>
          <w:szCs w:val="24"/>
          <w:rtl w:val="0"/>
        </w:rPr>
        <w:t xml:space="preserve">Option 3 – Further Competition - Fixed Fee TUPE Risk Premium</w:t>
      </w:r>
    </w:p>
    <w:p w:rsidR="00000000" w:rsidDel="00000000" w:rsidP="00000000" w:rsidRDefault="00000000" w:rsidRPr="00000000" w14:paraId="0000008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078" w:hanging="57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Fixed Fee TUPE Risk Premium shall be priced for at Further Competition as set out in </w:t>
      </w:r>
      <w:r w:rsidDel="00000000" w:rsidR="00000000" w:rsidRPr="00000000">
        <w:rPr>
          <w:rFonts w:ascii="Arial" w:cs="Arial" w:eastAsia="Arial" w:hAnsi="Arial"/>
          <w:sz w:val="24"/>
          <w:szCs w:val="24"/>
          <w:rtl w:val="0"/>
        </w:rPr>
        <w:t xml:space="preserve">Annex C - Framework Schedule 7 (Call-Off Award Procedure)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81">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078" w:hanging="57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and no further adjustments shall be permitted except as set out in paragraph 4 of this Schedule 28 (TUPE Surcharge).</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1134"/>
        </w:tabs>
        <w:spacing w:after="120" w:before="1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tabs>
          <w:tab w:val="left" w:leader="none" w:pos="1134"/>
        </w:tabs>
        <w:spacing w:after="120" w:before="120" w:lineRule="auto"/>
        <w:ind w:left="502"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Employer Pensions Contribution Cap &amp; other pension cost</w:t>
      </w:r>
    </w:p>
    <w:p w:rsidR="00000000" w:rsidDel="00000000" w:rsidP="00000000" w:rsidRDefault="00000000" w:rsidRPr="00000000" w14:paraId="0000008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3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options detailed at paragraphs 1, 2 and 3 above the following shall apply.</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6">
      <w:pPr>
        <w:numPr>
          <w:ilvl w:val="2"/>
          <w:numId w:val="1"/>
        </w:numPr>
        <w:pBdr>
          <w:top w:space="0" w:sz="0" w:val="nil"/>
          <w:left w:space="0" w:sz="0" w:val="nil"/>
          <w:bottom w:space="0" w:sz="0" w:val="nil"/>
          <w:right w:space="0" w:sz="0" w:val="nil"/>
          <w:between w:space="0" w:sz="0" w:val="nil"/>
        </w:pBdr>
        <w:tabs>
          <w:tab w:val="left" w:leader="none" w:pos="175"/>
        </w:tabs>
        <w:spacing w:after="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any Annual Pension Cost would have included Employer Pension Contribution in excess of the 6% Employer Pension Contribution Cap or Other Pension Costs, the Supplier may request a pension adjustment to cover the additional cost. Such request for a pension adjustment must be submitted to the Buyer no later than 20 Working Days after the end of the relevant Contract Year.</w:t>
      </w:r>
    </w:p>
    <w:p w:rsidR="00000000" w:rsidDel="00000000" w:rsidP="00000000" w:rsidRDefault="00000000" w:rsidRPr="00000000" w14:paraId="0000008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Supplier requests a pension adjustment in accordance with the provisions of paragraph 4.1.1. above the TUPE Risk Premium, they must provide sufficient evidence to the Buyer to justify the pension adjustment.</w:t>
      </w:r>
    </w:p>
    <w:p w:rsidR="00000000" w:rsidDel="00000000" w:rsidP="00000000" w:rsidRDefault="00000000" w:rsidRPr="00000000" w14:paraId="00000088">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bookmarkStart w:colFirst="0" w:colLast="0" w:name="_heading=h.4d34og8" w:id="8"/>
      <w:bookmarkEnd w:id="8"/>
      <w:r w:rsidDel="00000000" w:rsidR="00000000" w:rsidRPr="00000000">
        <w:rPr>
          <w:rFonts w:ascii="Arial" w:cs="Arial" w:eastAsia="Arial" w:hAnsi="Arial"/>
          <w:color w:val="000000"/>
          <w:sz w:val="24"/>
          <w:szCs w:val="24"/>
          <w:rtl w:val="0"/>
        </w:rPr>
        <w:t xml:space="preserve">On receipt of the Supplier's calculation of the  pension adjustment the Buyer shall either:</w:t>
      </w:r>
    </w:p>
    <w:p w:rsidR="00000000" w:rsidDel="00000000" w:rsidP="00000000" w:rsidRDefault="00000000" w:rsidRPr="00000000" w14:paraId="00000089">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Notify the Supplier in writing of acceptance of the  pension  adjustment; </w:t>
      </w:r>
    </w:p>
    <w:p w:rsidR="00000000" w:rsidDel="00000000" w:rsidP="00000000" w:rsidRDefault="00000000" w:rsidRPr="00000000" w14:paraId="0000008A">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 further information/evidence; and/or</w:t>
      </w:r>
    </w:p>
    <w:p w:rsidR="00000000" w:rsidDel="00000000" w:rsidP="00000000" w:rsidRDefault="00000000" w:rsidRPr="00000000" w14:paraId="0000008B">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 a meeting to discuss/clarify the evidence provided.</w:t>
      </w:r>
    </w:p>
    <w:p w:rsidR="00000000" w:rsidDel="00000000" w:rsidP="00000000" w:rsidRDefault="00000000" w:rsidRPr="00000000" w14:paraId="0000008C">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pension adjustment in Paragraph 4.1.1 is agreed following the receipt of further information/evidence or following a meeting, the Buyer shall notify the Supplier in writing. </w:t>
      </w:r>
    </w:p>
    <w:p w:rsidR="00000000" w:rsidDel="00000000" w:rsidP="00000000" w:rsidRDefault="00000000" w:rsidRPr="00000000" w14:paraId="0000008D">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event that the Supplier and the Buyer are unable to agree the pension adjustment, they shall follow the Dispute Resolution Procedure. </w:t>
      </w:r>
    </w:p>
    <w:p w:rsidR="00000000" w:rsidDel="00000000" w:rsidP="00000000" w:rsidRDefault="00000000" w:rsidRPr="00000000" w14:paraId="0000008E">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paragraph 4.1.4 above applies, the excess amount calculated for the pension adjustment is not included in any calculation of the TUPE Risk Premium Average.</w:t>
      </w:r>
    </w:p>
    <w:p w:rsidR="00000000" w:rsidDel="00000000" w:rsidP="00000000" w:rsidRDefault="00000000" w:rsidRPr="00000000" w14:paraId="0000008F">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pension adjustment agreed by the Buyer over the Employer Pension Contribution Cap or in respect of Other Pension Cost shall be paid within timescales as agreed between Buyer and Supplier</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tabs>
          <w:tab w:val="left" w:leader="none" w:pos="175"/>
        </w:tabs>
        <w:spacing w:after="120" w:lineRule="auto"/>
        <w:ind w:left="502"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Cost of Change</w:t>
      </w:r>
    </w:p>
    <w:p w:rsidR="00000000" w:rsidDel="00000000" w:rsidP="00000000" w:rsidRDefault="00000000" w:rsidRPr="00000000" w14:paraId="0000009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078" w:hanging="57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Option 1 and 2 Direct Award TUPE Risk Premium and Further Competition TUPE Risk Premium.</w:t>
      </w:r>
    </w:p>
    <w:p w:rsidR="00000000" w:rsidDel="00000000" w:rsidP="00000000" w:rsidRDefault="00000000" w:rsidRPr="00000000" w14:paraId="0000009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bookmarkStart w:colFirst="0" w:colLast="0" w:name="_heading=h.2s8eyo1" w:id="9"/>
      <w:bookmarkEnd w:id="9"/>
      <w:r w:rsidDel="00000000" w:rsidR="00000000" w:rsidRPr="00000000">
        <w:rPr>
          <w:rFonts w:ascii="Arial" w:cs="Arial" w:eastAsia="Arial" w:hAnsi="Arial"/>
          <w:color w:val="000000"/>
          <w:sz w:val="24"/>
          <w:szCs w:val="24"/>
          <w:rtl w:val="0"/>
        </w:rPr>
        <w:t xml:space="preserve">If the Supplier requests a post award adjustment, they must provide sufficient evidence to the Buyer to justify the post award adjustment.</w:t>
      </w:r>
    </w:p>
    <w:p w:rsidR="00000000" w:rsidDel="00000000" w:rsidP="00000000" w:rsidRDefault="00000000" w:rsidRPr="00000000" w14:paraId="00000093">
      <w:pPr>
        <w:keepNext w:val="1"/>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6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receipt of the Suppliers calculation of the post award adjustment the Buyer shall either:</w:t>
      </w:r>
    </w:p>
    <w:p w:rsidR="00000000" w:rsidDel="00000000" w:rsidP="00000000" w:rsidRDefault="00000000" w:rsidRPr="00000000" w14:paraId="00000094">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Notify the Supplier in writing of acceptance of the Cost of Change adjustments, or</w:t>
      </w:r>
    </w:p>
    <w:p w:rsidR="00000000" w:rsidDel="00000000" w:rsidP="00000000" w:rsidRDefault="00000000" w:rsidRPr="00000000" w14:paraId="00000095">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 further information/evidence; and/or</w:t>
      </w:r>
    </w:p>
    <w:p w:rsidR="00000000" w:rsidDel="00000000" w:rsidP="00000000" w:rsidRDefault="00000000" w:rsidRPr="00000000" w14:paraId="00000096">
      <w:pPr>
        <w:numPr>
          <w:ilvl w:val="3"/>
          <w:numId w:val="1"/>
        </w:numPr>
        <w:pBdr>
          <w:top w:space="0" w:sz="0" w:val="nil"/>
          <w:left w:space="0" w:sz="0" w:val="nil"/>
          <w:bottom w:space="0" w:sz="0" w:val="nil"/>
          <w:right w:space="0" w:sz="0" w:val="nil"/>
          <w:between w:space="0" w:sz="0" w:val="nil"/>
        </w:pBdr>
        <w:tabs>
          <w:tab w:val="left" w:leader="none" w:pos="1985"/>
        </w:tabs>
        <w:spacing w:after="120" w:before="120" w:lineRule="auto"/>
        <w:ind w:left="2610" w:hanging="99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Request a meeting to discuss/clarify the evidence provided.</w:t>
      </w:r>
    </w:p>
    <w:p w:rsidR="00000000" w:rsidDel="00000000" w:rsidP="00000000" w:rsidRDefault="00000000" w:rsidRPr="00000000" w14:paraId="0000009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078" w:hanging="57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Option 3 – Further Competition Fixed Fee TUPE Risk Premium</w:t>
      </w:r>
    </w:p>
    <w:p w:rsidR="00000000" w:rsidDel="00000000" w:rsidP="00000000" w:rsidRDefault="00000000" w:rsidRPr="00000000" w14:paraId="00000098">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179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shall be no post award adjustment to Cost of Change.</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1134"/>
        </w:tabs>
        <w:spacing w:after="120" w:before="120" w:lineRule="auto"/>
        <w:ind w:left="1078" w:hanging="579"/>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A">
      <w:pPr>
        <w:spacing w:after="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RM6331</w:t>
    </w:r>
  </w:p>
  <w:p w:rsidR="00000000" w:rsidDel="00000000" w:rsidP="00000000" w:rsidRDefault="00000000" w:rsidRPr="00000000" w14:paraId="000000A4">
    <w:pPr>
      <w:spacing w:after="0" w:line="276" w:lineRule="auto"/>
      <w:rPr>
        <w:rFonts w:ascii="Arial" w:cs="Arial" w:eastAsia="Arial" w:hAnsi="Arial"/>
        <w:sz w:val="20"/>
        <w:szCs w:val="20"/>
      </w:rPr>
    </w:pPr>
    <w:bookmarkStart w:colFirst="0" w:colLast="0" w:name="_heading=h.3rdcrjn" w:id="11"/>
    <w:bookmarkEnd w:id="11"/>
    <w:r w:rsidDel="00000000" w:rsidR="00000000" w:rsidRPr="00000000">
      <w:rPr>
        <w:rFonts w:ascii="Arial" w:cs="Arial" w:eastAsia="Arial" w:hAnsi="Arial"/>
        <w:sz w:val="20"/>
        <w:szCs w:val="20"/>
        <w:rtl w:val="0"/>
      </w:rPr>
      <w:t xml:space="preserve">Project Ref: v2.0</w:t>
      <w:tab/>
      <w:tab/>
      <w:tab/>
      <w:tab/>
      <w:tab/>
      <w:tab/>
      <w:tab/>
      <w:tab/>
      <w:tab/>
      <w:tab/>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Ref: v1.0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tabs>
        <w:tab w:val="center" w:leader="none" w:pos="4513"/>
        <w:tab w:val="right" w:leader="none" w:pos="9026"/>
      </w:tabs>
      <w:spacing w:after="0" w:lineRule="auto"/>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Call-Off Schedule</w:t>
    </w:r>
    <w:r w:rsidDel="00000000" w:rsidR="00000000" w:rsidRPr="00000000">
      <w:rPr>
        <w:rFonts w:ascii="Arial" w:cs="Arial" w:eastAsia="Arial" w:hAnsi="Arial"/>
        <w:b w:val="1"/>
        <w:sz w:val="20"/>
        <w:szCs w:val="20"/>
        <w:highlight w:val="white"/>
        <w:rtl w:val="0"/>
      </w:rPr>
      <w:t xml:space="preserve"> 28 </w:t>
    </w:r>
    <w:r w:rsidDel="00000000" w:rsidR="00000000" w:rsidRPr="00000000">
      <w:rPr>
        <w:rFonts w:ascii="Arial" w:cs="Arial" w:eastAsia="Arial" w:hAnsi="Arial"/>
        <w:b w:val="1"/>
        <w:sz w:val="20"/>
        <w:szCs w:val="20"/>
        <w:rtl w:val="0"/>
      </w:rPr>
      <w:t xml:space="preserve">(TUPE Surcharge)</w:t>
    </w:r>
  </w:p>
  <w:p w:rsidR="00000000" w:rsidDel="00000000" w:rsidP="00000000" w:rsidRDefault="00000000" w:rsidRPr="00000000" w14:paraId="0000009C">
    <w:pPr>
      <w:tabs>
        <w:tab w:val="center" w:leader="none" w:pos="4513"/>
        <w:tab w:val="right" w:leader="none" w:pos="9026"/>
      </w:tabs>
      <w:spacing w:after="0" w:lineRule="auto"/>
      <w:jc w:val="left"/>
      <w:rPr>
        <w:rFonts w:ascii="Arial" w:cs="Arial" w:eastAsia="Arial" w:hAnsi="Arial"/>
        <w:sz w:val="20"/>
        <w:szCs w:val="20"/>
      </w:rPr>
    </w:pPr>
    <w:bookmarkStart w:colFirst="0" w:colLast="0" w:name="_heading=h.17dp8vu" w:id="10"/>
    <w:bookmarkEnd w:id="10"/>
    <w:r w:rsidDel="00000000" w:rsidR="00000000" w:rsidRPr="00000000">
      <w:rPr>
        <w:rFonts w:ascii="Arial" w:cs="Arial" w:eastAsia="Arial" w:hAnsi="Arial"/>
        <w:sz w:val="20"/>
        <w:szCs w:val="20"/>
        <w:rtl w:val="0"/>
      </w:rPr>
      <w:t xml:space="preserve">Call-Off Ref: </w:t>
    </w:r>
  </w:p>
  <w:p w:rsidR="00000000" w:rsidDel="00000000" w:rsidP="00000000" w:rsidRDefault="00000000" w:rsidRPr="00000000" w14:paraId="0000009D">
    <w:pPr>
      <w:tabs>
        <w:tab w:val="center" w:leader="none" w:pos="4513"/>
        <w:tab w:val="right" w:leader="none" w:pos="9026"/>
      </w:tabs>
      <w:spacing w:after="0"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2021</w:t>
    </w:r>
  </w:p>
  <w:p w:rsidR="00000000" w:rsidDel="00000000" w:rsidP="00000000" w:rsidRDefault="00000000" w:rsidRPr="00000000" w14:paraId="0000009E">
    <w:pPr>
      <w:tabs>
        <w:tab w:val="center" w:leader="none" w:pos="4513"/>
        <w:tab w:val="right" w:leader="none" w:pos="9026"/>
      </w:tabs>
      <w:spacing w:after="0" w:lineRule="auto"/>
      <w:jc w:val="right"/>
      <w:rPr>
        <w:rFonts w:ascii="Arial" w:cs="Arial" w:eastAsia="Arial" w:hAnsi="Arial"/>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502" w:hanging="360"/>
      </w:pPr>
      <w:rPr>
        <w:color w:val="000000"/>
        <w:u w:val="none"/>
      </w:rPr>
    </w:lvl>
    <w:lvl w:ilvl="1">
      <w:start w:val="1"/>
      <w:numFmt w:val="decimal"/>
      <w:lvlText w:val="%1.%2."/>
      <w:lvlJc w:val="left"/>
      <w:pPr>
        <w:ind w:left="1078" w:hanging="579"/>
      </w:pPr>
      <w:rPr>
        <w:rFonts w:ascii="Arial" w:cs="Arial" w:eastAsia="Arial" w:hAnsi="Arial"/>
        <w:b w:val="0"/>
        <w:color w:val="000000"/>
        <w:u w:val="none"/>
      </w:rPr>
    </w:lvl>
    <w:lvl w:ilvl="2">
      <w:start w:val="1"/>
      <w:numFmt w:val="decimal"/>
      <w:lvlText w:val="%1.%2.%3."/>
      <w:lvlJc w:val="left"/>
      <w:pPr>
        <w:ind w:left="1798" w:hanging="720"/>
      </w:pPr>
      <w:rPr>
        <w:rFonts w:ascii="Arial" w:cs="Arial" w:eastAsia="Arial" w:hAnsi="Arial"/>
        <w:b w:val="0"/>
        <w:color w:val="000000"/>
        <w:u w:val="none"/>
      </w:rPr>
    </w:lvl>
    <w:lvl w:ilvl="3">
      <w:start w:val="1"/>
      <w:numFmt w:val="lowerLetter"/>
      <w:lvlText w:val="(%4)"/>
      <w:lvlJc w:val="left"/>
      <w:pPr>
        <w:ind w:left="2733" w:hanging="935"/>
      </w:pPr>
      <w:rPr>
        <w:rFonts w:ascii="Arial" w:cs="Arial" w:eastAsia="Arial" w:hAnsi="Arial"/>
        <w:b w:val="0"/>
        <w:color w:val="000000"/>
        <w:u w:val="none"/>
      </w:rPr>
    </w:lvl>
    <w:lvl w:ilvl="4">
      <w:start w:val="1"/>
      <w:numFmt w:val="lowerRoman"/>
      <w:lvlText w:val="(%5)"/>
      <w:lvlJc w:val="left"/>
      <w:pPr>
        <w:ind w:left="3261" w:hanging="566"/>
      </w:pPr>
      <w:rPr>
        <w:rFonts w:ascii="Calibri" w:cs="Calibri" w:eastAsia="Calibri" w:hAnsi="Calibri"/>
        <w:color w:val="0000ff"/>
        <w:u w:val="single"/>
      </w:rPr>
    </w:lvl>
    <w:lvl w:ilvl="5">
      <w:start w:val="1"/>
      <w:numFmt w:val="decimal"/>
      <w:lvlText w:val="%1.%2.%3.%4.%5.%6."/>
      <w:lvlJc w:val="left"/>
      <w:pPr>
        <w:ind w:left="2878" w:hanging="935"/>
      </w:pPr>
      <w:rPr>
        <w:color w:val="0000ff"/>
        <w:u w:val="single"/>
      </w:rPr>
    </w:lvl>
    <w:lvl w:ilvl="6">
      <w:start w:val="1"/>
      <w:numFmt w:val="decimal"/>
      <w:lvlText w:val="%1.%2.%3.%4.%5.%6.%7."/>
      <w:lvlJc w:val="left"/>
      <w:pPr>
        <w:ind w:left="3382" w:hanging="1080"/>
      </w:pPr>
      <w:rPr>
        <w:color w:val="0000ff"/>
        <w:u w:val="single"/>
      </w:rPr>
    </w:lvl>
    <w:lvl w:ilvl="7">
      <w:start w:val="1"/>
      <w:numFmt w:val="decimal"/>
      <w:lvlText w:val="%1.%2.%3.%4.%5.%6.%7.%8."/>
      <w:lvlJc w:val="left"/>
      <w:pPr>
        <w:ind w:left="3886" w:hanging="1223"/>
      </w:pPr>
      <w:rPr>
        <w:color w:val="0000ff"/>
        <w:u w:val="single"/>
      </w:rPr>
    </w:lvl>
    <w:lvl w:ilvl="8">
      <w:start w:val="1"/>
      <w:numFmt w:val="decimal"/>
      <w:lvlText w:val="%1.%2.%3.%4.%5.%6.%7.%8.%9."/>
      <w:lvlJc w:val="left"/>
      <w:pPr>
        <w:ind w:left="4462" w:hanging="1440"/>
      </w:pPr>
      <w:rPr>
        <w:color w:val="0000ff"/>
        <w:u w:val="single"/>
      </w:rPr>
    </w:lvl>
  </w:abstractNum>
  <w:abstractNum w:abstractNumId="2">
    <w:lvl w:ilvl="0">
      <w:start w:val="1"/>
      <w:numFmt w:val="decimal"/>
      <w:lvlText w:val="%1."/>
      <w:lvlJc w:val="left"/>
      <w:pPr>
        <w:ind w:left="502" w:hanging="360"/>
      </w:pPr>
      <w:rPr>
        <w:rFonts w:ascii="Arial" w:cs="Arial" w:eastAsia="Arial" w:hAnsi="Arial"/>
        <w:b w:val="1"/>
      </w:rPr>
    </w:lvl>
    <w:lvl w:ilvl="1">
      <w:start w:val="1"/>
      <w:numFmt w:val="decimal"/>
      <w:lvlText w:val="%1.%2."/>
      <w:lvlJc w:val="left"/>
      <w:pPr>
        <w:ind w:left="1078" w:hanging="579"/>
      </w:pPr>
      <w:rPr>
        <w:rFonts w:ascii="Arial" w:cs="Arial" w:eastAsia="Arial" w:hAnsi="Arial"/>
        <w:b w:val="0"/>
      </w:rPr>
    </w:lvl>
    <w:lvl w:ilvl="2">
      <w:start w:val="1"/>
      <w:numFmt w:val="decimal"/>
      <w:lvlText w:val="%1.%2.%3."/>
      <w:lvlJc w:val="left"/>
      <w:pPr>
        <w:ind w:left="1798" w:hanging="720"/>
      </w:pPr>
      <w:rPr>
        <w:rFonts w:ascii="Arial" w:cs="Arial" w:eastAsia="Arial" w:hAnsi="Arial"/>
        <w:b w:val="0"/>
      </w:rPr>
    </w:lvl>
    <w:lvl w:ilvl="3">
      <w:start w:val="1"/>
      <w:numFmt w:val="lowerLetter"/>
      <w:lvlText w:val="(%4)"/>
      <w:lvlJc w:val="left"/>
      <w:pPr>
        <w:ind w:left="2733" w:hanging="935"/>
      </w:pPr>
      <w:rPr>
        <w:rFonts w:ascii="Arial" w:cs="Arial" w:eastAsia="Arial" w:hAnsi="Arial"/>
        <w:b w:val="0"/>
      </w:rPr>
    </w:lvl>
    <w:lvl w:ilvl="4">
      <w:start w:val="1"/>
      <w:numFmt w:val="lowerRoman"/>
      <w:lvlText w:val="(%5)"/>
      <w:lvlJc w:val="left"/>
      <w:pPr>
        <w:ind w:left="3261" w:hanging="566"/>
      </w:pPr>
      <w:rPr>
        <w:rFonts w:ascii="Calibri" w:cs="Calibri" w:eastAsia="Calibri" w:hAnsi="Calibri"/>
      </w:rPr>
    </w:lvl>
    <w:lvl w:ilvl="5">
      <w:start w:val="1"/>
      <w:numFmt w:val="decimal"/>
      <w:lvlText w:val="%1.%2.%3.%4.%5.%6."/>
      <w:lvlJc w:val="left"/>
      <w:pPr>
        <w:ind w:left="2878" w:hanging="935"/>
      </w:pPr>
      <w:rPr/>
    </w:lvl>
    <w:lvl w:ilvl="6">
      <w:start w:val="1"/>
      <w:numFmt w:val="decimal"/>
      <w:lvlText w:val="%1.%2.%3.%4.%5.%6.%7."/>
      <w:lvlJc w:val="left"/>
      <w:pPr>
        <w:ind w:left="3382" w:hanging="1080"/>
      </w:pPr>
      <w:rPr/>
    </w:lvl>
    <w:lvl w:ilvl="7">
      <w:start w:val="1"/>
      <w:numFmt w:val="decimal"/>
      <w:lvlText w:val="%1.%2.%3.%4.%5.%6.%7.%8."/>
      <w:lvlJc w:val="left"/>
      <w:pPr>
        <w:ind w:left="3886" w:hanging="1223"/>
      </w:pPr>
      <w:rPr/>
    </w:lvl>
    <w:lvl w:ilvl="8">
      <w:start w:val="1"/>
      <w:numFmt w:val="decimal"/>
      <w:lvlText w:val="%1.%2.%3.%4.%5.%6.%7.%8.%9."/>
      <w:lvlJc w:val="left"/>
      <w:pPr>
        <w:ind w:left="4462"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Rule="auto"/>
      <w:jc w:val="left"/>
    </w:pPr>
    <w:rPr>
      <w:rFonts w:ascii="Times New Roman" w:cs="Times New Roman" w:eastAsia="Times New Roman" w:hAnsi="Times New Roman"/>
      <w:i w:val="1"/>
      <w:sz w:val="18"/>
      <w:szCs w:val="18"/>
    </w:rPr>
  </w:style>
  <w:style w:type="paragraph" w:styleId="Heading2">
    <w:name w:val="heading 2"/>
    <w:basedOn w:val="Normal"/>
    <w:next w:val="Normal"/>
    <w:pPr>
      <w:ind w:left="862" w:hanging="720"/>
    </w:pPr>
    <w:rPr/>
  </w:style>
  <w:style w:type="paragraph" w:styleId="Heading3">
    <w:name w:val="heading 3"/>
    <w:basedOn w:val="Normal"/>
    <w:next w:val="Normal"/>
    <w:pPr>
      <w:keepNext w:val="1"/>
      <w:spacing w:after="60" w:before="240" w:line="276" w:lineRule="auto"/>
      <w:jc w:val="left"/>
    </w:pPr>
    <w:rPr>
      <w:rFonts w:ascii="Cambria" w:cs="Cambria" w:eastAsia="Cambria" w:hAnsi="Cambria"/>
      <w:b w:val="1"/>
      <w:sz w:val="26"/>
      <w:szCs w:val="26"/>
    </w:rPr>
  </w:style>
  <w:style w:type="paragraph" w:styleId="Heading4">
    <w:name w:val="heading 4"/>
    <w:basedOn w:val="Normal"/>
    <w:next w:val="Normal"/>
    <w:pPr>
      <w:ind w:left="2781" w:hanging="1080"/>
    </w:pPr>
    <w:rPr/>
  </w:style>
  <w:style w:type="paragraph" w:styleId="Heading5">
    <w:name w:val="heading 5"/>
    <w:basedOn w:val="Normal"/>
    <w:next w:val="Normal"/>
    <w:pPr>
      <w:ind w:left="3600" w:hanging="720"/>
    </w:pPr>
    <w:rPr/>
  </w:style>
  <w:style w:type="paragraph" w:styleId="Heading6">
    <w:name w:val="heading 6"/>
    <w:basedOn w:val="Normal"/>
    <w:next w:val="Normal"/>
    <w:pPr>
      <w:ind w:left="4320" w:hanging="720"/>
    </w:pPr>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spacing w:after="0"/>
      <w:jc w:val="left"/>
      <w:outlineLvl w:val="0"/>
    </w:pPr>
    <w:rPr>
      <w:rFonts w:ascii="Times New Roman" w:cs="Times New Roman" w:eastAsia="Times New Roman" w:hAnsi="Times New Roman"/>
      <w:i w:val="1"/>
      <w:sz w:val="18"/>
      <w:szCs w:val="18"/>
    </w:rPr>
  </w:style>
  <w:style w:type="paragraph" w:styleId="Heading2">
    <w:name w:val="heading 2"/>
    <w:basedOn w:val="Normal"/>
    <w:next w:val="Normal"/>
    <w:uiPriority w:val="9"/>
    <w:semiHidden w:val="1"/>
    <w:unhideWhenUsed w:val="1"/>
    <w:qFormat w:val="1"/>
    <w:pPr>
      <w:ind w:left="862" w:hanging="720"/>
      <w:outlineLvl w:val="1"/>
    </w:pPr>
  </w:style>
  <w:style w:type="paragraph" w:styleId="Heading3">
    <w:name w:val="heading 3"/>
    <w:basedOn w:val="Normal"/>
    <w:next w:val="Normal"/>
    <w:uiPriority w:val="9"/>
    <w:semiHidden w:val="1"/>
    <w:unhideWhenUsed w:val="1"/>
    <w:qFormat w:val="1"/>
    <w:pPr>
      <w:keepNext w:val="1"/>
      <w:spacing w:after="60" w:before="240" w:line="276" w:lineRule="auto"/>
      <w:jc w:val="left"/>
      <w:outlineLvl w:val="2"/>
    </w:pPr>
    <w:rPr>
      <w:rFonts w:ascii="Cambria" w:cs="Cambria" w:eastAsia="Cambria" w:hAnsi="Cambria"/>
      <w:b w:val="1"/>
      <w:sz w:val="26"/>
      <w:szCs w:val="26"/>
    </w:rPr>
  </w:style>
  <w:style w:type="paragraph" w:styleId="Heading4">
    <w:name w:val="heading 4"/>
    <w:basedOn w:val="Normal"/>
    <w:next w:val="Normal"/>
    <w:uiPriority w:val="9"/>
    <w:semiHidden w:val="1"/>
    <w:unhideWhenUsed w:val="1"/>
    <w:qFormat w:val="1"/>
    <w:pPr>
      <w:ind w:left="2781" w:hanging="1080"/>
      <w:outlineLvl w:val="3"/>
    </w:pPr>
  </w:style>
  <w:style w:type="paragraph" w:styleId="Heading5">
    <w:name w:val="heading 5"/>
    <w:basedOn w:val="Normal"/>
    <w:next w:val="Normal"/>
    <w:uiPriority w:val="9"/>
    <w:semiHidden w:val="1"/>
    <w:unhideWhenUsed w:val="1"/>
    <w:qFormat w:val="1"/>
    <w:pPr>
      <w:ind w:left="3600" w:hanging="720"/>
      <w:outlineLvl w:val="4"/>
    </w:pPr>
  </w:style>
  <w:style w:type="paragraph" w:styleId="Heading6">
    <w:name w:val="heading 6"/>
    <w:basedOn w:val="Normal"/>
    <w:next w:val="Normal"/>
    <w:uiPriority w:val="9"/>
    <w:semiHidden w:val="1"/>
    <w:unhideWhenUsed w:val="1"/>
    <w:qFormat w:val="1"/>
    <w:pPr>
      <w:ind w:left="4320" w:hanging="720"/>
      <w:outlineLvl w:val="5"/>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ge28fp2g4fK+Y3cP4iFXOrQ+XQ==">CgMxLjAyCGguZ2pkZ3hzMgloLjMwajB6bGwyCWguMWZvYjl0ZTIJaC4zem55c2g3MgloLjJldDkycDAyCGgudHlqY3d0MgloLjNkeTZ2a20yCWguMXQzaDVzZjIJaC40ZDM0b2c4MgloLjJzOGV5bzEyCWguMTdkcDh2dTIJaC4zcmRjcmpuOAByITFPdXZOQnZRVkg2cEhMZmRyc0U4anQ5UG56SzY2TWFQcQ==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2023-09-12T14:53:00Z</dcterms:created>
</cp:coreProperties>
</file>