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1190625" cy="1028700"/>
            <wp:effectExtent b="0" l="0" r="0" t="0"/>
            <wp:docPr descr="Image_0" id="2" name="image1.png"/>
            <a:graphic>
              <a:graphicData uri="http://schemas.openxmlformats.org/drawingml/2006/picture">
                <pic:pic>
                  <pic:nvPicPr>
                    <pic:cNvPr descr="Image_0" id="0" name="image1.png"/>
                    <pic:cNvPicPr preferRelativeResize="0"/>
                  </pic:nvPicPr>
                  <pic:blipFill>
                    <a:blip r:embed="rId7"/>
                    <a:srcRect b="0" l="0" r="0" t="0"/>
                    <a:stretch>
                      <a:fillRect/>
                    </a:stretch>
                  </pic:blipFill>
                  <pic:spPr>
                    <a:xfrm>
                      <a:off x="0" y="0"/>
                      <a:ext cx="11906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400" w:line="276" w:lineRule="auto"/>
        <w:jc w:val="both"/>
        <w:rPr>
          <w:rFonts w:ascii="Arial" w:cs="Arial" w:eastAsia="Arial" w:hAnsi="Arial"/>
          <w:b w:val="1"/>
          <w:color w:val="000000"/>
          <w:sz w:val="44"/>
          <w:szCs w:val="4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pStyle w:val="Title"/>
        <w:spacing w:after="200" w:line="276" w:lineRule="auto"/>
        <w:jc w:val="both"/>
        <w:rPr>
          <w:rFonts w:ascii="Arial" w:cs="Arial" w:eastAsia="Arial" w:hAnsi="Arial"/>
          <w:sz w:val="60"/>
          <w:szCs w:val="60"/>
        </w:rPr>
      </w:pPr>
      <w:bookmarkStart w:colFirst="0" w:colLast="0" w:name="_heading=h.khbtzrmemf6q" w:id="0"/>
      <w:bookmarkEnd w:id="0"/>
      <w:r w:rsidDel="00000000" w:rsidR="00000000" w:rsidRPr="00000000">
        <w:rPr>
          <w:rFonts w:ascii="Arial" w:cs="Arial" w:eastAsia="Arial" w:hAnsi="Arial"/>
          <w:sz w:val="60"/>
          <w:szCs w:val="60"/>
          <w:rtl w:val="0"/>
        </w:rPr>
        <w:t xml:space="preserve">Schedule 1 – Specification</w:t>
      </w:r>
    </w:p>
    <w:p w:rsidR="00000000" w:rsidDel="00000000" w:rsidP="00000000" w:rsidRDefault="00000000" w:rsidRPr="00000000" w14:paraId="00000008">
      <w:pPr>
        <w:pStyle w:val="Title"/>
        <w:spacing w:after="200" w:line="276" w:lineRule="auto"/>
        <w:jc w:val="both"/>
        <w:rPr>
          <w:rFonts w:ascii="Arial" w:cs="Arial" w:eastAsia="Arial" w:hAnsi="Arial"/>
          <w:sz w:val="60"/>
          <w:szCs w:val="60"/>
        </w:rPr>
      </w:pPr>
      <w:bookmarkStart w:colFirst="0" w:colLast="0" w:name="_heading=h.nubdc57h3ecq" w:id="1"/>
      <w:bookmarkEnd w:id="1"/>
      <w:r w:rsidDel="00000000" w:rsidR="00000000" w:rsidRPr="00000000">
        <w:rPr>
          <w:rFonts w:ascii="Arial" w:cs="Arial" w:eastAsia="Arial" w:hAnsi="Arial"/>
          <w:sz w:val="60"/>
          <w:szCs w:val="60"/>
          <w:rtl w:val="0"/>
        </w:rPr>
        <w:t xml:space="preserve">Part A Requirements Overview</w:t>
      </w:r>
    </w:p>
    <w:p w:rsidR="00000000" w:rsidDel="00000000" w:rsidP="00000000" w:rsidRDefault="00000000" w:rsidRPr="00000000" w14:paraId="00000009">
      <w:pPr>
        <w:pStyle w:val="Title"/>
        <w:spacing w:after="200" w:line="276" w:lineRule="auto"/>
        <w:jc w:val="both"/>
        <w:rPr>
          <w:rFonts w:ascii="Arial" w:cs="Arial" w:eastAsia="Arial" w:hAnsi="Arial"/>
          <w:sz w:val="60"/>
          <w:szCs w:val="60"/>
        </w:rPr>
      </w:pPr>
      <w:bookmarkStart w:colFirst="0" w:colLast="0" w:name="_heading=h.64xh0ukqp68q" w:id="2"/>
      <w:bookmarkEnd w:id="2"/>
      <w:r w:rsidDel="00000000" w:rsidR="00000000" w:rsidRPr="00000000">
        <w:rPr>
          <w:rtl w:val="0"/>
        </w:rPr>
      </w:r>
    </w:p>
    <w:p w:rsidR="00000000" w:rsidDel="00000000" w:rsidP="00000000" w:rsidRDefault="00000000" w:rsidRPr="00000000" w14:paraId="0000000A">
      <w:pPr>
        <w:pStyle w:val="Title"/>
        <w:spacing w:after="200" w:line="276" w:lineRule="auto"/>
        <w:jc w:val="both"/>
        <w:rPr>
          <w:rFonts w:ascii="Arial" w:cs="Arial" w:eastAsia="Arial" w:hAnsi="Arial"/>
          <w:sz w:val="60"/>
          <w:szCs w:val="60"/>
        </w:rPr>
      </w:pPr>
      <w:bookmarkStart w:colFirst="0" w:colLast="0" w:name="_heading=h.2dv59wlhntc9" w:id="3"/>
      <w:bookmarkEnd w:id="3"/>
      <w:r w:rsidDel="00000000" w:rsidR="00000000" w:rsidRPr="00000000">
        <w:rPr>
          <w:rFonts w:ascii="Arial" w:cs="Arial" w:eastAsia="Arial" w:hAnsi="Arial"/>
          <w:sz w:val="60"/>
          <w:szCs w:val="60"/>
          <w:rtl w:val="0"/>
        </w:rPr>
        <w:t xml:space="preserve">Healthcare Soft Facilities Management Services Framework Contract RM6331</w:t>
      </w:r>
    </w:p>
    <w:p w:rsidR="00000000" w:rsidDel="00000000" w:rsidP="00000000" w:rsidRDefault="00000000" w:rsidRPr="00000000" w14:paraId="0000000B">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240" w:line="259" w:lineRule="auto"/>
        <w:ind w:left="0" w:right="0" w:firstLine="0"/>
        <w:jc w:val="left"/>
        <w:rPr>
          <w:color w:val="366091"/>
          <w:sz w:val="32"/>
          <w:szCs w:val="32"/>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240" w:line="259" w:lineRule="auto"/>
        <w:ind w:left="0" w:right="0" w:firstLine="0"/>
        <w:jc w:val="left"/>
        <w:rPr>
          <w:color w:val="366091"/>
          <w:sz w:val="32"/>
          <w:szCs w:val="32"/>
        </w:rPr>
      </w:pP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240" w:line="259" w:lineRule="auto"/>
        <w:ind w:left="0" w:right="0" w:firstLine="0"/>
        <w:jc w:val="left"/>
        <w:rPr>
          <w:color w:val="366091"/>
          <w:sz w:val="32"/>
          <w:szCs w:val="32"/>
        </w:rPr>
      </w:pPr>
      <w:r w:rsidDel="00000000" w:rsidR="00000000" w:rsidRPr="00000000">
        <w:rPr>
          <w:rtl w:val="0"/>
        </w:rPr>
      </w:r>
    </w:p>
    <w:p w:rsidR="00000000" w:rsidDel="00000000" w:rsidP="00000000" w:rsidRDefault="00000000" w:rsidRPr="00000000" w14:paraId="0000000F">
      <w:pPr>
        <w:pStyle w:val="Heading1"/>
        <w:keepNext w:val="1"/>
        <w:keepLines w:val="1"/>
        <w:tabs>
          <w:tab w:val="left" w:leader="none" w:pos="851"/>
        </w:tabs>
        <w:spacing w:after="0" w:before="240" w:lineRule="auto"/>
        <w:rPr>
          <w:b w:val="1"/>
          <w:vertAlign w:val="baseline"/>
        </w:rPr>
      </w:pPr>
      <w:bookmarkStart w:colFirst="0" w:colLast="0" w:name="_heading=h.qnepyd4cs9so" w:id="4"/>
      <w:bookmarkEnd w:id="4"/>
      <w:r w:rsidDel="00000000" w:rsidR="00000000" w:rsidRPr="00000000">
        <w:rPr>
          <w:b w:val="1"/>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tab/>
              <w:t xml:space="preserve">Purpose</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tab/>
              <w:t xml:space="preserve">Standards</w:t>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tab/>
              <w:t xml:space="preserve">Government Buying Standards</w:t>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016"/>
            </w:tabs>
            <w:spacing w:after="10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tab/>
              <w:t xml:space="preserve">Continuous Improvement</w:t>
              <w:tab/>
              <w:t xml:space="preserve">4</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rPr>
          <w:rFonts w:ascii="Arial" w:cs="Arial" w:eastAsia="Arial" w:hAnsi="Arial"/>
        </w:rPr>
      </w:pPr>
      <w:bookmarkStart w:colFirst="0" w:colLast="0" w:name="_heading=h.y1gn6gafw3g3" w:id="5"/>
      <w:bookmarkEnd w:id="5"/>
      <w:r w:rsidDel="00000000" w:rsidR="00000000" w:rsidRPr="00000000">
        <w:rPr>
          <w:rtl w:val="0"/>
        </w:rPr>
      </w:r>
    </w:p>
    <w:p w:rsidR="00000000" w:rsidDel="00000000" w:rsidP="00000000" w:rsidRDefault="00000000" w:rsidRPr="00000000" w14:paraId="00000029">
      <w:pPr>
        <w:rPr>
          <w:rFonts w:ascii="Arial" w:cs="Arial" w:eastAsia="Arial" w:hAnsi="Arial"/>
        </w:rPr>
      </w:pPr>
      <w:bookmarkStart w:colFirst="0" w:colLast="0" w:name="_heading=h.h32dlz1mxs5g" w:id="6"/>
      <w:bookmarkEnd w:id="6"/>
      <w:r w:rsidDel="00000000" w:rsidR="00000000" w:rsidRPr="00000000">
        <w:rPr>
          <w:rtl w:val="0"/>
        </w:rPr>
      </w:r>
    </w:p>
    <w:p w:rsidR="00000000" w:rsidDel="00000000" w:rsidP="00000000" w:rsidRDefault="00000000" w:rsidRPr="00000000" w14:paraId="0000002A">
      <w:pPr>
        <w:rPr>
          <w:rFonts w:ascii="Arial" w:cs="Arial" w:eastAsia="Arial" w:hAnsi="Arial"/>
        </w:rPr>
      </w:pPr>
      <w:bookmarkStart w:colFirst="0" w:colLast="0" w:name="_heading=h.gjdgxs" w:id="7"/>
      <w:bookmarkEnd w:id="7"/>
      <w:r w:rsidDel="00000000" w:rsidR="00000000" w:rsidRPr="00000000">
        <w:rPr>
          <w:rtl w:val="0"/>
        </w:rPr>
      </w:r>
    </w:p>
    <w:bookmarkStart w:colFirst="0" w:colLast="0" w:name="bookmark=id.30j0zll" w:id="8"/>
    <w:bookmarkEnd w:id="8"/>
    <w:bookmarkStart w:colFirst="0" w:colLast="0" w:name="bookmark=id.1fob9te" w:id="9"/>
    <w:bookmarkEnd w:id="9"/>
    <w:p w:rsidR="00000000" w:rsidDel="00000000" w:rsidP="00000000" w:rsidRDefault="00000000" w:rsidRPr="00000000" w14:paraId="0000002B">
      <w:pPr>
        <w:pStyle w:val="Heading1"/>
        <w:keepNext w:val="0"/>
        <w:numPr>
          <w:ilvl w:val="0"/>
          <w:numId w:val="1"/>
        </w:numPr>
        <w:tabs>
          <w:tab w:val="left" w:leader="none" w:pos="851"/>
        </w:tabs>
        <w:spacing w:line="259" w:lineRule="auto"/>
        <w:ind w:left="360" w:hanging="360"/>
        <w:jc w:val="left"/>
        <w:rPr>
          <w:b w:val="1"/>
          <w:sz w:val="22"/>
          <w:szCs w:val="22"/>
        </w:rPr>
      </w:pPr>
      <w:bookmarkStart w:colFirst="0" w:colLast="0" w:name="_heading=h.3znysh7" w:id="10"/>
      <w:bookmarkEnd w:id="10"/>
      <w:r w:rsidDel="00000000" w:rsidR="00000000" w:rsidRPr="00000000">
        <w:rPr>
          <w:b w:val="1"/>
          <w:sz w:val="22"/>
          <w:szCs w:val="22"/>
          <w:rtl w:val="0"/>
        </w:rPr>
        <w:t xml:space="preserve">Purpose</w:t>
      </w:r>
    </w:p>
    <w:bookmarkStart w:colFirst="0" w:colLast="0" w:name="bookmark=id.2et92p0" w:id="11"/>
    <w:bookmarkEnd w:id="11"/>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purpose of this Specification is to set the scope of the Deliverables (e.g. Goods and Services) that the Supplier will be required to make available to all Buyer(s) under the lotting structure of this Framework Contract, and to provide a description of what the Deliverables will entail, together with the specific standards applicable. </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document is set up in three parts: </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after="240" w:lineRule="auto"/>
        <w:ind w:left="1418" w:hanging="85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 A provides an overview of the requirements including background information relating to the Buyer and the requirements;</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spacing w:after="240" w:lineRule="auto"/>
        <w:ind w:left="1418" w:hanging="85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 B contains the contract management requirements that apply to all Lots; and</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240" w:lineRule="auto"/>
        <w:ind w:left="1418" w:hanging="85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 C contains the requirements and Standards for each Lot including any Buyer specific requirements.</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the purposes of this Framework Contract, all services are deemed to be Core Services and Suppliers should be capable of delivering all services specified within each Lot as well as those requirements set out in Framework Schedule 1 – Specification, Part B Contract Management.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Suppliers should note that for Framework purposes, Framework rates shall be supplied for those service requirements detailed as Core Services.  Service requirements noted as </w:t>
      </w:r>
      <w:r w:rsidDel="00000000" w:rsidR="00000000" w:rsidRPr="00000000">
        <w:rPr>
          <w:rFonts w:ascii="Arial" w:cs="Arial" w:eastAsia="Arial" w:hAnsi="Arial"/>
          <w:sz w:val="20"/>
          <w:szCs w:val="20"/>
          <w:rtl w:val="0"/>
        </w:rPr>
        <w:t xml:space="preserve">Additional Services </w:t>
      </w:r>
      <w:r w:rsidDel="00000000" w:rsidR="00000000" w:rsidRPr="00000000">
        <w:rPr>
          <w:rFonts w:ascii="Arial" w:cs="Arial" w:eastAsia="Arial" w:hAnsi="Arial"/>
          <w:color w:val="000000"/>
          <w:sz w:val="20"/>
          <w:szCs w:val="20"/>
          <w:rtl w:val="0"/>
        </w:rPr>
        <w:t xml:space="preserve">shall not be priced at a Framework level. </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Within the scope of each Lot, Buyer(s) can request at the Call-Off stage to supplement the Core Services provided, with none, one, some or all of the </w:t>
      </w:r>
      <w:r w:rsidDel="00000000" w:rsidR="00000000" w:rsidRPr="00000000">
        <w:rPr>
          <w:rFonts w:ascii="Arial" w:cs="Arial" w:eastAsia="Arial" w:hAnsi="Arial"/>
          <w:sz w:val="20"/>
          <w:szCs w:val="20"/>
          <w:rtl w:val="0"/>
        </w:rPr>
        <w:t xml:space="preserve">Additional</w:t>
      </w:r>
      <w:r w:rsidDel="00000000" w:rsidR="00000000" w:rsidRPr="00000000">
        <w:rPr>
          <w:rFonts w:ascii="Arial" w:cs="Arial" w:eastAsia="Arial" w:hAnsi="Arial"/>
          <w:color w:val="000000"/>
          <w:sz w:val="20"/>
          <w:szCs w:val="20"/>
          <w:rtl w:val="0"/>
        </w:rPr>
        <w:t xml:space="preserve"> Services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detailed in each Lot.</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240" w:lineRule="auto"/>
        <w:ind w:left="576" w:hanging="576"/>
        <w:rPr>
          <w:sz w:val="20"/>
          <w:szCs w:val="20"/>
        </w:rPr>
      </w:pPr>
      <w:bookmarkStart w:colFirst="0" w:colLast="0" w:name="_heading=h.tyjcwt" w:id="12"/>
      <w:bookmarkEnd w:id="12"/>
      <w:r w:rsidDel="00000000" w:rsidR="00000000" w:rsidRPr="00000000">
        <w:rPr>
          <w:rFonts w:ascii="Arial" w:cs="Arial" w:eastAsia="Arial" w:hAnsi="Arial"/>
          <w:color w:val="000000"/>
          <w:sz w:val="20"/>
          <w:szCs w:val="20"/>
          <w:rtl w:val="0"/>
        </w:rPr>
        <w:t xml:space="preserve">Buyers will confirm their specific requirements at the Call-Off stage, in accordance with the Call-Off Procedure set out in Framework Schedule 7.</w:t>
      </w:r>
      <w:r w:rsidDel="00000000" w:rsidR="00000000" w:rsidRPr="00000000">
        <w:rPr>
          <w:rtl w:val="0"/>
        </w:rPr>
      </w:r>
    </w:p>
    <w:p w:rsidR="00000000" w:rsidDel="00000000" w:rsidP="00000000" w:rsidRDefault="00000000" w:rsidRPr="00000000" w14:paraId="00000035">
      <w:pPr>
        <w:pStyle w:val="Heading1"/>
        <w:keepNext w:val="0"/>
        <w:numPr>
          <w:ilvl w:val="0"/>
          <w:numId w:val="1"/>
        </w:numPr>
        <w:tabs>
          <w:tab w:val="left" w:leader="none" w:pos="851"/>
        </w:tabs>
        <w:spacing w:line="259" w:lineRule="auto"/>
        <w:ind w:left="360" w:hanging="360"/>
        <w:jc w:val="left"/>
        <w:rPr>
          <w:b w:val="1"/>
          <w:sz w:val="22"/>
          <w:szCs w:val="22"/>
        </w:rPr>
      </w:pPr>
      <w:bookmarkStart w:colFirst="0" w:colLast="0" w:name="_heading=h.3dy6vkm" w:id="13"/>
      <w:bookmarkEnd w:id="13"/>
      <w:r w:rsidDel="00000000" w:rsidR="00000000" w:rsidRPr="00000000">
        <w:rPr>
          <w:b w:val="1"/>
          <w:sz w:val="22"/>
          <w:szCs w:val="22"/>
          <w:rtl w:val="0"/>
        </w:rPr>
        <w:t xml:space="preserve">Standards</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bookmarkStart w:colFirst="0" w:colLast="0" w:name="_heading=h.1t3h5sf" w:id="14"/>
      <w:bookmarkEnd w:id="14"/>
      <w:r w:rsidDel="00000000" w:rsidR="00000000" w:rsidRPr="00000000">
        <w:rPr>
          <w:rFonts w:ascii="Arial" w:cs="Arial" w:eastAsia="Arial" w:hAnsi="Arial"/>
          <w:color w:val="000000"/>
          <w:sz w:val="20"/>
          <w:szCs w:val="20"/>
          <w:rtl w:val="0"/>
        </w:rPr>
        <w:t xml:space="preserve">All the FM Standards and processes that the Supplier</w:t>
      </w:r>
      <w:r w:rsidDel="00000000" w:rsidR="00000000" w:rsidRPr="00000000">
        <w:rPr>
          <w:rFonts w:ascii="Arial" w:cs="Arial" w:eastAsia="Arial" w:hAnsi="Arial"/>
          <w:sz w:val="20"/>
          <w:szCs w:val="20"/>
          <w:rtl w:val="0"/>
        </w:rPr>
        <w:t xml:space="preserve"> shall </w:t>
      </w:r>
      <w:r w:rsidDel="00000000" w:rsidR="00000000" w:rsidRPr="00000000">
        <w:rPr>
          <w:rFonts w:ascii="Arial" w:cs="Arial" w:eastAsia="Arial" w:hAnsi="Arial"/>
          <w:color w:val="000000"/>
          <w:sz w:val="20"/>
          <w:szCs w:val="20"/>
          <w:rtl w:val="0"/>
        </w:rPr>
        <w:t xml:space="preserve">comply with </w:t>
      </w:r>
      <w:r w:rsidDel="00000000" w:rsidR="00000000" w:rsidRPr="00000000">
        <w:rPr>
          <w:rFonts w:ascii="Arial" w:cs="Arial" w:eastAsia="Arial" w:hAnsi="Arial"/>
          <w:sz w:val="20"/>
          <w:szCs w:val="20"/>
          <w:rtl w:val="0"/>
        </w:rPr>
        <w:t xml:space="preserve">as part </w:t>
      </w:r>
      <w:r w:rsidDel="00000000" w:rsidR="00000000" w:rsidRPr="00000000">
        <w:rPr>
          <w:rFonts w:ascii="Arial" w:cs="Arial" w:eastAsia="Arial" w:hAnsi="Arial"/>
          <w:color w:val="000000"/>
          <w:sz w:val="20"/>
          <w:szCs w:val="20"/>
          <w:rtl w:val="0"/>
        </w:rPr>
        <w:t xml:space="preserve">of the Healthcare Soft Facilities Management Services Framework Contract (RM6331) are </w:t>
      </w:r>
      <w:r w:rsidDel="00000000" w:rsidR="00000000" w:rsidRPr="00000000">
        <w:rPr>
          <w:rFonts w:ascii="Arial" w:cs="Arial" w:eastAsia="Arial" w:hAnsi="Arial"/>
          <w:sz w:val="20"/>
          <w:szCs w:val="20"/>
          <w:rtl w:val="0"/>
        </w:rPr>
        <w:t xml:space="preserve">detailed within </w:t>
      </w:r>
      <w:r w:rsidDel="00000000" w:rsidR="00000000" w:rsidRPr="00000000">
        <w:rPr>
          <w:rFonts w:ascii="Arial" w:cs="Arial" w:eastAsia="Arial" w:hAnsi="Arial"/>
          <w:color w:val="000000"/>
          <w:sz w:val="20"/>
          <w:szCs w:val="20"/>
          <w:rtl w:val="0"/>
        </w:rPr>
        <w:t xml:space="preserve">Appendix A of each Service </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pecification.</w:t>
      </w:r>
    </w:p>
    <w:p w:rsidR="00000000" w:rsidDel="00000000" w:rsidP="00000000" w:rsidRDefault="00000000" w:rsidRPr="00000000" w14:paraId="00000037">
      <w:pPr>
        <w:pStyle w:val="Heading1"/>
        <w:keepNext w:val="0"/>
        <w:numPr>
          <w:ilvl w:val="0"/>
          <w:numId w:val="1"/>
        </w:numPr>
        <w:tabs>
          <w:tab w:val="left" w:leader="none" w:pos="851"/>
        </w:tabs>
        <w:spacing w:line="259" w:lineRule="auto"/>
        <w:ind w:left="360" w:hanging="360"/>
        <w:jc w:val="left"/>
        <w:rPr>
          <w:b w:val="1"/>
          <w:sz w:val="22"/>
          <w:szCs w:val="22"/>
        </w:rPr>
      </w:pPr>
      <w:bookmarkStart w:colFirst="0" w:colLast="0" w:name="_heading=h.4d34og8" w:id="15"/>
      <w:bookmarkEnd w:id="15"/>
      <w:r w:rsidDel="00000000" w:rsidR="00000000" w:rsidRPr="00000000">
        <w:rPr>
          <w:b w:val="1"/>
          <w:sz w:val="22"/>
          <w:szCs w:val="22"/>
          <w:rtl w:val="0"/>
        </w:rPr>
        <w:t xml:space="preserve">Government Buying Standards </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fully comply with all aspects of the Government Buying Standards. </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Government Buying Standards have been designed to help government departments and public sector organisations deliver sustainable procurement by providing minimum and best practice standards. The Government Buying Standards detailed below are relevant to this procurement as they provide the standard that Suppliers must adhere to when purchasing items for hire by Buyer(s), and for when purchasing items for the provision of the Services. The Government Buying Standards for products can be accessed online at:</w:t>
      </w:r>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color w:val="0563c1"/>
            <w:sz w:val="20"/>
            <w:szCs w:val="20"/>
            <w:u w:val="single"/>
            <w:rtl w:val="0"/>
          </w:rPr>
          <w:t xml:space="preserve">https://www.gov.uk/government/collections/sustainable-procurement-the-government-buying-standards-gbs</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central Government departments and their related organisations are required to meet the mandatory Government Buying Standards when buying goods and services in the product groups covered on this site.</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It is acknowledged that systems of management mean that unused or not fully-used service related items destination is landfill. The next revision of the Government Buying Standards will therefore be predicated on putting in place good management systems, specifying durable products and reusing where possible.</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actively support the Government Buying Standards (existing and any new or emergent, or updated standards) by improving compliance with relevant standards and working towards achieving best practice standards throughout the duration of the Framework Contract and any Call-Off Contracts.</w:t>
      </w:r>
    </w:p>
    <w:p w:rsidR="00000000" w:rsidDel="00000000" w:rsidP="00000000" w:rsidRDefault="00000000" w:rsidRPr="00000000" w14:paraId="0000003D">
      <w:pPr>
        <w:pStyle w:val="Heading2"/>
        <w:keepNext w:val="1"/>
        <w:keepLines w:val="1"/>
        <w:tabs>
          <w:tab w:val="left" w:leader="none" w:pos="0"/>
          <w:tab w:val="left" w:leader="none" w:pos="851"/>
        </w:tabs>
        <w:spacing w:before="40" w:line="259" w:lineRule="auto"/>
        <w:jc w:val="left"/>
        <w:rPr>
          <w:sz w:val="22"/>
          <w:szCs w:val="22"/>
        </w:rPr>
      </w:pPr>
      <w:r w:rsidDel="00000000" w:rsidR="00000000" w:rsidRPr="00000000">
        <w:rPr>
          <w:sz w:val="22"/>
          <w:szCs w:val="22"/>
          <w:rtl w:val="0"/>
        </w:rPr>
        <w:t xml:space="preserve">Government Policy</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work with Crown Commercial Service to actively support current and emerging United Kingdom government initiatives throughout the duration of this Framework Contract and any Call-Off Contracts.</w:t>
      </w:r>
    </w:p>
    <w:p w:rsidR="00000000" w:rsidDel="00000000" w:rsidP="00000000" w:rsidRDefault="00000000" w:rsidRPr="00000000" w14:paraId="0000003F">
      <w:pPr>
        <w:pStyle w:val="Heading1"/>
        <w:keepNext w:val="0"/>
        <w:numPr>
          <w:ilvl w:val="0"/>
          <w:numId w:val="1"/>
        </w:numPr>
        <w:tabs>
          <w:tab w:val="left" w:leader="none" w:pos="851"/>
        </w:tabs>
        <w:spacing w:line="259" w:lineRule="auto"/>
        <w:ind w:left="360" w:hanging="360"/>
        <w:jc w:val="left"/>
        <w:rPr>
          <w:b w:val="1"/>
          <w:sz w:val="22"/>
          <w:szCs w:val="22"/>
        </w:rPr>
      </w:pPr>
      <w:bookmarkStart w:colFirst="0" w:colLast="0" w:name="_heading=h.2s8eyo1" w:id="16"/>
      <w:bookmarkEnd w:id="16"/>
      <w:r w:rsidDel="00000000" w:rsidR="00000000" w:rsidRPr="00000000">
        <w:rPr>
          <w:b w:val="1"/>
          <w:sz w:val="22"/>
          <w:szCs w:val="22"/>
          <w:rtl w:val="0"/>
        </w:rPr>
        <w:t xml:space="preserve">Continuous Improvement</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240" w:lineRule="auto"/>
        <w:ind w:left="576" w:hanging="576"/>
        <w:rPr>
          <w:rFonts w:ascii="Arial" w:cs="Arial" w:eastAsia="Arial" w:hAnsi="Arial"/>
          <w:color w:val="000000"/>
          <w:sz w:val="20"/>
          <w:szCs w:val="20"/>
        </w:rPr>
      </w:pPr>
      <w:bookmarkStart w:colFirst="0" w:colLast="0" w:name="_heading=h.17dp8vu" w:id="17"/>
      <w:bookmarkEnd w:id="17"/>
      <w:r w:rsidDel="00000000" w:rsidR="00000000" w:rsidRPr="00000000">
        <w:rPr>
          <w:rFonts w:ascii="Arial" w:cs="Arial" w:eastAsia="Arial" w:hAnsi="Arial"/>
          <w:color w:val="000000"/>
          <w:sz w:val="20"/>
          <w:szCs w:val="20"/>
          <w:rtl w:val="0"/>
        </w:rPr>
        <w:t xml:space="preserve">Information can be found at Call-Off Schedule 3 – Continuous Improvement, for example requirements in relation to </w:t>
      </w:r>
      <w:r w:rsidDel="00000000" w:rsidR="00000000" w:rsidRPr="00000000">
        <w:rPr>
          <w:rFonts w:ascii="Arial" w:cs="Arial" w:eastAsia="Arial" w:hAnsi="Arial"/>
          <w:sz w:val="20"/>
          <w:szCs w:val="20"/>
          <w:rtl w:val="0"/>
        </w:rPr>
        <w:t xml:space="preserve">g</w:t>
      </w:r>
      <w:r w:rsidDel="00000000" w:rsidR="00000000" w:rsidRPr="00000000">
        <w:rPr>
          <w:rFonts w:ascii="Arial" w:cs="Arial" w:eastAsia="Arial" w:hAnsi="Arial"/>
          <w:color w:val="000000"/>
          <w:sz w:val="20"/>
          <w:szCs w:val="20"/>
          <w:rtl w:val="0"/>
        </w:rPr>
        <w:t xml:space="preserve">ainshare.</w:t>
      </w:r>
    </w:p>
    <w:p w:rsidR="00000000" w:rsidDel="00000000" w:rsidP="00000000" w:rsidRDefault="00000000" w:rsidRPr="00000000" w14:paraId="00000041">
      <w:pPr>
        <w:pStyle w:val="Heading1"/>
        <w:keepNext w:val="0"/>
        <w:tabs>
          <w:tab w:val="left" w:leader="none" w:pos="851"/>
        </w:tabs>
        <w:spacing w:line="259" w:lineRule="auto"/>
        <w:jc w:val="left"/>
        <w:rPr>
          <w:sz w:val="20"/>
          <w:szCs w:val="20"/>
        </w:rPr>
      </w:pPr>
      <w:bookmarkStart w:colFirst="0" w:colLast="0" w:name="_heading=h.3rdcrjn" w:id="18"/>
      <w:bookmarkEnd w:id="18"/>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276" w:top="1276"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General Specification for RM6331 Soft Facilities Management Services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Template v2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rFonts w:ascii="Arial" w:cs="Arial" w:eastAsia="Arial" w:hAnsi="Arial"/>
        <w:b w:val="0"/>
        <w:i w:val="0"/>
        <w:color w:val="000000"/>
        <w:sz w:val="20"/>
        <w:szCs w:val="20"/>
      </w:rPr>
    </w:lvl>
    <w:lvl w:ilvl="2">
      <w:start w:val="1"/>
      <w:numFmt w:val="decimal"/>
      <w:lvlText w:val="%1.%2.%3"/>
      <w:lvlJc w:val="left"/>
      <w:pPr>
        <w:ind w:left="720" w:hanging="720"/>
      </w:pPr>
      <w:rPr>
        <w:b w:val="0"/>
        <w:i w:val="0"/>
        <w:sz w:val="20"/>
        <w:szCs w:val="20"/>
      </w:rPr>
    </w:lvl>
    <w:lvl w:ilvl="3">
      <w:start w:val="1"/>
      <w:numFmt w:val="decimal"/>
      <w:lvlText w:val="%1.%2.%3.%4"/>
      <w:lvlJc w:val="left"/>
      <w:pPr>
        <w:ind w:left="864" w:hanging="864"/>
      </w:pPr>
      <w:rPr>
        <w:b w:val="0"/>
        <w:i w:val="0"/>
        <w:sz w:val="20"/>
        <w:szCs w:val="20"/>
      </w:rPr>
    </w:lvl>
    <w:lvl w:ilvl="4">
      <w:start w:val="1"/>
      <w:numFmt w:val="decimal"/>
      <w:lvlText w:val="%1.%2.%3.%4.%5"/>
      <w:lvlJc w:val="left"/>
      <w:pPr>
        <w:ind w:left="1008" w:hanging="1008"/>
      </w:pPr>
      <w:rPr>
        <w:b w:val="0"/>
        <w:i w:val="0"/>
        <w:sz w:val="20"/>
        <w:szCs w:val="20"/>
      </w:rPr>
    </w:lvl>
    <w:lvl w:ilvl="5">
      <w:start w:val="1"/>
      <w:numFmt w:val="decimal"/>
      <w:lvlText w:val="%1.%2.%3.%4.%5.%6"/>
      <w:lvlJc w:val="left"/>
      <w:pPr>
        <w:ind w:left="1152" w:hanging="1152"/>
      </w:pPr>
      <w:rPr>
        <w:b w:val="0"/>
        <w:i w:val="0"/>
        <w:sz w:val="20"/>
        <w:szCs w:val="20"/>
      </w:rPr>
    </w:lvl>
    <w:lvl w:ilvl="6">
      <w:start w:val="1"/>
      <w:numFmt w:val="decimal"/>
      <w:lvlText w:val="%1.%2.%3.%4.%5.%6.%7"/>
      <w:lvlJc w:val="left"/>
      <w:pPr>
        <w:ind w:left="1296" w:hanging="1296"/>
      </w:pPr>
      <w:rPr>
        <w:b w:val="0"/>
        <w:i w:val="0"/>
        <w:sz w:val="20"/>
        <w:szCs w:val="20"/>
      </w:rPr>
    </w:lvl>
    <w:lvl w:ilvl="7">
      <w:start w:val="1"/>
      <w:numFmt w:val="decimal"/>
      <w:lvlText w:val="%1.%2.%3.%4.%5.%6.%7.%8"/>
      <w:lvlJc w:val="left"/>
      <w:pPr>
        <w:ind w:left="1440" w:hanging="1440"/>
      </w:pPr>
      <w:rPr>
        <w:b w:val="0"/>
        <w:i w:val="0"/>
        <w:sz w:val="20"/>
        <w:szCs w:val="20"/>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851"/>
      </w:tabs>
      <w:spacing w:after="240" w:line="240" w:lineRule="auto"/>
      <w:jc w:val="both"/>
    </w:pPr>
    <w:rPr>
      <w:rFonts w:ascii="Arial" w:cs="Arial" w:eastAsia="Arial" w:hAnsi="Arial"/>
      <w:color w:val="000000"/>
      <w:sz w:val="32"/>
      <w:szCs w:val="32"/>
    </w:rPr>
  </w:style>
  <w:style w:type="paragraph" w:styleId="Heading2">
    <w:name w:val="heading 2"/>
    <w:basedOn w:val="Normal"/>
    <w:next w:val="Normal"/>
    <w:pPr>
      <w:tabs>
        <w:tab w:val="left" w:leader="none" w:pos="0"/>
        <w:tab w:val="left" w:leader="none" w:pos="851"/>
      </w:tabs>
      <w:spacing w:after="240" w:line="240" w:lineRule="auto"/>
      <w:jc w:val="both"/>
    </w:pPr>
    <w:rPr>
      <w:rFonts w:ascii="Arial" w:cs="Arial" w:eastAsia="Arial" w:hAnsi="Arial"/>
      <w:b w:val="1"/>
      <w:color w:val="000000"/>
      <w:sz w:val="32"/>
      <w:szCs w:val="32"/>
    </w:rPr>
  </w:style>
  <w:style w:type="paragraph" w:styleId="Heading3">
    <w:name w:val="heading 3"/>
    <w:basedOn w:val="Normal"/>
    <w:next w:val="Normal"/>
    <w:pPr>
      <w:tabs>
        <w:tab w:val="left" w:leader="none" w:pos="284"/>
        <w:tab w:val="left" w:leader="none" w:pos="851"/>
        <w:tab w:val="left" w:leader="none" w:pos="1418"/>
      </w:tabs>
      <w:spacing w:after="240" w:line="240" w:lineRule="auto"/>
      <w:ind w:left="357" w:hanging="357"/>
      <w:jc w:val="both"/>
    </w:pPr>
    <w:rPr>
      <w:rFonts w:ascii="Arial" w:cs="Arial" w:eastAsia="Arial" w:hAnsi="Arial"/>
      <w:b w:val="1"/>
      <w:color w:val="000000"/>
      <w:sz w:val="32"/>
      <w:szCs w:val="32"/>
    </w:rPr>
  </w:style>
  <w:style w:type="paragraph" w:styleId="Heading4">
    <w:name w:val="heading 4"/>
    <w:basedOn w:val="Normal"/>
    <w:next w:val="Normal"/>
    <w:pPr>
      <w:tabs>
        <w:tab w:val="left" w:leader="none" w:pos="284"/>
        <w:tab w:val="left" w:leader="none" w:pos="851"/>
        <w:tab w:val="left" w:leader="none" w:pos="1418"/>
      </w:tabs>
      <w:spacing w:after="120" w:line="240" w:lineRule="auto"/>
      <w:ind w:left="360" w:hanging="360"/>
      <w:jc w:val="both"/>
    </w:pPr>
    <w:rPr>
      <w:rFonts w:ascii="Arial" w:cs="Arial" w:eastAsia="Arial" w:hAnsi="Arial"/>
      <w:b w:val="1"/>
      <w:color w:val="000000"/>
    </w:rPr>
  </w:style>
  <w:style w:type="paragraph" w:styleId="Heading5">
    <w:name w:val="heading 5"/>
    <w:basedOn w:val="Normal"/>
    <w:next w:val="Normal"/>
    <w:pPr>
      <w:tabs>
        <w:tab w:val="left" w:leader="none" w:pos="0"/>
        <w:tab w:val="left" w:leader="none" w:pos="851"/>
      </w:tabs>
      <w:spacing w:after="240" w:line="240" w:lineRule="auto"/>
      <w:ind w:left="567" w:hanging="567"/>
      <w:jc w:val="both"/>
    </w:pPr>
    <w:rPr>
      <w:rFonts w:ascii="Arial" w:cs="Arial" w:eastAsia="Arial" w:hAnsi="Arial"/>
      <w:i w:val="1"/>
      <w:color w:val="000000"/>
    </w:rPr>
  </w:style>
  <w:style w:type="paragraph" w:styleId="Heading6">
    <w:name w:val="heading 6"/>
    <w:basedOn w:val="Normal"/>
    <w:next w:val="Normal"/>
    <w:pPr>
      <w:tabs>
        <w:tab w:val="left" w:leader="none" w:pos="0"/>
        <w:tab w:val="left" w:leader="none" w:pos="851"/>
      </w:tabs>
      <w:spacing w:after="240" w:line="240" w:lineRule="auto"/>
      <w:jc w:val="both"/>
    </w:pPr>
    <w:rPr>
      <w:rFonts w:ascii="Arial" w:cs="Arial" w:eastAsia="Arial" w:hAnsi="Arial"/>
      <w:b w:val="1"/>
      <w:color w:val="000000"/>
      <w:u w:val="single"/>
    </w:rPr>
  </w:style>
  <w:style w:type="paragraph" w:styleId="Title">
    <w:name w:val="Title"/>
    <w:basedOn w:val="Normal"/>
    <w:next w:val="Normal"/>
    <w:pPr>
      <w:keepNext w:val="1"/>
      <w:keepLines w:val="1"/>
      <w:spacing w:after="120" w:before="480" w:line="240" w:lineRule="auto"/>
    </w:pPr>
    <w:rPr>
      <w:b w:val="1"/>
      <w:color w:val="000000"/>
      <w:sz w:val="72"/>
      <w:szCs w:val="72"/>
    </w:rPr>
  </w:style>
  <w:style w:type="paragraph" w:styleId="Normal" w:default="1">
    <w:name w:val="Normal"/>
    <w:qFormat w:val="1"/>
  </w:style>
  <w:style w:type="paragraph" w:styleId="Heading1">
    <w:name w:val="heading 1"/>
    <w:basedOn w:val="Normal"/>
    <w:next w:val="Normal"/>
    <w:uiPriority w:val="9"/>
    <w:qFormat w:val="1"/>
    <w:pPr>
      <w:keepNext w:val="1"/>
      <w:tabs>
        <w:tab w:val="left" w:pos="851"/>
      </w:tabs>
      <w:spacing w:after="240" w:line="240" w:lineRule="auto"/>
      <w:jc w:val="both"/>
      <w:outlineLvl w:val="0"/>
    </w:pPr>
    <w:rPr>
      <w:rFonts w:ascii="Arial" w:cs="Arial" w:eastAsia="Arial" w:hAnsi="Arial"/>
      <w:color w:val="000000"/>
      <w:sz w:val="32"/>
      <w:szCs w:val="32"/>
    </w:rPr>
  </w:style>
  <w:style w:type="paragraph" w:styleId="Heading2">
    <w:name w:val="heading 2"/>
    <w:basedOn w:val="Normal"/>
    <w:next w:val="Normal"/>
    <w:uiPriority w:val="9"/>
    <w:unhideWhenUsed w:val="1"/>
    <w:qFormat w:val="1"/>
    <w:pPr>
      <w:tabs>
        <w:tab w:val="left" w:pos="0"/>
        <w:tab w:val="left" w:pos="851"/>
      </w:tabs>
      <w:spacing w:after="240" w:line="240" w:lineRule="auto"/>
      <w:jc w:val="both"/>
      <w:outlineLvl w:val="1"/>
    </w:pPr>
    <w:rPr>
      <w:rFonts w:ascii="Arial" w:cs="Arial" w:eastAsia="Arial" w:hAnsi="Arial"/>
      <w:b w:val="1"/>
      <w:color w:val="000000"/>
      <w:sz w:val="32"/>
      <w:szCs w:val="32"/>
    </w:rPr>
  </w:style>
  <w:style w:type="paragraph" w:styleId="Heading3">
    <w:name w:val="heading 3"/>
    <w:basedOn w:val="Normal"/>
    <w:next w:val="Normal"/>
    <w:uiPriority w:val="9"/>
    <w:semiHidden w:val="1"/>
    <w:unhideWhenUsed w:val="1"/>
    <w:qFormat w:val="1"/>
    <w:pPr>
      <w:tabs>
        <w:tab w:val="left" w:pos="284"/>
        <w:tab w:val="left" w:pos="851"/>
        <w:tab w:val="left" w:pos="1418"/>
      </w:tabs>
      <w:spacing w:after="240" w:line="240" w:lineRule="auto"/>
      <w:ind w:left="357" w:hanging="357"/>
      <w:jc w:val="both"/>
      <w:outlineLvl w:val="2"/>
    </w:pPr>
    <w:rPr>
      <w:rFonts w:ascii="Arial" w:cs="Arial" w:eastAsia="Arial" w:hAnsi="Arial"/>
      <w:b w:val="1"/>
      <w:color w:val="000000"/>
      <w:sz w:val="32"/>
      <w:szCs w:val="32"/>
    </w:rPr>
  </w:style>
  <w:style w:type="paragraph" w:styleId="Heading4">
    <w:name w:val="heading 4"/>
    <w:basedOn w:val="Normal"/>
    <w:next w:val="Normal"/>
    <w:uiPriority w:val="9"/>
    <w:semiHidden w:val="1"/>
    <w:unhideWhenUsed w:val="1"/>
    <w:qFormat w:val="1"/>
    <w:pPr>
      <w:tabs>
        <w:tab w:val="left" w:pos="284"/>
        <w:tab w:val="left" w:pos="851"/>
        <w:tab w:val="left" w:pos="1418"/>
      </w:tabs>
      <w:spacing w:after="120" w:line="240" w:lineRule="auto"/>
      <w:ind w:left="360" w:hanging="360"/>
      <w:jc w:val="both"/>
      <w:outlineLvl w:val="3"/>
    </w:pPr>
    <w:rPr>
      <w:rFonts w:ascii="Arial" w:cs="Arial" w:eastAsia="Arial" w:hAnsi="Arial"/>
      <w:b w:val="1"/>
      <w:color w:val="000000"/>
    </w:rPr>
  </w:style>
  <w:style w:type="paragraph" w:styleId="Heading5">
    <w:name w:val="heading 5"/>
    <w:basedOn w:val="Normal"/>
    <w:next w:val="Normal"/>
    <w:uiPriority w:val="9"/>
    <w:semiHidden w:val="1"/>
    <w:unhideWhenUsed w:val="1"/>
    <w:qFormat w:val="1"/>
    <w:pPr>
      <w:tabs>
        <w:tab w:val="left" w:pos="0"/>
        <w:tab w:val="left" w:pos="851"/>
      </w:tabs>
      <w:spacing w:after="240" w:line="240" w:lineRule="auto"/>
      <w:ind w:left="567" w:hanging="567"/>
      <w:jc w:val="both"/>
      <w:outlineLvl w:val="4"/>
    </w:pPr>
    <w:rPr>
      <w:rFonts w:ascii="Arial" w:cs="Arial" w:eastAsia="Arial" w:hAnsi="Arial"/>
      <w:i w:val="1"/>
      <w:color w:val="000000"/>
    </w:rPr>
  </w:style>
  <w:style w:type="paragraph" w:styleId="Heading6">
    <w:name w:val="heading 6"/>
    <w:basedOn w:val="Normal"/>
    <w:next w:val="Normal"/>
    <w:uiPriority w:val="9"/>
    <w:semiHidden w:val="1"/>
    <w:unhideWhenUsed w:val="1"/>
    <w:qFormat w:val="1"/>
    <w:pPr>
      <w:tabs>
        <w:tab w:val="left" w:pos="0"/>
        <w:tab w:val="left" w:pos="851"/>
      </w:tabs>
      <w:spacing w:after="240" w:line="240" w:lineRule="auto"/>
      <w:jc w:val="both"/>
      <w:outlineLvl w:val="5"/>
    </w:pPr>
    <w:rPr>
      <w:rFonts w:ascii="Arial" w:cs="Arial" w:eastAsia="Arial" w:hAnsi="Arial"/>
      <w:b w:val="1"/>
      <w:color w:val="000000"/>
      <w:u w:val="singl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line="240" w:lineRule="auto"/>
    </w:pPr>
    <w:rPr>
      <w:b w:val="1"/>
      <w:color w:val="000000"/>
      <w:sz w:val="72"/>
      <w:szCs w:val="72"/>
    </w:rPr>
  </w:style>
  <w:style w:type="paragraph" w:styleId="Subtitle">
    <w:name w:val="Subtitle"/>
    <w:basedOn w:val="Normal"/>
    <w:next w:val="Normal"/>
    <w:uiPriority w:val="11"/>
    <w:qFormat w:val="1"/>
    <w:pPr>
      <w:keepNext w:val="1"/>
      <w:keepLines w:val="1"/>
      <w:spacing w:after="80" w:before="360" w:line="240" w:lineRule="auto"/>
    </w:pPr>
    <w:rPr>
      <w:rFonts w:ascii="Georgia" w:cs="Georgia" w:eastAsia="Georgia" w:hAnsi="Georgia"/>
      <w:i w:val="1"/>
      <w:color w:val="666666"/>
      <w:sz w:val="48"/>
      <w:szCs w:val="48"/>
    </w:rPr>
  </w:style>
  <w:style w:type="paragraph" w:styleId="TOCHeading">
    <w:name w:val="TOC Heading"/>
    <w:basedOn w:val="Heading1"/>
    <w:next w:val="Normal"/>
    <w:uiPriority w:val="39"/>
    <w:unhideWhenUsed w:val="1"/>
    <w:qFormat w:val="1"/>
    <w:rsid w:val="006672B9"/>
    <w:pPr>
      <w:keepLines w:val="1"/>
      <w:tabs>
        <w:tab w:val="clear" w:pos="851"/>
      </w:tabs>
      <w:spacing w:after="0" w:before="240" w:line="259" w:lineRule="auto"/>
      <w:jc w:val="left"/>
      <w:outlineLvl w:val="9"/>
    </w:pPr>
    <w:rPr>
      <w:rFonts w:asciiTheme="majorHAnsi" w:cstheme="majorBidi" w:eastAsiaTheme="majorEastAsia" w:hAnsiTheme="majorHAnsi"/>
      <w:color w:val="365f91" w:themeColor="accent1" w:themeShade="0000BF"/>
      <w:lang w:eastAsia="en-US" w:val="en-US"/>
    </w:rPr>
  </w:style>
  <w:style w:type="paragraph" w:styleId="TOC1">
    <w:name w:val="toc 1"/>
    <w:basedOn w:val="Normal"/>
    <w:next w:val="Normal"/>
    <w:autoRedefine w:val="1"/>
    <w:uiPriority w:val="39"/>
    <w:unhideWhenUsed w:val="1"/>
    <w:rsid w:val="006672B9"/>
    <w:pPr>
      <w:spacing w:after="100"/>
    </w:pPr>
  </w:style>
  <w:style w:type="paragraph" w:styleId="TOC2">
    <w:name w:val="toc 2"/>
    <w:basedOn w:val="Normal"/>
    <w:next w:val="Normal"/>
    <w:autoRedefine w:val="1"/>
    <w:uiPriority w:val="39"/>
    <w:unhideWhenUsed w:val="1"/>
    <w:rsid w:val="006672B9"/>
    <w:pPr>
      <w:spacing w:after="100"/>
      <w:ind w:left="220"/>
    </w:pPr>
  </w:style>
  <w:style w:type="character" w:styleId="Hyperlink">
    <w:name w:val="Hyperlink"/>
    <w:basedOn w:val="DefaultParagraphFont"/>
    <w:uiPriority w:val="99"/>
    <w:unhideWhenUsed w:val="1"/>
    <w:rsid w:val="006672B9"/>
    <w:rPr>
      <w:color w:val="0000ff" w:themeColor="hyperlink"/>
      <w:u w:val="single"/>
    </w:rPr>
  </w:style>
  <w:style w:type="paragraph" w:styleId="Header">
    <w:name w:val="header"/>
    <w:basedOn w:val="Normal"/>
    <w:link w:val="HeaderChar"/>
    <w:uiPriority w:val="99"/>
    <w:unhideWhenUsed w:val="1"/>
    <w:rsid w:val="003F09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0946"/>
  </w:style>
  <w:style w:type="paragraph" w:styleId="Footer">
    <w:name w:val="footer"/>
    <w:basedOn w:val="Normal"/>
    <w:link w:val="FooterChar"/>
    <w:uiPriority w:val="99"/>
    <w:unhideWhenUsed w:val="1"/>
    <w:rsid w:val="003F09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F0946"/>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nFNG2CYJFe9AL1VJW8TfbnP7A==">CgMxLjAyDmgua2hidHpybWVtZjZxMg5oLm51YmRjNTdoM2VjcTIOaC42NHhoMHVrcXA2OHEyDmguMmR2NTl3bGhudGM5Mg5oLnFuZXB5ZDRjczlzbzIOaC55MWduNmdhZnczZzMyDmguaDMyZGx6MW14czVnMghoLmdqZGd4czIKaWQuMzBqMHpsbDIKaWQuMWZvYjl0ZTIJaC4zem55c2g3MgppZC4yZXQ5MnAwMghoLnR5amN3dDIJaC4zZHk2dmttMgloLjF0M2g1c2YyCWguNGQzNG9nODIJaC4yczhleW8xMgloLjE3ZHA4dnUyCWguM3JkY3JqbjgAciExSUlJNDhsYVdvclNEZGxnbFIxRTV4RnJCNGxocW5xU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2023-07-14T06:40:00Z</dcterms:created>
</cp:coreProperties>
</file>