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35955" w:rsidRPr="00FB15B4" w:rsidRDefault="00515352">
      <w:pPr>
        <w:spacing w:after="0"/>
        <w:rPr>
          <w:rFonts w:ascii="Arial" w:eastAsia="Arial" w:hAnsi="Arial" w:cs="Arial"/>
          <w:b/>
          <w:sz w:val="36"/>
          <w:szCs w:val="36"/>
        </w:rPr>
      </w:pPr>
      <w:r w:rsidRPr="00FB15B4">
        <w:rPr>
          <w:rFonts w:ascii="Arial" w:eastAsia="Arial" w:hAnsi="Arial" w:cs="Arial"/>
          <w:b/>
          <w:sz w:val="36"/>
          <w:szCs w:val="36"/>
        </w:rPr>
        <w:t>Framework Schedule 3 (Framework Prices)</w:t>
      </w:r>
    </w:p>
    <w:p w14:paraId="00000002" w14:textId="77777777" w:rsidR="00335955" w:rsidRPr="00FB15B4" w:rsidRDefault="00335955">
      <w:pPr>
        <w:spacing w:after="0"/>
        <w:rPr>
          <w:rFonts w:ascii="Arial" w:eastAsia="Arial" w:hAnsi="Arial" w:cs="Arial"/>
          <w:b/>
          <w:sz w:val="36"/>
          <w:szCs w:val="36"/>
        </w:rPr>
      </w:pPr>
    </w:p>
    <w:p w14:paraId="00000003" w14:textId="77777777" w:rsidR="00335955" w:rsidRPr="00FB15B4" w:rsidRDefault="00515352">
      <w:pPr>
        <w:spacing w:after="0"/>
        <w:rPr>
          <w:rFonts w:ascii="Arial" w:eastAsia="Arial" w:hAnsi="Arial" w:cs="Arial"/>
        </w:rPr>
      </w:pPr>
      <w:r w:rsidRPr="00FB15B4">
        <w:rPr>
          <w:rFonts w:ascii="Arial" w:eastAsia="Arial" w:hAnsi="Arial" w:cs="Arial"/>
        </w:rPr>
        <w:t>In this Schedule:</w:t>
      </w:r>
    </w:p>
    <w:p w14:paraId="00000004" w14:textId="77777777" w:rsidR="00335955" w:rsidRPr="00FB15B4" w:rsidRDefault="00335955">
      <w:pPr>
        <w:spacing w:after="0"/>
        <w:rPr>
          <w:rFonts w:ascii="Arial" w:eastAsia="Arial" w:hAnsi="Arial" w:cs="Arial"/>
          <w:b/>
          <w:sz w:val="36"/>
          <w:szCs w:val="36"/>
        </w:rPr>
      </w:pPr>
    </w:p>
    <w:p w14:paraId="00000005" w14:textId="77777777" w:rsidR="00335955" w:rsidRPr="00FB15B4" w:rsidRDefault="00515352">
      <w:pPr>
        <w:spacing w:after="0"/>
        <w:rPr>
          <w:rFonts w:ascii="Arial" w:eastAsia="Arial" w:hAnsi="Arial" w:cs="Arial"/>
        </w:rPr>
      </w:pPr>
      <w:r w:rsidRPr="00FB15B4">
        <w:rPr>
          <w:rFonts w:ascii="Arial" w:eastAsia="Arial" w:hAnsi="Arial" w:cs="Arial"/>
          <w:b/>
        </w:rPr>
        <w:t>CPI</w:t>
      </w:r>
      <w:r w:rsidRPr="00FB15B4">
        <w:rPr>
          <w:rFonts w:ascii="Arial" w:eastAsia="Arial" w:hAnsi="Arial" w:cs="Arial"/>
        </w:rPr>
        <w:t xml:space="preserve"> means the Consumer Price Index published by the Office for National Statistics; and</w:t>
      </w:r>
    </w:p>
    <w:p w14:paraId="00000006" w14:textId="77777777" w:rsidR="00335955" w:rsidRPr="00FB15B4" w:rsidRDefault="00335955">
      <w:pPr>
        <w:spacing w:after="0"/>
        <w:rPr>
          <w:rFonts w:ascii="Arial" w:eastAsia="Arial" w:hAnsi="Arial" w:cs="Arial"/>
        </w:rPr>
      </w:pPr>
    </w:p>
    <w:p w14:paraId="00000007" w14:textId="77777777" w:rsidR="00335955" w:rsidRPr="00FB15B4" w:rsidRDefault="00515352">
      <w:pPr>
        <w:spacing w:after="0"/>
        <w:rPr>
          <w:rFonts w:ascii="Arial" w:eastAsia="Arial" w:hAnsi="Arial" w:cs="Arial"/>
        </w:rPr>
      </w:pPr>
      <w:r w:rsidRPr="00FB15B4">
        <w:rPr>
          <w:rFonts w:ascii="Arial" w:eastAsia="Arial" w:hAnsi="Arial" w:cs="Arial"/>
          <w:b/>
        </w:rPr>
        <w:t xml:space="preserve">FBPI </w:t>
      </w:r>
      <w:r w:rsidRPr="00FB15B4">
        <w:rPr>
          <w:rFonts w:ascii="Arial" w:eastAsia="Arial" w:hAnsi="Arial" w:cs="Arial"/>
        </w:rPr>
        <w:t xml:space="preserve">means the dataset for food and non-alcoholic beverages price changes forming part of the CPI </w:t>
      </w:r>
    </w:p>
    <w:p w14:paraId="00000008" w14:textId="77777777" w:rsidR="00335955" w:rsidRPr="00FB15B4" w:rsidRDefault="00335955">
      <w:pPr>
        <w:spacing w:after="0"/>
        <w:rPr>
          <w:rFonts w:ascii="Arial" w:eastAsia="Arial" w:hAnsi="Arial" w:cs="Arial"/>
          <w:b/>
          <w:sz w:val="36"/>
          <w:szCs w:val="36"/>
        </w:rPr>
      </w:pPr>
    </w:p>
    <w:p w14:paraId="00000009" w14:textId="77777777" w:rsidR="00335955" w:rsidRPr="00FB15B4" w:rsidRDefault="00515352">
      <w:pPr>
        <w:spacing w:after="0"/>
        <w:rPr>
          <w:rFonts w:ascii="Arial" w:eastAsia="Arial" w:hAnsi="Arial" w:cs="Arial"/>
          <w:b/>
          <w:sz w:val="36"/>
          <w:szCs w:val="36"/>
        </w:rPr>
      </w:pPr>
      <w:r w:rsidRPr="00FB15B4">
        <w:rPr>
          <w:rFonts w:ascii="Arial" w:eastAsia="Arial" w:hAnsi="Arial" w:cs="Arial"/>
          <w:b/>
          <w:sz w:val="36"/>
          <w:szCs w:val="36"/>
        </w:rPr>
        <w:t>Part A</w:t>
      </w:r>
    </w:p>
    <w:p w14:paraId="0000000A" w14:textId="77777777" w:rsidR="00335955" w:rsidRPr="00FB15B4" w:rsidRDefault="00515352">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rPr>
      </w:pPr>
      <w:bookmarkStart w:id="0" w:name="_heading=h.gjdgxs" w:colFirst="0" w:colLast="0"/>
      <w:bookmarkEnd w:id="0"/>
      <w:r w:rsidRPr="00FB15B4">
        <w:rPr>
          <w:rFonts w:ascii="Arial" w:eastAsia="Arial" w:hAnsi="Arial" w:cs="Arial"/>
          <w:b/>
          <w:sz w:val="24"/>
          <w:szCs w:val="24"/>
        </w:rPr>
        <w:t xml:space="preserve">Linen and Laundry Service: Lot 1A, Lot 1B, Lot 1C, and Lot 1D </w:t>
      </w:r>
    </w:p>
    <w:p w14:paraId="0000000B"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b/>
        </w:rPr>
      </w:pPr>
      <w:bookmarkStart w:id="1" w:name="_heading=h.w64y2zy487mf" w:colFirst="0" w:colLast="0"/>
      <w:bookmarkEnd w:id="1"/>
      <w:r w:rsidRPr="00FB15B4">
        <w:rPr>
          <w:rFonts w:ascii="Arial" w:eastAsia="Arial" w:hAnsi="Arial" w:cs="Arial"/>
          <w:b/>
        </w:rPr>
        <w:t>1.</w:t>
      </w:r>
      <w:r w:rsidRPr="00FB15B4">
        <w:rPr>
          <w:rFonts w:ascii="Arial" w:eastAsia="Arial" w:hAnsi="Arial" w:cs="Arial"/>
          <w:b/>
        </w:rPr>
        <w:tab/>
      </w:r>
      <w:r w:rsidRPr="00B75117">
        <w:rPr>
          <w:rFonts w:ascii="Arial" w:eastAsia="Arial" w:hAnsi="Arial" w:cs="Arial"/>
          <w:b/>
        </w:rPr>
        <w:t>How Framework Prices are used to calculate Call-Off Charges</w:t>
      </w:r>
    </w:p>
    <w:p w14:paraId="0000000C"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2" w:name="_heading=h.9zm3tttjoy4e" w:colFirst="0" w:colLast="0"/>
      <w:bookmarkEnd w:id="2"/>
      <w:r w:rsidRPr="00FB15B4">
        <w:rPr>
          <w:rFonts w:ascii="Arial" w:eastAsia="Arial" w:hAnsi="Arial" w:cs="Arial"/>
        </w:rPr>
        <w:t>1.1</w:t>
      </w:r>
      <w:r w:rsidRPr="00FB15B4">
        <w:rPr>
          <w:rFonts w:ascii="Arial" w:eastAsia="Arial" w:hAnsi="Arial" w:cs="Arial"/>
        </w:rPr>
        <w:tab/>
        <w:t xml:space="preserve">The Framework Prices: </w:t>
      </w:r>
    </w:p>
    <w:p w14:paraId="0000000D"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3" w:name="_heading=h.k6p2g6h9k2lg" w:colFirst="0" w:colLast="0"/>
      <w:bookmarkEnd w:id="3"/>
      <w:r w:rsidRPr="00FB15B4">
        <w:rPr>
          <w:rFonts w:ascii="Arial" w:eastAsia="Arial" w:hAnsi="Arial" w:cs="Arial"/>
        </w:rPr>
        <w:t>1.1.1</w:t>
      </w:r>
      <w:r w:rsidRPr="00FB15B4">
        <w:rPr>
          <w:rFonts w:ascii="Arial" w:eastAsia="Arial" w:hAnsi="Arial" w:cs="Arial"/>
        </w:rPr>
        <w:tab/>
        <w:t>will be used as the basis for the charges (and are maximums that the Supplier may charge) under each Call-Off Contract; and</w:t>
      </w:r>
    </w:p>
    <w:p w14:paraId="0000000E"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4" w:name="_heading=h.2uzzv6w9ajz1" w:colFirst="0" w:colLast="0"/>
      <w:bookmarkEnd w:id="4"/>
      <w:r w:rsidRPr="00FB15B4">
        <w:rPr>
          <w:rFonts w:ascii="Arial" w:eastAsia="Arial" w:hAnsi="Arial" w:cs="Arial"/>
        </w:rPr>
        <w:t>1.1.2</w:t>
      </w:r>
      <w:r w:rsidRPr="00FB15B4">
        <w:rPr>
          <w:rFonts w:ascii="Arial" w:eastAsia="Arial" w:hAnsi="Arial" w:cs="Arial"/>
        </w:rPr>
        <w:tab/>
        <w:t>cannot be increased except as in accordance with this Part of the Schedule.</w:t>
      </w:r>
    </w:p>
    <w:p w14:paraId="0000000F"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5" w:name="_heading=h.wo1kn0cyz41s" w:colFirst="0" w:colLast="0"/>
      <w:bookmarkEnd w:id="5"/>
      <w:r w:rsidRPr="00FB15B4">
        <w:rPr>
          <w:rFonts w:ascii="Arial" w:eastAsia="Arial" w:hAnsi="Arial" w:cs="Arial"/>
        </w:rPr>
        <w:t>1.2</w:t>
      </w:r>
      <w:r w:rsidRPr="00FB15B4">
        <w:rPr>
          <w:rFonts w:ascii="Arial" w:eastAsia="Arial" w:hAnsi="Arial" w:cs="Arial"/>
        </w:rPr>
        <w:tab/>
        <w:t>The Charges:</w:t>
      </w:r>
    </w:p>
    <w:p w14:paraId="00000010"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6" w:name="_heading=h.iwuyl1ibuki7" w:colFirst="0" w:colLast="0"/>
      <w:bookmarkEnd w:id="6"/>
      <w:r w:rsidRPr="00FB15B4">
        <w:rPr>
          <w:rFonts w:ascii="Arial" w:eastAsia="Arial" w:hAnsi="Arial" w:cs="Arial"/>
        </w:rPr>
        <w:t>1.2.1</w:t>
      </w:r>
      <w:r w:rsidRPr="00FB15B4">
        <w:rPr>
          <w:rFonts w:ascii="Arial" w:eastAsia="Arial" w:hAnsi="Arial" w:cs="Arial"/>
        </w:rPr>
        <w:tab/>
        <w:t xml:space="preserve">shall be calculated in accordance with the terms of the Call-Off Contract and in particular in accordance with the terms of the Order Form; </w:t>
      </w:r>
    </w:p>
    <w:p w14:paraId="00000011"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7" w:name="_heading=h.l5gg8vwiyr" w:colFirst="0" w:colLast="0"/>
      <w:bookmarkEnd w:id="7"/>
      <w:r w:rsidRPr="00FB15B4">
        <w:rPr>
          <w:rFonts w:ascii="Arial" w:eastAsia="Arial" w:hAnsi="Arial" w:cs="Arial"/>
        </w:rPr>
        <w:t>1.2.2</w:t>
      </w:r>
      <w:r w:rsidRPr="00FB15B4">
        <w:rPr>
          <w:rFonts w:ascii="Arial" w:eastAsia="Arial" w:hAnsi="Arial" w:cs="Arial"/>
        </w:rPr>
        <w:tab/>
        <w:t>Charges cannot be increased except as specifically permitted by the Call-Off Contract and in particular shall only be subject to Indexation where specifically stated in the Order Form; and</w:t>
      </w:r>
    </w:p>
    <w:p w14:paraId="00000012" w14:textId="77777777" w:rsidR="00335955" w:rsidRPr="00FB15B4" w:rsidRDefault="00515352" w:rsidP="00E16CCE">
      <w:pPr>
        <w:pBdr>
          <w:top w:val="nil"/>
          <w:left w:val="nil"/>
          <w:bottom w:val="nil"/>
          <w:right w:val="nil"/>
          <w:between w:val="nil"/>
        </w:pBdr>
        <w:tabs>
          <w:tab w:val="left" w:pos="142"/>
        </w:tabs>
        <w:spacing w:before="120" w:after="240" w:line="240" w:lineRule="auto"/>
        <w:ind w:left="567"/>
        <w:jc w:val="both"/>
        <w:rPr>
          <w:rFonts w:ascii="Arial" w:eastAsia="Arial" w:hAnsi="Arial" w:cs="Arial"/>
        </w:rPr>
      </w:pPr>
      <w:bookmarkStart w:id="8" w:name="_heading=h.7b625jais838" w:colFirst="0" w:colLast="0"/>
      <w:bookmarkEnd w:id="8"/>
      <w:r w:rsidRPr="00FB15B4">
        <w:rPr>
          <w:rFonts w:ascii="Arial" w:eastAsia="Arial" w:hAnsi="Arial" w:cs="Arial"/>
        </w:rPr>
        <w:t>1.2.3</w:t>
      </w:r>
      <w:r w:rsidRPr="00FB15B4">
        <w:rPr>
          <w:rFonts w:ascii="Arial" w:eastAsia="Arial" w:hAnsi="Arial" w:cs="Arial"/>
        </w:rPr>
        <w:tab/>
        <w:t>shall not be impacted by any change to the Framework Prices.</w:t>
      </w:r>
    </w:p>
    <w:p w14:paraId="00000013"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9" w:name="_heading=h.287lj8qyqzeh" w:colFirst="0" w:colLast="0"/>
      <w:bookmarkEnd w:id="9"/>
      <w:r w:rsidRPr="00FB15B4">
        <w:rPr>
          <w:rFonts w:ascii="Arial" w:eastAsia="Arial" w:hAnsi="Arial" w:cs="Arial"/>
        </w:rPr>
        <w:t>1.3</w:t>
      </w:r>
      <w:r w:rsidRPr="00FB15B4">
        <w:rPr>
          <w:rFonts w:ascii="Arial" w:eastAsia="Arial" w:hAnsi="Arial" w:cs="Arial"/>
        </w:rPr>
        <w:tab/>
        <w:t>Any variation to the Charges payable under a Call-Off Contract should be agreed between the Supplier and the Buyer and implemented using the same procedure for altering Framework Prices in accordance with the provisions of this Framework Schedule 3.</w:t>
      </w:r>
    </w:p>
    <w:p w14:paraId="00000014"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10" w:name="_heading=h.3dkyu9g3d18u" w:colFirst="0" w:colLast="0"/>
      <w:bookmarkEnd w:id="10"/>
      <w:r w:rsidRPr="00FB15B4">
        <w:rPr>
          <w:rFonts w:ascii="Arial" w:eastAsia="Arial" w:hAnsi="Arial" w:cs="Arial"/>
        </w:rPr>
        <w:t>1.4</w:t>
      </w:r>
      <w:r w:rsidRPr="00FB15B4">
        <w:rPr>
          <w:rFonts w:ascii="Arial" w:eastAsia="Arial" w:hAnsi="Arial" w:cs="Arial"/>
        </w:rPr>
        <w:tab/>
        <w:t xml:space="preserve">If during the life of the Call-Off Contract volumes increase or decrease resulting in a move to a higher or lower volume price bracket for 2 consecutive Months the Supplier and/or Buyer(s) can request an adjustment to the Charges. </w:t>
      </w:r>
    </w:p>
    <w:p w14:paraId="00000015"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11" w:name="_heading=h.5uqju5ky5ey0" w:colFirst="0" w:colLast="0"/>
      <w:bookmarkEnd w:id="11"/>
      <w:r w:rsidRPr="00FB15B4">
        <w:rPr>
          <w:rFonts w:ascii="Arial" w:eastAsia="Arial" w:hAnsi="Arial" w:cs="Arial"/>
        </w:rPr>
        <w:t>1.5</w:t>
      </w:r>
      <w:r w:rsidRPr="00FB15B4">
        <w:rPr>
          <w:rFonts w:ascii="Arial" w:eastAsia="Arial" w:hAnsi="Arial" w:cs="Arial"/>
        </w:rPr>
        <w:tab/>
        <w:t>An adjustment under paragraph 1.4 cannot exceed the Framework Price and will be agreed in advance of any change by both the Buyer and the Supplier.</w:t>
      </w:r>
    </w:p>
    <w:p w14:paraId="00000016"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12" w:name="_heading=h.m672btkgv16i" w:colFirst="0" w:colLast="0"/>
      <w:bookmarkEnd w:id="12"/>
      <w:r w:rsidRPr="00FB15B4">
        <w:rPr>
          <w:rFonts w:ascii="Arial" w:eastAsia="Arial" w:hAnsi="Arial" w:cs="Arial"/>
        </w:rPr>
        <w:t>1.6</w:t>
      </w:r>
      <w:r w:rsidRPr="00FB15B4">
        <w:rPr>
          <w:rFonts w:ascii="Arial" w:eastAsia="Arial" w:hAnsi="Arial" w:cs="Arial"/>
        </w:rPr>
        <w:tab/>
        <w:t>Upon approval the adjustment will take place on the first day of the next Month.</w:t>
      </w:r>
    </w:p>
    <w:p w14:paraId="00000017"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13" w:name="_heading=h.scnprq3dvud" w:colFirst="0" w:colLast="0"/>
      <w:bookmarkEnd w:id="13"/>
    </w:p>
    <w:p w14:paraId="00000018" w14:textId="77777777" w:rsidR="00335955" w:rsidRPr="00E16CCE" w:rsidRDefault="00515352">
      <w:pPr>
        <w:numPr>
          <w:ilvl w:val="0"/>
          <w:numId w:val="1"/>
        </w:numPr>
        <w:pBdr>
          <w:top w:val="nil"/>
          <w:left w:val="nil"/>
          <w:bottom w:val="nil"/>
          <w:right w:val="nil"/>
          <w:between w:val="nil"/>
        </w:pBdr>
        <w:tabs>
          <w:tab w:val="left" w:pos="142"/>
        </w:tabs>
        <w:spacing w:before="120" w:after="240" w:line="240" w:lineRule="auto"/>
        <w:jc w:val="both"/>
        <w:rPr>
          <w:rFonts w:ascii="Arial" w:hAnsi="Arial" w:cs="Arial"/>
        </w:rPr>
      </w:pPr>
      <w:bookmarkStart w:id="14" w:name="_heading=h.5odlhk6xnkiy" w:colFirst="0" w:colLast="0"/>
      <w:bookmarkEnd w:id="14"/>
      <w:r w:rsidRPr="00FB15B4">
        <w:rPr>
          <w:rFonts w:ascii="Arial" w:eastAsia="Arial" w:hAnsi="Arial" w:cs="Arial"/>
          <w:b/>
        </w:rPr>
        <w:lastRenderedPageBreak/>
        <w:t>How Framework Prices are calculated</w:t>
      </w:r>
    </w:p>
    <w:p w14:paraId="00000019"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15" w:name="_heading=h.9ol5xpas9e8j" w:colFirst="0" w:colLast="0"/>
      <w:bookmarkEnd w:id="15"/>
      <w:r w:rsidRPr="00FB15B4">
        <w:rPr>
          <w:rFonts w:ascii="Arial" w:eastAsia="Arial" w:hAnsi="Arial" w:cs="Arial"/>
        </w:rPr>
        <w:t>2.1</w:t>
      </w:r>
      <w:r w:rsidRPr="00FB15B4">
        <w:rPr>
          <w:rFonts w:ascii="Arial" w:eastAsia="Arial" w:hAnsi="Arial" w:cs="Arial"/>
        </w:rPr>
        <w:tab/>
        <w:t xml:space="preserve">The pricing mechanisms and Framework Prices are set at maximum prices per piece based on order volume per week. Transport costs are set at a maximum percentage uplift of the value of the Order Form based on, volume, and the number of Sites and frequency of deliveries per day. </w:t>
      </w:r>
    </w:p>
    <w:p w14:paraId="0000001A" w14:textId="77777777" w:rsidR="00335955" w:rsidRPr="00E16CCE" w:rsidRDefault="00515352">
      <w:pPr>
        <w:numPr>
          <w:ilvl w:val="0"/>
          <w:numId w:val="1"/>
        </w:numPr>
        <w:pBdr>
          <w:top w:val="nil"/>
          <w:left w:val="nil"/>
          <w:bottom w:val="nil"/>
          <w:right w:val="nil"/>
          <w:between w:val="nil"/>
        </w:pBdr>
        <w:tabs>
          <w:tab w:val="left" w:pos="142"/>
        </w:tabs>
        <w:spacing w:before="120" w:after="240" w:line="240" w:lineRule="auto"/>
        <w:jc w:val="both"/>
        <w:rPr>
          <w:rFonts w:ascii="Arial" w:hAnsi="Arial" w:cs="Arial"/>
        </w:rPr>
      </w:pPr>
      <w:bookmarkStart w:id="16" w:name="_heading=h.4hriir89zer6" w:colFirst="0" w:colLast="0"/>
      <w:bookmarkEnd w:id="16"/>
      <w:r w:rsidRPr="00FB15B4">
        <w:rPr>
          <w:rFonts w:ascii="Arial" w:eastAsia="Arial" w:hAnsi="Arial" w:cs="Arial"/>
          <w:b/>
        </w:rPr>
        <w:t>Are costs and expenses included in the Framework Prices</w:t>
      </w:r>
    </w:p>
    <w:p w14:paraId="0000001B"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17" w:name="_heading=h.v5g9jks5eoms" w:colFirst="0" w:colLast="0"/>
      <w:bookmarkEnd w:id="17"/>
      <w:r w:rsidRPr="00FB15B4">
        <w:rPr>
          <w:rFonts w:ascii="Arial" w:eastAsia="Arial" w:hAnsi="Arial" w:cs="Arial"/>
        </w:rPr>
        <w:t>3.1</w:t>
      </w:r>
      <w:r w:rsidRPr="00FB15B4">
        <w:rPr>
          <w:rFonts w:ascii="Arial" w:eastAsia="Arial" w:hAnsi="Arial" w:cs="Arial"/>
        </w:rPr>
        <w:tab/>
        <w:t>Except as expressly set out in Paragraph 4 below, or otherwise stated in an Order Form the Framework Prices shall include all costs and expenses relating to the provision of Deliverables. No further amounts shall be payable in respect of matters such as:</w:t>
      </w:r>
    </w:p>
    <w:p w14:paraId="0000001C"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18" w:name="_heading=h.4mlqcgxz6k3e" w:colFirst="0" w:colLast="0"/>
      <w:bookmarkEnd w:id="18"/>
      <w:r w:rsidRPr="00FB15B4">
        <w:rPr>
          <w:rFonts w:ascii="Arial" w:eastAsia="Arial" w:hAnsi="Arial" w:cs="Arial"/>
        </w:rPr>
        <w:t>3.1.1</w:t>
      </w:r>
      <w:r w:rsidRPr="00FB15B4">
        <w:rPr>
          <w:rFonts w:ascii="Arial" w:eastAsia="Arial" w:hAnsi="Arial" w:cs="Arial"/>
        </w:rPr>
        <w:tab/>
        <w:t>incidental expenses such as travel, subsistence and lodging, document or report reproduction, shipping, desktop or office equipment costs, network or data interchange costs or other telecommunications charges; or</w:t>
      </w:r>
    </w:p>
    <w:p w14:paraId="0000001D"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19" w:name="_heading=h.eh7uom81l283" w:colFirst="0" w:colLast="0"/>
      <w:bookmarkEnd w:id="19"/>
      <w:r w:rsidRPr="00FB15B4">
        <w:rPr>
          <w:rFonts w:ascii="Arial" w:eastAsia="Arial" w:hAnsi="Arial" w:cs="Arial"/>
        </w:rPr>
        <w:t>3.1.2</w:t>
      </w:r>
      <w:r w:rsidRPr="00FB15B4">
        <w:rPr>
          <w:rFonts w:ascii="Arial" w:eastAsia="Arial" w:hAnsi="Arial" w:cs="Arial"/>
        </w:rPr>
        <w:tab/>
        <w:t>costs incurred prior to the commencement of any Call-Off Contract.</w:t>
      </w:r>
    </w:p>
    <w:p w14:paraId="0000001E" w14:textId="77777777" w:rsidR="00335955" w:rsidRPr="00E16CCE" w:rsidRDefault="00515352">
      <w:pPr>
        <w:numPr>
          <w:ilvl w:val="0"/>
          <w:numId w:val="1"/>
        </w:numPr>
        <w:pBdr>
          <w:top w:val="nil"/>
          <w:left w:val="nil"/>
          <w:bottom w:val="nil"/>
          <w:right w:val="nil"/>
          <w:between w:val="nil"/>
        </w:pBdr>
        <w:tabs>
          <w:tab w:val="left" w:pos="142"/>
        </w:tabs>
        <w:spacing w:before="120" w:after="240" w:line="240" w:lineRule="auto"/>
        <w:jc w:val="both"/>
        <w:rPr>
          <w:rFonts w:ascii="Arial" w:hAnsi="Arial" w:cs="Arial"/>
        </w:rPr>
      </w:pPr>
      <w:bookmarkStart w:id="20" w:name="_heading=h.7sd7luq9ltp6" w:colFirst="0" w:colLast="0"/>
      <w:bookmarkEnd w:id="20"/>
      <w:r w:rsidRPr="00FB15B4">
        <w:rPr>
          <w:rFonts w:ascii="Arial" w:eastAsia="Arial" w:hAnsi="Arial" w:cs="Arial"/>
          <w:b/>
        </w:rPr>
        <w:t>When the Supplier can ask to change the Framework Prices</w:t>
      </w:r>
    </w:p>
    <w:p w14:paraId="0000001F"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21" w:name="_heading=h.rsywsnn8cn8q" w:colFirst="0" w:colLast="0"/>
      <w:bookmarkEnd w:id="21"/>
      <w:r w:rsidRPr="00FB15B4">
        <w:rPr>
          <w:rFonts w:ascii="Arial" w:eastAsia="Arial" w:hAnsi="Arial" w:cs="Arial"/>
        </w:rPr>
        <w:t>4.1</w:t>
      </w:r>
      <w:r w:rsidRPr="00FB15B4">
        <w:rPr>
          <w:rFonts w:ascii="Arial" w:eastAsia="Arial" w:hAnsi="Arial" w:cs="Arial"/>
        </w:rPr>
        <w:tab/>
        <w:t>Framework Prices will be fixed for 1 (one) year following the Framework Start Date (the date of expiry of such period is a "Review Date").  After this Framework Prices can only be adjusted on each following yearly anniversary (the date of each such anniversary is also a "Review Date").</w:t>
      </w:r>
    </w:p>
    <w:p w14:paraId="00000020"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22" w:name="_heading=h.2xmwup9rt5ng" w:colFirst="0" w:colLast="0"/>
      <w:bookmarkEnd w:id="22"/>
      <w:r w:rsidRPr="00FB15B4">
        <w:rPr>
          <w:rFonts w:ascii="Arial" w:eastAsia="Arial" w:hAnsi="Arial" w:cs="Arial"/>
        </w:rPr>
        <w:t>4.2</w:t>
      </w:r>
      <w:r w:rsidRPr="00FB15B4">
        <w:rPr>
          <w:rFonts w:ascii="Arial" w:eastAsia="Arial" w:hAnsi="Arial" w:cs="Arial"/>
        </w:rPr>
        <w:tab/>
        <w:t>The Supplier shall give CCS at least three (3) Months' notice in writing prior to a Review Date where it wants to request an increase.  If the Supplier does not give notice in time then it will only be able to request an increase prior to the next Review Date.</w:t>
      </w:r>
    </w:p>
    <w:p w14:paraId="00000021"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23" w:name="_heading=h.r1qvqyr282gf" w:colFirst="0" w:colLast="0"/>
      <w:bookmarkEnd w:id="23"/>
      <w:r w:rsidRPr="00FB15B4">
        <w:rPr>
          <w:rFonts w:ascii="Arial" w:eastAsia="Arial" w:hAnsi="Arial" w:cs="Arial"/>
        </w:rPr>
        <w:t>4.3</w:t>
      </w:r>
      <w:r w:rsidRPr="00FB15B4">
        <w:rPr>
          <w:rFonts w:ascii="Arial" w:eastAsia="Arial" w:hAnsi="Arial" w:cs="Arial"/>
        </w:rPr>
        <w:tab/>
        <w:t>Any notice requesting an increase shall include:</w:t>
      </w:r>
    </w:p>
    <w:p w14:paraId="00000022"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24" w:name="_heading=h.g5utb2l8ni87" w:colFirst="0" w:colLast="0"/>
      <w:bookmarkEnd w:id="24"/>
      <w:r w:rsidRPr="00FB15B4">
        <w:rPr>
          <w:rFonts w:ascii="Arial" w:eastAsia="Arial" w:hAnsi="Arial" w:cs="Arial"/>
        </w:rPr>
        <w:t>4.3.1</w:t>
      </w:r>
      <w:r w:rsidRPr="00FB15B4">
        <w:rPr>
          <w:rFonts w:ascii="Arial" w:eastAsia="Arial" w:hAnsi="Arial" w:cs="Arial"/>
        </w:rPr>
        <w:tab/>
        <w:t>a list of the Framework Prices to be reviewed; and</w:t>
      </w:r>
    </w:p>
    <w:p w14:paraId="00000023"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25" w:name="_heading=h.vzqmjkvj0wxh" w:colFirst="0" w:colLast="0"/>
      <w:bookmarkEnd w:id="25"/>
      <w:r w:rsidRPr="00FB15B4">
        <w:rPr>
          <w:rFonts w:ascii="Arial" w:eastAsia="Arial" w:hAnsi="Arial" w:cs="Arial"/>
        </w:rPr>
        <w:t>4.3.2</w:t>
      </w:r>
      <w:r w:rsidRPr="00FB15B4">
        <w:rPr>
          <w:rFonts w:ascii="Arial" w:eastAsia="Arial" w:hAnsi="Arial" w:cs="Arial"/>
        </w:rPr>
        <w:tab/>
        <w:t xml:space="preserve">for each Framework Price under review, written evidence of the justification for the requested increase. </w:t>
      </w:r>
    </w:p>
    <w:p w14:paraId="00000024"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26" w:name="_heading=h.u2bm2eaftl5m" w:colFirst="0" w:colLast="0"/>
      <w:bookmarkEnd w:id="26"/>
      <w:r w:rsidRPr="00FB15B4">
        <w:rPr>
          <w:rFonts w:ascii="Arial" w:eastAsia="Arial" w:hAnsi="Arial" w:cs="Arial"/>
        </w:rPr>
        <w:t>4.4</w:t>
      </w:r>
      <w:r w:rsidRPr="00FB15B4">
        <w:rPr>
          <w:rFonts w:ascii="Arial" w:eastAsia="Arial" w:hAnsi="Arial" w:cs="Arial"/>
        </w:rPr>
        <w:tab/>
        <w:t>CCS shall consider each request for a price increase.  CCS may grant Approval to an increase at its sole discretion.</w:t>
      </w:r>
    </w:p>
    <w:p w14:paraId="00000025"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27" w:name="_heading=h.6g26r7fgdbpe" w:colFirst="0" w:colLast="0"/>
      <w:bookmarkEnd w:id="27"/>
      <w:r w:rsidRPr="00FB15B4">
        <w:rPr>
          <w:rFonts w:ascii="Arial" w:eastAsia="Arial" w:hAnsi="Arial" w:cs="Arial"/>
        </w:rPr>
        <w:t>4.5</w:t>
      </w:r>
      <w:r w:rsidRPr="00FB15B4">
        <w:rPr>
          <w:rFonts w:ascii="Arial" w:eastAsia="Arial" w:hAnsi="Arial" w:cs="Arial"/>
        </w:rPr>
        <w:tab/>
        <w:t>Where CCS approves an increase it will be implemented from the first (1st) Working Day following the relevant Review Date or such later date as CCS may determine at its sole discretion and the Supplier’s Framework Prices shall be updated accordingly.</w:t>
      </w:r>
    </w:p>
    <w:p w14:paraId="00000026" w14:textId="77777777" w:rsidR="00335955" w:rsidRPr="00E16CCE" w:rsidRDefault="00515352">
      <w:pPr>
        <w:numPr>
          <w:ilvl w:val="0"/>
          <w:numId w:val="1"/>
        </w:numPr>
        <w:pBdr>
          <w:top w:val="nil"/>
          <w:left w:val="nil"/>
          <w:bottom w:val="nil"/>
          <w:right w:val="nil"/>
          <w:between w:val="nil"/>
        </w:pBdr>
        <w:tabs>
          <w:tab w:val="left" w:pos="142"/>
        </w:tabs>
        <w:spacing w:before="120" w:after="240" w:line="240" w:lineRule="auto"/>
        <w:jc w:val="both"/>
        <w:rPr>
          <w:rFonts w:ascii="Arial" w:hAnsi="Arial" w:cs="Arial"/>
        </w:rPr>
      </w:pPr>
      <w:bookmarkStart w:id="28" w:name="_heading=h.wq7gn52t7jy3" w:colFirst="0" w:colLast="0"/>
      <w:bookmarkEnd w:id="28"/>
      <w:r w:rsidRPr="00FB15B4">
        <w:rPr>
          <w:rFonts w:ascii="Arial" w:eastAsia="Arial" w:hAnsi="Arial" w:cs="Arial"/>
          <w:b/>
        </w:rPr>
        <w:t>Other events that allow the Supplier to change the Framework Prices</w:t>
      </w:r>
    </w:p>
    <w:p w14:paraId="00000027"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29" w:name="_heading=h.ha4sh4rmf7gj" w:colFirst="0" w:colLast="0"/>
      <w:bookmarkEnd w:id="29"/>
      <w:r w:rsidRPr="00FB15B4">
        <w:rPr>
          <w:rFonts w:ascii="Arial" w:eastAsia="Arial" w:hAnsi="Arial" w:cs="Arial"/>
        </w:rPr>
        <w:t>5.1</w:t>
      </w:r>
      <w:r w:rsidRPr="00FB15B4">
        <w:rPr>
          <w:rFonts w:ascii="Arial" w:eastAsia="Arial" w:hAnsi="Arial" w:cs="Arial"/>
        </w:rPr>
        <w:tab/>
        <w:t>The Framework Prices can also be varied due to:</w:t>
      </w:r>
    </w:p>
    <w:p w14:paraId="00000028"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30" w:name="_heading=h.6ik85atl0368" w:colFirst="0" w:colLast="0"/>
      <w:bookmarkEnd w:id="30"/>
      <w:r w:rsidRPr="00FB15B4">
        <w:rPr>
          <w:rFonts w:ascii="Arial" w:eastAsia="Arial" w:hAnsi="Arial" w:cs="Arial"/>
        </w:rPr>
        <w:t>5.1.1</w:t>
      </w:r>
      <w:r w:rsidRPr="00FB15B4">
        <w:rPr>
          <w:rFonts w:ascii="Arial" w:eastAsia="Arial" w:hAnsi="Arial" w:cs="Arial"/>
        </w:rPr>
        <w:tab/>
        <w:t>a Specific Change in Law in accordance with Clause 24 of the Core Terms;</w:t>
      </w:r>
    </w:p>
    <w:p w14:paraId="00000029" w14:textId="77777777" w:rsidR="00335955" w:rsidRPr="00FB15B4" w:rsidRDefault="00515352" w:rsidP="00E16CCE">
      <w:pPr>
        <w:pBdr>
          <w:top w:val="nil"/>
          <w:left w:val="nil"/>
          <w:bottom w:val="nil"/>
          <w:right w:val="nil"/>
          <w:between w:val="nil"/>
        </w:pBdr>
        <w:tabs>
          <w:tab w:val="left" w:pos="142"/>
        </w:tabs>
        <w:spacing w:before="120" w:after="240" w:line="240" w:lineRule="auto"/>
        <w:ind w:left="720"/>
        <w:jc w:val="both"/>
        <w:rPr>
          <w:rFonts w:ascii="Arial" w:eastAsia="Arial" w:hAnsi="Arial" w:cs="Arial"/>
        </w:rPr>
      </w:pPr>
      <w:bookmarkStart w:id="31" w:name="_heading=h.9wzbx3lm0dno" w:colFirst="0" w:colLast="0"/>
      <w:bookmarkEnd w:id="31"/>
      <w:r w:rsidRPr="00FB15B4">
        <w:rPr>
          <w:rFonts w:ascii="Arial" w:eastAsia="Arial" w:hAnsi="Arial" w:cs="Arial"/>
        </w:rPr>
        <w:t>5.1.2</w:t>
      </w:r>
      <w:r w:rsidRPr="00FB15B4">
        <w:rPr>
          <w:rFonts w:ascii="Arial" w:eastAsia="Arial" w:hAnsi="Arial" w:cs="Arial"/>
        </w:rPr>
        <w:tab/>
        <w:t>a review in accordance with insurance requirements in Clause 13 of the Core Terms; and</w:t>
      </w:r>
    </w:p>
    <w:p w14:paraId="0000002A"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32" w:name="_heading=h.k3873biqgsrl" w:colFirst="0" w:colLast="0"/>
      <w:bookmarkEnd w:id="32"/>
      <w:r w:rsidRPr="00FB15B4">
        <w:rPr>
          <w:rFonts w:ascii="Arial" w:eastAsia="Arial" w:hAnsi="Arial" w:cs="Arial"/>
        </w:rPr>
        <w:lastRenderedPageBreak/>
        <w:t>5.1.3</w:t>
      </w:r>
      <w:r w:rsidRPr="00FB15B4">
        <w:rPr>
          <w:rFonts w:ascii="Arial" w:eastAsia="Arial" w:hAnsi="Arial" w:cs="Arial"/>
        </w:rPr>
        <w:tab/>
        <w:t>a request from the Supplier, which it can make at any time, to decrease the Framework Prices.</w:t>
      </w:r>
    </w:p>
    <w:p w14:paraId="0000002B" w14:textId="77777777" w:rsidR="00335955" w:rsidRPr="00E16CCE" w:rsidRDefault="00515352">
      <w:pPr>
        <w:numPr>
          <w:ilvl w:val="0"/>
          <w:numId w:val="1"/>
        </w:numPr>
        <w:pBdr>
          <w:top w:val="nil"/>
          <w:left w:val="nil"/>
          <w:bottom w:val="nil"/>
          <w:right w:val="nil"/>
          <w:between w:val="nil"/>
        </w:pBdr>
        <w:tabs>
          <w:tab w:val="left" w:pos="142"/>
        </w:tabs>
        <w:spacing w:before="120" w:after="240" w:line="240" w:lineRule="auto"/>
        <w:jc w:val="both"/>
        <w:rPr>
          <w:rFonts w:ascii="Arial" w:hAnsi="Arial" w:cs="Arial"/>
        </w:rPr>
      </w:pPr>
      <w:bookmarkStart w:id="33" w:name="_heading=h.yoalolqmm3n3" w:colFirst="0" w:colLast="0"/>
      <w:bookmarkEnd w:id="33"/>
      <w:r w:rsidRPr="00FB15B4">
        <w:rPr>
          <w:rFonts w:ascii="Arial" w:eastAsia="Arial" w:hAnsi="Arial" w:cs="Arial"/>
          <w:b/>
        </w:rPr>
        <w:t>Framework Prices and inflation</w:t>
      </w:r>
      <w:r w:rsidRPr="00FB15B4">
        <w:rPr>
          <w:rFonts w:ascii="Arial" w:eastAsia="Arial" w:hAnsi="Arial" w:cs="Arial"/>
        </w:rPr>
        <w:t xml:space="preserve"> </w:t>
      </w:r>
    </w:p>
    <w:p w14:paraId="0000002C"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34" w:name="_heading=h.qgid773cl4jb" w:colFirst="0" w:colLast="0"/>
      <w:bookmarkEnd w:id="34"/>
      <w:r w:rsidRPr="00FB15B4">
        <w:rPr>
          <w:rFonts w:ascii="Arial" w:eastAsia="Arial" w:hAnsi="Arial" w:cs="Arial"/>
        </w:rPr>
        <w:t>6.1</w:t>
      </w:r>
      <w:r w:rsidRPr="00FB15B4">
        <w:rPr>
          <w:rFonts w:ascii="Arial" w:eastAsia="Arial" w:hAnsi="Arial" w:cs="Arial"/>
        </w:rPr>
        <w:tab/>
        <w:t xml:space="preserve">Where a Framework Price review is based on inflationary pressures Suppliers can ask to change the Framework Prices following procedures outlined in paragraph 4 above.   </w:t>
      </w:r>
    </w:p>
    <w:p w14:paraId="0000002D"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35" w:name="_heading=h.k33v6ltanv5g" w:colFirst="0" w:colLast="0"/>
      <w:bookmarkEnd w:id="35"/>
      <w:r w:rsidRPr="00FB15B4">
        <w:rPr>
          <w:rFonts w:ascii="Arial" w:eastAsia="Arial" w:hAnsi="Arial" w:cs="Arial"/>
        </w:rPr>
        <w:t>6.2</w:t>
      </w:r>
      <w:r w:rsidRPr="00FB15B4">
        <w:rPr>
          <w:rFonts w:ascii="Arial" w:eastAsia="Arial" w:hAnsi="Arial" w:cs="Arial"/>
        </w:rPr>
        <w:tab/>
        <w:t xml:space="preserve">Inflation based requests will be considered and capped using the Textiles Services Cost Index.  </w:t>
      </w:r>
    </w:p>
    <w:p w14:paraId="0000002E" w14:textId="77777777" w:rsidR="00335955" w:rsidRPr="00FB15B4"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36" w:name="_heading=h.2bhry49qcb26" w:colFirst="0" w:colLast="0"/>
      <w:bookmarkEnd w:id="36"/>
      <w:r w:rsidRPr="00FB15B4">
        <w:rPr>
          <w:rFonts w:ascii="Arial" w:eastAsia="Arial" w:hAnsi="Arial" w:cs="Arial"/>
        </w:rPr>
        <w:t>6.3</w:t>
      </w:r>
      <w:r w:rsidRPr="00FB15B4">
        <w:rPr>
          <w:rFonts w:ascii="Arial" w:eastAsia="Arial" w:hAnsi="Arial" w:cs="Arial"/>
        </w:rPr>
        <w:tab/>
        <w:t>In the event the Textiles Services Cost Index is no longer published, CCS and the Supplier shall agree a fair and reasonable replacement that will have substantially the same effect.</w:t>
      </w:r>
    </w:p>
    <w:p w14:paraId="0000002F"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37" w:name="_heading=h.uv5denpu9cz" w:colFirst="0" w:colLast="0"/>
      <w:bookmarkEnd w:id="37"/>
    </w:p>
    <w:p w14:paraId="00000030"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38" w:name="_heading=h.hqct8vfn1fph" w:colFirst="0" w:colLast="0"/>
      <w:bookmarkEnd w:id="38"/>
    </w:p>
    <w:p w14:paraId="00000031"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39" w:name="_heading=h.cjuxoe1oxnsp" w:colFirst="0" w:colLast="0"/>
      <w:bookmarkEnd w:id="39"/>
    </w:p>
    <w:p w14:paraId="00000032"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0" w:name="_heading=h.xc4qvhmtiviv" w:colFirst="0" w:colLast="0"/>
      <w:bookmarkEnd w:id="40"/>
    </w:p>
    <w:p w14:paraId="00000033"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1" w:name="_heading=h.s6jad0pjsafk" w:colFirst="0" w:colLast="0"/>
      <w:bookmarkEnd w:id="41"/>
    </w:p>
    <w:p w14:paraId="00000034"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2" w:name="_heading=h.t4zc3ugntf3o" w:colFirst="0" w:colLast="0"/>
      <w:bookmarkEnd w:id="42"/>
    </w:p>
    <w:p w14:paraId="00000035"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3" w:name="_heading=h.yonsvv7th7l5" w:colFirst="0" w:colLast="0"/>
      <w:bookmarkEnd w:id="43"/>
    </w:p>
    <w:p w14:paraId="00000036"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4" w:name="_heading=h.542u6l49cshz" w:colFirst="0" w:colLast="0"/>
      <w:bookmarkEnd w:id="44"/>
    </w:p>
    <w:p w14:paraId="00000037"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5" w:name="_heading=h.2pljlu1vmp1w" w:colFirst="0" w:colLast="0"/>
      <w:bookmarkEnd w:id="45"/>
    </w:p>
    <w:p w14:paraId="00000038"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6" w:name="_heading=h.w8iusdfse1sc" w:colFirst="0" w:colLast="0"/>
      <w:bookmarkEnd w:id="46"/>
    </w:p>
    <w:p w14:paraId="00000039"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7" w:name="_heading=h.43waaa7m5gm" w:colFirst="0" w:colLast="0"/>
      <w:bookmarkEnd w:id="47"/>
    </w:p>
    <w:p w14:paraId="0000003A"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8" w:name="_heading=h.vzvc3o9dgxjy" w:colFirst="0" w:colLast="0"/>
      <w:bookmarkEnd w:id="48"/>
    </w:p>
    <w:p w14:paraId="0000003B"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49" w:name="_heading=h.rfj5qj5o1pkz" w:colFirst="0" w:colLast="0"/>
      <w:bookmarkEnd w:id="49"/>
    </w:p>
    <w:p w14:paraId="0000003C"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50" w:name="_heading=h.aqol57flma4r" w:colFirst="0" w:colLast="0"/>
      <w:bookmarkEnd w:id="50"/>
    </w:p>
    <w:p w14:paraId="0000003D"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51" w:name="_heading=h.k9vib3lyo4fu" w:colFirst="0" w:colLast="0"/>
      <w:bookmarkEnd w:id="51"/>
    </w:p>
    <w:p w14:paraId="0000003E" w14:textId="77777777" w:rsidR="00335955" w:rsidRPr="00FB15B4" w:rsidRDefault="00515352">
      <w:pPr>
        <w:rPr>
          <w:rFonts w:ascii="Arial" w:eastAsia="Arial" w:hAnsi="Arial" w:cs="Arial"/>
        </w:rPr>
      </w:pPr>
      <w:bookmarkStart w:id="52" w:name="_heading=h.uklgmz3s0ui0" w:colFirst="0" w:colLast="0"/>
      <w:bookmarkEnd w:id="52"/>
      <w:r w:rsidRPr="00E16CCE">
        <w:rPr>
          <w:rFonts w:ascii="Arial" w:hAnsi="Arial" w:cs="Arial"/>
        </w:rPr>
        <w:br w:type="page"/>
      </w:r>
    </w:p>
    <w:p w14:paraId="0000003F" w14:textId="77777777" w:rsidR="00335955" w:rsidRPr="00FB15B4" w:rsidRDefault="00515352">
      <w:pPr>
        <w:pBdr>
          <w:top w:val="nil"/>
          <w:left w:val="nil"/>
          <w:bottom w:val="nil"/>
          <w:right w:val="nil"/>
          <w:between w:val="nil"/>
        </w:pBdr>
        <w:tabs>
          <w:tab w:val="left" w:pos="142"/>
        </w:tabs>
        <w:spacing w:after="0"/>
        <w:rPr>
          <w:rFonts w:ascii="Arial" w:eastAsia="Arial" w:hAnsi="Arial" w:cs="Arial"/>
          <w:b/>
          <w:sz w:val="36"/>
          <w:szCs w:val="36"/>
        </w:rPr>
      </w:pPr>
      <w:r w:rsidRPr="00FB15B4">
        <w:rPr>
          <w:rFonts w:ascii="Arial" w:eastAsia="Arial" w:hAnsi="Arial" w:cs="Arial"/>
          <w:b/>
          <w:sz w:val="36"/>
          <w:szCs w:val="36"/>
        </w:rPr>
        <w:lastRenderedPageBreak/>
        <w:t>Part B</w:t>
      </w:r>
    </w:p>
    <w:p w14:paraId="00000040" w14:textId="77777777" w:rsidR="00335955" w:rsidRPr="00FB15B4" w:rsidRDefault="00335955">
      <w:pPr>
        <w:pBdr>
          <w:top w:val="nil"/>
          <w:left w:val="nil"/>
          <w:bottom w:val="nil"/>
          <w:right w:val="nil"/>
          <w:between w:val="nil"/>
        </w:pBdr>
        <w:tabs>
          <w:tab w:val="left" w:pos="142"/>
        </w:tabs>
        <w:spacing w:before="120" w:after="240" w:line="240" w:lineRule="auto"/>
        <w:ind w:left="360"/>
        <w:jc w:val="both"/>
        <w:rPr>
          <w:rFonts w:ascii="Arial" w:eastAsia="Arial" w:hAnsi="Arial" w:cs="Arial"/>
        </w:rPr>
      </w:pPr>
      <w:bookmarkStart w:id="53" w:name="_heading=h.ee20rq35smcv" w:colFirst="0" w:colLast="0"/>
      <w:bookmarkEnd w:id="53"/>
    </w:p>
    <w:p w14:paraId="00000041" w14:textId="77777777" w:rsidR="00335955" w:rsidRPr="00B75117" w:rsidRDefault="00515352">
      <w:pPr>
        <w:numPr>
          <w:ilvl w:val="0"/>
          <w:numId w:val="2"/>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rPr>
        <w:t xml:space="preserve">Cleaning Service: Lot 2A, Lot 2B; Waste Management Service: Lot 3A, Lot 3B, Lot 3C, Lot 3D, Lot 3E, Lot 3F, Lot 3G and Bundled Soft FM Services: Lot 5. </w:t>
      </w:r>
    </w:p>
    <w:p w14:paraId="00000042" w14:textId="77777777" w:rsidR="00335955" w:rsidRPr="00B75117" w:rsidRDefault="00515352">
      <w:pPr>
        <w:numPr>
          <w:ilvl w:val="0"/>
          <w:numId w:val="2"/>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color w:val="000000"/>
        </w:rPr>
        <w:t xml:space="preserve">How Framework Prices are </w:t>
      </w:r>
      <w:r w:rsidRPr="00B75117">
        <w:rPr>
          <w:rFonts w:ascii="Arial" w:eastAsia="Arial" w:hAnsi="Arial" w:cs="Arial"/>
          <w:b/>
        </w:rPr>
        <w:t>u</w:t>
      </w:r>
      <w:r w:rsidRPr="00B75117">
        <w:rPr>
          <w:rFonts w:ascii="Arial" w:eastAsia="Arial" w:hAnsi="Arial" w:cs="Arial"/>
          <w:b/>
          <w:color w:val="000000"/>
        </w:rPr>
        <w:t xml:space="preserve">sed to </w:t>
      </w:r>
      <w:r w:rsidRPr="00B75117">
        <w:rPr>
          <w:rFonts w:ascii="Arial" w:eastAsia="Arial" w:hAnsi="Arial" w:cs="Arial"/>
          <w:b/>
        </w:rPr>
        <w:t>c</w:t>
      </w:r>
      <w:r w:rsidRPr="00B75117">
        <w:rPr>
          <w:rFonts w:ascii="Arial" w:eastAsia="Arial" w:hAnsi="Arial" w:cs="Arial"/>
          <w:b/>
          <w:color w:val="000000"/>
        </w:rPr>
        <w:t>alculate Call-Off Charges</w:t>
      </w:r>
    </w:p>
    <w:p w14:paraId="00000043"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r w:rsidRPr="00B75117">
        <w:rPr>
          <w:rFonts w:ascii="Arial" w:eastAsia="Arial" w:hAnsi="Arial" w:cs="Arial"/>
          <w:color w:val="000000"/>
        </w:rPr>
        <w:t xml:space="preserve">The Framework Prices: </w:t>
      </w:r>
    </w:p>
    <w:p w14:paraId="00000044" w14:textId="77777777" w:rsidR="00335955" w:rsidRPr="00B75117" w:rsidRDefault="00515352">
      <w:pPr>
        <w:numPr>
          <w:ilvl w:val="2"/>
          <w:numId w:val="2"/>
        </w:numPr>
        <w:pBdr>
          <w:top w:val="nil"/>
          <w:left w:val="nil"/>
          <w:bottom w:val="nil"/>
          <w:right w:val="nil"/>
          <w:between w:val="nil"/>
        </w:pBdr>
        <w:tabs>
          <w:tab w:val="left" w:pos="1985"/>
          <w:tab w:val="left" w:pos="2127"/>
          <w:tab w:val="left" w:pos="1440"/>
        </w:tabs>
        <w:spacing w:before="120" w:after="120" w:line="240" w:lineRule="auto"/>
        <w:ind w:left="1980" w:hanging="810"/>
        <w:rPr>
          <w:rFonts w:ascii="Arial" w:hAnsi="Arial" w:cs="Arial"/>
        </w:rPr>
      </w:pPr>
      <w:bookmarkStart w:id="54" w:name="_heading=h.30j0zll" w:colFirst="0" w:colLast="0"/>
      <w:bookmarkEnd w:id="54"/>
      <w:r w:rsidRPr="00B75117">
        <w:rPr>
          <w:rFonts w:ascii="Arial" w:eastAsia="Arial" w:hAnsi="Arial" w:cs="Arial"/>
          <w:color w:val="000000"/>
        </w:rPr>
        <w:t>will be used as the basis for the charges (and are maximums that the Supplier may charge for a Standard Service Requirement) under each Call-Off Contract including;</w:t>
      </w:r>
    </w:p>
    <w:p w14:paraId="00000045"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rPr>
      </w:pPr>
      <w:r w:rsidRPr="00B75117">
        <w:rPr>
          <w:rFonts w:ascii="Arial" w:eastAsia="Arial" w:hAnsi="Arial" w:cs="Arial"/>
          <w:color w:val="000000"/>
        </w:rPr>
        <w:t xml:space="preserve">Standard Service </w:t>
      </w:r>
      <w:r w:rsidRPr="00B75117">
        <w:rPr>
          <w:rFonts w:ascii="Arial" w:eastAsia="Arial" w:hAnsi="Arial" w:cs="Arial"/>
        </w:rPr>
        <w:t>rate per Unit of Measure</w:t>
      </w:r>
    </w:p>
    <w:p w14:paraId="00000046"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rPr>
      </w:pPr>
      <w:r w:rsidRPr="00B75117">
        <w:rPr>
          <w:rFonts w:ascii="Arial" w:eastAsia="Arial" w:hAnsi="Arial" w:cs="Arial"/>
          <w:color w:val="000000"/>
        </w:rPr>
        <w:t>Corporate Overhead (%);</w:t>
      </w:r>
    </w:p>
    <w:p w14:paraId="00000047"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rPr>
      </w:pPr>
      <w:r w:rsidRPr="00B75117">
        <w:rPr>
          <w:rFonts w:ascii="Arial" w:eastAsia="Arial" w:hAnsi="Arial" w:cs="Arial"/>
          <w:color w:val="000000"/>
        </w:rPr>
        <w:t>Management Overhead (%);</w:t>
      </w:r>
    </w:p>
    <w:p w14:paraId="00000048"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rPr>
      </w:pPr>
      <w:r w:rsidRPr="00B75117">
        <w:rPr>
          <w:rFonts w:ascii="Arial" w:eastAsia="Arial" w:hAnsi="Arial" w:cs="Arial"/>
          <w:color w:val="000000"/>
        </w:rPr>
        <w:t>Supplier Profit (%);</w:t>
      </w:r>
    </w:p>
    <w:p w14:paraId="00000049"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rPr>
      </w:pPr>
      <w:r w:rsidRPr="00B75117">
        <w:rPr>
          <w:rFonts w:ascii="Arial" w:eastAsia="Arial" w:hAnsi="Arial" w:cs="Arial"/>
          <w:color w:val="000000"/>
        </w:rPr>
        <w:t xml:space="preserve">London location percentage variance (%); </w:t>
      </w:r>
    </w:p>
    <w:p w14:paraId="0000004A"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rPr>
      </w:pPr>
      <w:r w:rsidRPr="00B75117">
        <w:rPr>
          <w:rFonts w:ascii="Arial" w:eastAsia="Arial" w:hAnsi="Arial" w:cs="Arial"/>
          <w:color w:val="000000"/>
        </w:rPr>
        <w:t xml:space="preserve">Billable works management uplifts (%); </w:t>
      </w:r>
    </w:p>
    <w:p w14:paraId="0000004B"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color w:val="000000"/>
        </w:rPr>
      </w:pPr>
      <w:r w:rsidRPr="00B75117">
        <w:rPr>
          <w:rFonts w:ascii="Arial" w:eastAsia="Arial" w:hAnsi="Arial" w:cs="Arial"/>
          <w:color w:val="000000"/>
        </w:rPr>
        <w:t xml:space="preserve">Project uplifts (%); </w:t>
      </w:r>
    </w:p>
    <w:p w14:paraId="0000004C"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color w:val="000000"/>
        </w:rPr>
      </w:pPr>
      <w:r w:rsidRPr="00B75117">
        <w:rPr>
          <w:rFonts w:ascii="Arial" w:eastAsia="Arial" w:hAnsi="Arial" w:cs="Arial"/>
        </w:rPr>
        <w:t>Cleaning consumables as a % of the Standard Service Rate against Service References C1, AV1, AV2 and AV3 (Lot 2A, 2B and Lot5 only) Cleaning consumables per Building Occupants; (Lot 2A and Lot 5 only) (%); and</w:t>
      </w:r>
    </w:p>
    <w:p w14:paraId="0000004D" w14:textId="77777777" w:rsidR="00335955" w:rsidRPr="00B75117" w:rsidRDefault="00515352">
      <w:pPr>
        <w:numPr>
          <w:ilvl w:val="3"/>
          <w:numId w:val="2"/>
        </w:numPr>
        <w:pBdr>
          <w:top w:val="nil"/>
          <w:left w:val="nil"/>
          <w:bottom w:val="nil"/>
          <w:right w:val="nil"/>
          <w:between w:val="nil"/>
        </w:pBdr>
        <w:tabs>
          <w:tab w:val="left" w:pos="1985"/>
          <w:tab w:val="left" w:pos="2127"/>
        </w:tabs>
        <w:spacing w:before="120" w:after="120" w:line="240" w:lineRule="auto"/>
        <w:jc w:val="both"/>
        <w:rPr>
          <w:rFonts w:ascii="Arial" w:hAnsi="Arial" w:cs="Arial"/>
        </w:rPr>
      </w:pPr>
      <w:r w:rsidRPr="00B75117">
        <w:rPr>
          <w:rFonts w:ascii="Arial" w:eastAsia="Arial" w:hAnsi="Arial" w:cs="Arial"/>
          <w:color w:val="000000"/>
        </w:rPr>
        <w:t>Mobile Cleaning Service Uplift % applied to the standard Service rate for Service</w:t>
      </w:r>
      <w:r w:rsidRPr="00B75117">
        <w:rPr>
          <w:rFonts w:ascii="Arial" w:eastAsia="Arial" w:hAnsi="Arial" w:cs="Arial"/>
        </w:rPr>
        <w:t xml:space="preserve"> References</w:t>
      </w:r>
      <w:r w:rsidRPr="00B75117">
        <w:rPr>
          <w:rFonts w:ascii="Arial" w:eastAsia="Arial" w:hAnsi="Arial" w:cs="Arial"/>
          <w:color w:val="000000"/>
        </w:rPr>
        <w:t xml:space="preserve"> AV1 and AV2 (%) </w:t>
      </w:r>
    </w:p>
    <w:p w14:paraId="0000004E" w14:textId="77777777" w:rsidR="00335955" w:rsidRPr="00B75117" w:rsidRDefault="00335955">
      <w:pPr>
        <w:pBdr>
          <w:top w:val="nil"/>
          <w:left w:val="nil"/>
          <w:bottom w:val="nil"/>
          <w:right w:val="nil"/>
          <w:between w:val="nil"/>
        </w:pBdr>
        <w:tabs>
          <w:tab w:val="left" w:pos="1985"/>
          <w:tab w:val="left" w:pos="2127"/>
          <w:tab w:val="left" w:pos="1440"/>
        </w:tabs>
        <w:spacing w:before="120" w:after="120" w:line="240" w:lineRule="auto"/>
        <w:ind w:left="1980"/>
        <w:rPr>
          <w:rFonts w:ascii="Arial" w:eastAsia="Arial" w:hAnsi="Arial" w:cs="Arial"/>
          <w:color w:val="000000"/>
        </w:rPr>
      </w:pPr>
    </w:p>
    <w:p w14:paraId="0000004F" w14:textId="1303D83E" w:rsidR="00335955" w:rsidRPr="00B75117" w:rsidRDefault="00515352">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eastAsia="Arial" w:hAnsi="Arial" w:cs="Arial"/>
          <w:color w:val="000000"/>
        </w:rPr>
        <w:t>cannot be increased except as in accordance with this Part of the Schedule.</w:t>
      </w:r>
    </w:p>
    <w:p w14:paraId="0CEFE1AF" w14:textId="55C34D8F" w:rsidR="00C67087" w:rsidRPr="00B75117" w:rsidRDefault="00C67087" w:rsidP="00C67087">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hAnsi="Arial" w:cs="Arial"/>
        </w:rPr>
        <w:t xml:space="preserve">for clinical waste, listed </w:t>
      </w:r>
      <w:r w:rsidR="00581222" w:rsidRPr="00B75117">
        <w:rPr>
          <w:rFonts w:ascii="Arial" w:hAnsi="Arial" w:cs="Arial"/>
        </w:rPr>
        <w:t>in 2.1.4 Table A,</w:t>
      </w:r>
      <w:r w:rsidRPr="00B75117">
        <w:rPr>
          <w:rFonts w:ascii="Arial" w:hAnsi="Arial" w:cs="Arial"/>
        </w:rPr>
        <w:t xml:space="preserve"> only include the disposal element of that waste type. </w:t>
      </w:r>
      <w:r w:rsidR="00FB15B4" w:rsidRPr="00B75117">
        <w:rPr>
          <w:rFonts w:ascii="Arial" w:hAnsi="Arial" w:cs="Arial"/>
        </w:rPr>
        <w:t xml:space="preserve"> </w:t>
      </w:r>
      <w:r w:rsidRPr="00B75117">
        <w:rPr>
          <w:rFonts w:ascii="Arial" w:hAnsi="Arial" w:cs="Arial"/>
        </w:rPr>
        <w:t>All other costs including, but not limited to, transport, consignment notes, wasted trip</w:t>
      </w:r>
      <w:r w:rsidR="00581222" w:rsidRPr="00B75117">
        <w:rPr>
          <w:rFonts w:ascii="Arial" w:hAnsi="Arial" w:cs="Arial"/>
        </w:rPr>
        <w:t>s and consumables</w:t>
      </w:r>
      <w:r w:rsidRPr="00B75117">
        <w:rPr>
          <w:rFonts w:ascii="Arial" w:hAnsi="Arial" w:cs="Arial"/>
        </w:rPr>
        <w:t xml:space="preserve"> are to be priced at call-off</w:t>
      </w:r>
      <w:r w:rsidR="00581222" w:rsidRPr="00B75117">
        <w:rPr>
          <w:rFonts w:ascii="Arial" w:hAnsi="Arial" w:cs="Arial"/>
        </w:rPr>
        <w:t>.</w:t>
      </w:r>
      <w:r w:rsidR="00010829" w:rsidRPr="00B75117">
        <w:rPr>
          <w:rFonts w:ascii="Arial" w:hAnsi="Arial" w:cs="Arial"/>
        </w:rPr>
        <w:t xml:space="preserve"> </w:t>
      </w:r>
      <w:r w:rsidR="003F240C" w:rsidRPr="00B75117">
        <w:rPr>
          <w:rFonts w:ascii="Arial" w:hAnsi="Arial" w:cs="Arial"/>
        </w:rPr>
        <w:t xml:space="preserve">For the avoidance of doubt, this only affects the Standard Service rate per Unit of Measure, listed in 2.1.4 Table A. All other costing elements listed in 2.1.1.2  to 2.1.1.9 still apply. </w:t>
      </w:r>
      <w:r w:rsidR="00581222" w:rsidRPr="00B75117">
        <w:rPr>
          <w:rFonts w:ascii="Arial" w:hAnsi="Arial" w:cs="Arial"/>
        </w:rPr>
        <w:t xml:space="preserve"> </w:t>
      </w:r>
    </w:p>
    <w:p w14:paraId="1C620EDD" w14:textId="04F67EE4" w:rsidR="00581222" w:rsidRPr="00B75117" w:rsidRDefault="00581222" w:rsidP="00C67087">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hAnsi="Arial" w:cs="Arial"/>
        </w:rPr>
        <w:t>Table A – Clinical waste rates that include disposal only</w:t>
      </w:r>
    </w:p>
    <w:tbl>
      <w:tblPr>
        <w:tblStyle w:val="TableGrid"/>
        <w:tblW w:w="0" w:type="auto"/>
        <w:tblInd w:w="1980" w:type="dxa"/>
        <w:tblLook w:val="04A0" w:firstRow="1" w:lastRow="0" w:firstColumn="1" w:lastColumn="0" w:noHBand="0" w:noVBand="1"/>
      </w:tblPr>
      <w:tblGrid>
        <w:gridCol w:w="1501"/>
        <w:gridCol w:w="1543"/>
        <w:gridCol w:w="1476"/>
        <w:gridCol w:w="1251"/>
        <w:gridCol w:w="1265"/>
      </w:tblGrid>
      <w:tr w:rsidR="00C67087" w:rsidRPr="00B75117" w14:paraId="7CD77A1F" w14:textId="77777777" w:rsidTr="00581222">
        <w:tc>
          <w:tcPr>
            <w:tcW w:w="1418" w:type="dxa"/>
          </w:tcPr>
          <w:p w14:paraId="0221957F" w14:textId="006BC989" w:rsidR="00C67087" w:rsidRPr="00B75117" w:rsidRDefault="00C67087" w:rsidP="00C67087">
            <w:pPr>
              <w:tabs>
                <w:tab w:val="left" w:pos="1985"/>
                <w:tab w:val="left" w:pos="2127"/>
              </w:tabs>
              <w:spacing w:before="120" w:after="120"/>
              <w:rPr>
                <w:rFonts w:ascii="Arial" w:hAnsi="Arial" w:cs="Arial"/>
              </w:rPr>
            </w:pPr>
            <w:r w:rsidRPr="00B75117">
              <w:rPr>
                <w:rFonts w:ascii="Arial" w:hAnsi="Arial" w:cs="Arial"/>
              </w:rPr>
              <w:t>Lot</w:t>
            </w:r>
          </w:p>
        </w:tc>
        <w:tc>
          <w:tcPr>
            <w:tcW w:w="1571" w:type="dxa"/>
          </w:tcPr>
          <w:p w14:paraId="5D70E06F" w14:textId="40E77B09" w:rsidR="00C67087" w:rsidRPr="00B75117" w:rsidRDefault="00C67087" w:rsidP="00C67087">
            <w:pPr>
              <w:tabs>
                <w:tab w:val="left" w:pos="1985"/>
                <w:tab w:val="left" w:pos="2127"/>
              </w:tabs>
              <w:spacing w:before="120" w:after="120"/>
              <w:rPr>
                <w:rFonts w:ascii="Arial" w:hAnsi="Arial" w:cs="Arial"/>
              </w:rPr>
            </w:pPr>
            <w:r w:rsidRPr="00B75117">
              <w:rPr>
                <w:rFonts w:ascii="Arial" w:hAnsi="Arial" w:cs="Arial"/>
              </w:rPr>
              <w:t>Service Reference</w:t>
            </w:r>
          </w:p>
        </w:tc>
        <w:tc>
          <w:tcPr>
            <w:tcW w:w="1486" w:type="dxa"/>
          </w:tcPr>
          <w:p w14:paraId="4E5EDE1D" w14:textId="26B49CA4" w:rsidR="00C67087" w:rsidRPr="00B75117" w:rsidRDefault="00C67087" w:rsidP="00C67087">
            <w:pPr>
              <w:tabs>
                <w:tab w:val="left" w:pos="1985"/>
                <w:tab w:val="left" w:pos="2127"/>
              </w:tabs>
              <w:spacing w:before="120" w:after="120"/>
              <w:rPr>
                <w:rFonts w:ascii="Arial" w:hAnsi="Arial" w:cs="Arial"/>
              </w:rPr>
            </w:pPr>
            <w:r w:rsidRPr="00B75117">
              <w:rPr>
                <w:rFonts w:ascii="Arial" w:hAnsi="Arial" w:cs="Arial"/>
              </w:rPr>
              <w:t>Service Name</w:t>
            </w:r>
          </w:p>
        </w:tc>
        <w:tc>
          <w:tcPr>
            <w:tcW w:w="1278" w:type="dxa"/>
          </w:tcPr>
          <w:p w14:paraId="287BDC92" w14:textId="31916E4A" w:rsidR="00C67087" w:rsidRPr="00B75117" w:rsidRDefault="00C67087" w:rsidP="00C67087">
            <w:pPr>
              <w:tabs>
                <w:tab w:val="left" w:pos="1985"/>
                <w:tab w:val="left" w:pos="2127"/>
              </w:tabs>
              <w:spacing w:before="120" w:after="120"/>
              <w:rPr>
                <w:rFonts w:ascii="Arial" w:hAnsi="Arial" w:cs="Arial"/>
              </w:rPr>
            </w:pPr>
            <w:r w:rsidRPr="00B75117">
              <w:rPr>
                <w:rFonts w:ascii="Arial" w:hAnsi="Arial" w:cs="Arial"/>
              </w:rPr>
              <w:t>Service Type</w:t>
            </w:r>
          </w:p>
        </w:tc>
        <w:tc>
          <w:tcPr>
            <w:tcW w:w="1283" w:type="dxa"/>
          </w:tcPr>
          <w:p w14:paraId="32C9A54E" w14:textId="758459FA" w:rsidR="00C67087" w:rsidRPr="00B75117" w:rsidRDefault="00C67087" w:rsidP="00C67087">
            <w:pPr>
              <w:tabs>
                <w:tab w:val="left" w:pos="1985"/>
                <w:tab w:val="left" w:pos="2127"/>
              </w:tabs>
              <w:spacing w:before="120" w:after="120"/>
              <w:rPr>
                <w:rFonts w:ascii="Arial" w:hAnsi="Arial" w:cs="Arial"/>
              </w:rPr>
            </w:pPr>
            <w:r w:rsidRPr="00B75117">
              <w:rPr>
                <w:rFonts w:ascii="Arial" w:hAnsi="Arial" w:cs="Arial"/>
              </w:rPr>
              <w:t>Unit of Measure</w:t>
            </w:r>
          </w:p>
        </w:tc>
      </w:tr>
      <w:tr w:rsidR="00C67087" w:rsidRPr="00B75117" w14:paraId="137D6DAF" w14:textId="77777777" w:rsidTr="00581222">
        <w:tc>
          <w:tcPr>
            <w:tcW w:w="1418" w:type="dxa"/>
          </w:tcPr>
          <w:p w14:paraId="26B8F7F5" w14:textId="77777777" w:rsidR="00C67087" w:rsidRPr="00B75117" w:rsidRDefault="00C67087" w:rsidP="00C67087">
            <w:pPr>
              <w:tabs>
                <w:tab w:val="left" w:pos="1985"/>
                <w:tab w:val="left" w:pos="2127"/>
              </w:tabs>
              <w:spacing w:before="120" w:after="120"/>
              <w:rPr>
                <w:rFonts w:ascii="Arial" w:hAnsi="Arial" w:cs="Arial"/>
              </w:rPr>
            </w:pPr>
            <w:r w:rsidRPr="00B75117">
              <w:rPr>
                <w:rFonts w:ascii="Arial" w:hAnsi="Arial" w:cs="Arial"/>
              </w:rPr>
              <w:t>3a</w:t>
            </w:r>
          </w:p>
          <w:p w14:paraId="717500D4" w14:textId="6376D9F0" w:rsidR="00C67087" w:rsidRPr="00B75117" w:rsidRDefault="00C67087" w:rsidP="00581222">
            <w:pPr>
              <w:tabs>
                <w:tab w:val="left" w:pos="1985"/>
                <w:tab w:val="left" w:pos="2127"/>
              </w:tabs>
              <w:spacing w:before="120" w:after="120"/>
              <w:rPr>
                <w:rFonts w:ascii="Arial" w:hAnsi="Arial" w:cs="Arial"/>
              </w:rPr>
            </w:pPr>
            <w:r w:rsidRPr="00B75117">
              <w:rPr>
                <w:rFonts w:ascii="Arial" w:hAnsi="Arial" w:cs="Arial"/>
              </w:rPr>
              <w:t xml:space="preserve">Non- Hazardous </w:t>
            </w:r>
            <w:r w:rsidRPr="00B75117">
              <w:rPr>
                <w:rFonts w:ascii="Arial" w:hAnsi="Arial" w:cs="Arial"/>
              </w:rPr>
              <w:lastRenderedPageBreak/>
              <w:t>Clinical Waste</w:t>
            </w:r>
          </w:p>
        </w:tc>
        <w:tc>
          <w:tcPr>
            <w:tcW w:w="1571" w:type="dxa"/>
          </w:tcPr>
          <w:p w14:paraId="30ADB1BD" w14:textId="7CB07A08" w:rsidR="00C67087" w:rsidRPr="00B75117" w:rsidRDefault="00581222" w:rsidP="00C67087">
            <w:pPr>
              <w:tabs>
                <w:tab w:val="left" w:pos="1985"/>
                <w:tab w:val="left" w:pos="2127"/>
              </w:tabs>
              <w:spacing w:before="120" w:after="120"/>
              <w:rPr>
                <w:rFonts w:ascii="Arial" w:hAnsi="Arial" w:cs="Arial"/>
              </w:rPr>
            </w:pPr>
            <w:r w:rsidRPr="00B75117">
              <w:rPr>
                <w:rFonts w:ascii="Arial" w:hAnsi="Arial" w:cs="Arial"/>
              </w:rPr>
              <w:lastRenderedPageBreak/>
              <w:t>W1</w:t>
            </w:r>
          </w:p>
        </w:tc>
        <w:tc>
          <w:tcPr>
            <w:tcW w:w="1486" w:type="dxa"/>
          </w:tcPr>
          <w:p w14:paraId="128868B8" w14:textId="3C100726" w:rsidR="00C67087" w:rsidRPr="00B75117" w:rsidRDefault="00581222" w:rsidP="00C67087">
            <w:pPr>
              <w:tabs>
                <w:tab w:val="left" w:pos="1985"/>
                <w:tab w:val="left" w:pos="2127"/>
              </w:tabs>
              <w:spacing w:before="120" w:after="120"/>
              <w:rPr>
                <w:rFonts w:ascii="Arial" w:hAnsi="Arial" w:cs="Arial"/>
              </w:rPr>
            </w:pPr>
            <w:r w:rsidRPr="00B75117">
              <w:rPr>
                <w:rFonts w:ascii="Arial" w:hAnsi="Arial" w:cs="Arial"/>
              </w:rPr>
              <w:t>Non-Hazardous Clinical Waste</w:t>
            </w:r>
          </w:p>
        </w:tc>
        <w:tc>
          <w:tcPr>
            <w:tcW w:w="1278" w:type="dxa"/>
          </w:tcPr>
          <w:p w14:paraId="16261225" w14:textId="0B21D388" w:rsidR="00C67087" w:rsidRPr="00B75117" w:rsidRDefault="00581222" w:rsidP="00C67087">
            <w:pPr>
              <w:tabs>
                <w:tab w:val="left" w:pos="1985"/>
                <w:tab w:val="left" w:pos="2127"/>
              </w:tabs>
              <w:spacing w:before="120" w:after="120"/>
              <w:rPr>
                <w:rFonts w:ascii="Arial" w:hAnsi="Arial" w:cs="Arial"/>
              </w:rPr>
            </w:pPr>
            <w:r w:rsidRPr="00B75117">
              <w:rPr>
                <w:rFonts w:ascii="Arial" w:hAnsi="Arial" w:cs="Arial"/>
              </w:rPr>
              <w:t>Core</w:t>
            </w:r>
          </w:p>
        </w:tc>
        <w:tc>
          <w:tcPr>
            <w:tcW w:w="1283" w:type="dxa"/>
          </w:tcPr>
          <w:p w14:paraId="4D92CADD" w14:textId="4FFC3690" w:rsidR="00C67087" w:rsidRPr="00B75117" w:rsidRDefault="00581222" w:rsidP="00C67087">
            <w:pPr>
              <w:tabs>
                <w:tab w:val="left" w:pos="1985"/>
                <w:tab w:val="left" w:pos="2127"/>
              </w:tabs>
              <w:spacing w:before="120" w:after="120"/>
              <w:rPr>
                <w:rFonts w:ascii="Arial" w:hAnsi="Arial" w:cs="Arial"/>
              </w:rPr>
            </w:pPr>
            <w:r w:rsidRPr="00B75117">
              <w:rPr>
                <w:rFonts w:ascii="Arial" w:hAnsi="Arial" w:cs="Arial"/>
              </w:rPr>
              <w:t>Tonne</w:t>
            </w:r>
          </w:p>
        </w:tc>
      </w:tr>
      <w:tr w:rsidR="00581222" w:rsidRPr="00B75117" w14:paraId="29592794" w14:textId="77777777" w:rsidTr="00581222">
        <w:tc>
          <w:tcPr>
            <w:tcW w:w="1418" w:type="dxa"/>
          </w:tcPr>
          <w:p w14:paraId="5EC31F6D" w14:textId="77777777"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 xml:space="preserve">3b </w:t>
            </w:r>
          </w:p>
          <w:p w14:paraId="4DE58D8B" w14:textId="7E998B02"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Hazardous Clinical Waste</w:t>
            </w:r>
          </w:p>
        </w:tc>
        <w:tc>
          <w:tcPr>
            <w:tcW w:w="1571" w:type="dxa"/>
          </w:tcPr>
          <w:p w14:paraId="7A73E575" w14:textId="4333807C"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W2</w:t>
            </w:r>
          </w:p>
        </w:tc>
        <w:tc>
          <w:tcPr>
            <w:tcW w:w="1486" w:type="dxa"/>
          </w:tcPr>
          <w:p w14:paraId="113E2019" w14:textId="77777777"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Hazardous Clinical Waste</w:t>
            </w:r>
          </w:p>
          <w:p w14:paraId="4B36C326" w14:textId="77777777" w:rsidR="00581222" w:rsidRPr="00B75117" w:rsidRDefault="00581222" w:rsidP="00581222">
            <w:pPr>
              <w:tabs>
                <w:tab w:val="left" w:pos="1985"/>
                <w:tab w:val="left" w:pos="2127"/>
              </w:tabs>
              <w:spacing w:before="120" w:after="120"/>
              <w:rPr>
                <w:rFonts w:ascii="Arial" w:hAnsi="Arial" w:cs="Arial"/>
              </w:rPr>
            </w:pPr>
          </w:p>
        </w:tc>
        <w:tc>
          <w:tcPr>
            <w:tcW w:w="1278" w:type="dxa"/>
          </w:tcPr>
          <w:p w14:paraId="0EE95635" w14:textId="00A3743F"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Core</w:t>
            </w:r>
          </w:p>
        </w:tc>
        <w:tc>
          <w:tcPr>
            <w:tcW w:w="1283" w:type="dxa"/>
          </w:tcPr>
          <w:p w14:paraId="289CFB15" w14:textId="71B01B7C"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Tonne</w:t>
            </w:r>
          </w:p>
        </w:tc>
      </w:tr>
      <w:tr w:rsidR="00581222" w:rsidRPr="00B75117" w14:paraId="048F12FE" w14:textId="77777777" w:rsidTr="00581222">
        <w:tc>
          <w:tcPr>
            <w:tcW w:w="1418" w:type="dxa"/>
          </w:tcPr>
          <w:p w14:paraId="7D6D3B58" w14:textId="77777777"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3g</w:t>
            </w:r>
          </w:p>
          <w:p w14:paraId="6324AAE3" w14:textId="058B4183"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Total Waste Management</w:t>
            </w:r>
          </w:p>
        </w:tc>
        <w:tc>
          <w:tcPr>
            <w:tcW w:w="1571" w:type="dxa"/>
          </w:tcPr>
          <w:p w14:paraId="10BCAB65" w14:textId="4B00B18A"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W1</w:t>
            </w:r>
          </w:p>
        </w:tc>
        <w:tc>
          <w:tcPr>
            <w:tcW w:w="1486" w:type="dxa"/>
          </w:tcPr>
          <w:p w14:paraId="31080EDE" w14:textId="386620DA"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Non-Hazardous Clinical Waste</w:t>
            </w:r>
          </w:p>
        </w:tc>
        <w:tc>
          <w:tcPr>
            <w:tcW w:w="1278" w:type="dxa"/>
          </w:tcPr>
          <w:p w14:paraId="1D2F37F0" w14:textId="19AF4179"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Core</w:t>
            </w:r>
          </w:p>
        </w:tc>
        <w:tc>
          <w:tcPr>
            <w:tcW w:w="1283" w:type="dxa"/>
          </w:tcPr>
          <w:p w14:paraId="3781AB22" w14:textId="5F384B57"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Tonne</w:t>
            </w:r>
          </w:p>
        </w:tc>
      </w:tr>
      <w:tr w:rsidR="00581222" w:rsidRPr="00B75117" w14:paraId="342D03C1" w14:textId="77777777" w:rsidTr="00581222">
        <w:tc>
          <w:tcPr>
            <w:tcW w:w="1418" w:type="dxa"/>
          </w:tcPr>
          <w:p w14:paraId="00DA9A44" w14:textId="77777777"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3g</w:t>
            </w:r>
          </w:p>
          <w:p w14:paraId="5C500F2A" w14:textId="5D5CC23F"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Total Waste Management</w:t>
            </w:r>
          </w:p>
        </w:tc>
        <w:tc>
          <w:tcPr>
            <w:tcW w:w="1571" w:type="dxa"/>
          </w:tcPr>
          <w:p w14:paraId="06629328" w14:textId="65012D5F"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W2</w:t>
            </w:r>
          </w:p>
        </w:tc>
        <w:tc>
          <w:tcPr>
            <w:tcW w:w="1486" w:type="dxa"/>
          </w:tcPr>
          <w:p w14:paraId="7BE29E6E" w14:textId="77777777"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Hazardous Clinical Waste</w:t>
            </w:r>
          </w:p>
          <w:p w14:paraId="0EB4114B" w14:textId="77777777" w:rsidR="00581222" w:rsidRPr="00B75117" w:rsidRDefault="00581222" w:rsidP="00581222">
            <w:pPr>
              <w:tabs>
                <w:tab w:val="left" w:pos="1985"/>
                <w:tab w:val="left" w:pos="2127"/>
              </w:tabs>
              <w:spacing w:before="120" w:after="120"/>
              <w:rPr>
                <w:rFonts w:ascii="Arial" w:hAnsi="Arial" w:cs="Arial"/>
              </w:rPr>
            </w:pPr>
          </w:p>
        </w:tc>
        <w:tc>
          <w:tcPr>
            <w:tcW w:w="1278" w:type="dxa"/>
          </w:tcPr>
          <w:p w14:paraId="2D0820B8" w14:textId="736F755A"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Core</w:t>
            </w:r>
          </w:p>
        </w:tc>
        <w:tc>
          <w:tcPr>
            <w:tcW w:w="1283" w:type="dxa"/>
          </w:tcPr>
          <w:p w14:paraId="2BDC0EB5" w14:textId="36A79E83" w:rsidR="00581222" w:rsidRPr="00B75117" w:rsidRDefault="00581222" w:rsidP="00581222">
            <w:pPr>
              <w:tabs>
                <w:tab w:val="left" w:pos="1985"/>
                <w:tab w:val="left" w:pos="2127"/>
              </w:tabs>
              <w:spacing w:before="120" w:after="120"/>
              <w:rPr>
                <w:rFonts w:ascii="Arial" w:hAnsi="Arial" w:cs="Arial"/>
              </w:rPr>
            </w:pPr>
            <w:r w:rsidRPr="00B75117">
              <w:rPr>
                <w:rFonts w:ascii="Arial" w:hAnsi="Arial" w:cs="Arial"/>
              </w:rPr>
              <w:t>Tonne</w:t>
            </w:r>
          </w:p>
        </w:tc>
      </w:tr>
      <w:tr w:rsidR="00FB15B4" w:rsidRPr="00B75117" w14:paraId="320309B3" w14:textId="77777777" w:rsidTr="00581222">
        <w:tc>
          <w:tcPr>
            <w:tcW w:w="1418" w:type="dxa"/>
          </w:tcPr>
          <w:p w14:paraId="4D59746E" w14:textId="5151FE44" w:rsidR="00FB15B4" w:rsidRPr="00B75117" w:rsidRDefault="00FB15B4" w:rsidP="00581222">
            <w:pPr>
              <w:tabs>
                <w:tab w:val="left" w:pos="1985"/>
                <w:tab w:val="left" w:pos="2127"/>
              </w:tabs>
              <w:spacing w:before="120" w:after="120"/>
              <w:rPr>
                <w:rFonts w:ascii="Arial" w:hAnsi="Arial" w:cs="Arial"/>
              </w:rPr>
            </w:pPr>
            <w:r w:rsidRPr="00B75117">
              <w:rPr>
                <w:rFonts w:ascii="Arial" w:hAnsi="Arial" w:cs="Arial"/>
              </w:rPr>
              <w:t>Lot 5</w:t>
            </w:r>
          </w:p>
        </w:tc>
        <w:tc>
          <w:tcPr>
            <w:tcW w:w="1571" w:type="dxa"/>
          </w:tcPr>
          <w:p w14:paraId="7BD48170" w14:textId="0445B9C4" w:rsidR="00FB15B4" w:rsidRPr="00B75117" w:rsidRDefault="00FB15B4" w:rsidP="00581222">
            <w:pPr>
              <w:tabs>
                <w:tab w:val="left" w:pos="1985"/>
                <w:tab w:val="left" w:pos="2127"/>
              </w:tabs>
              <w:spacing w:before="120" w:after="120"/>
              <w:rPr>
                <w:rFonts w:ascii="Arial" w:hAnsi="Arial" w:cs="Arial"/>
              </w:rPr>
            </w:pPr>
            <w:r w:rsidRPr="00B75117">
              <w:rPr>
                <w:rFonts w:ascii="Arial" w:hAnsi="Arial" w:cs="Arial"/>
              </w:rPr>
              <w:t xml:space="preserve">Work Package 3 </w:t>
            </w:r>
          </w:p>
        </w:tc>
        <w:tc>
          <w:tcPr>
            <w:tcW w:w="1486" w:type="dxa"/>
          </w:tcPr>
          <w:p w14:paraId="5978B1FB" w14:textId="77777777" w:rsidR="00FB15B4" w:rsidRPr="00B75117" w:rsidRDefault="00FB15B4" w:rsidP="00FB15B4">
            <w:pPr>
              <w:tabs>
                <w:tab w:val="left" w:pos="1985"/>
                <w:tab w:val="left" w:pos="2127"/>
              </w:tabs>
              <w:spacing w:before="120" w:after="120"/>
              <w:rPr>
                <w:rFonts w:ascii="Arial" w:hAnsi="Arial" w:cs="Arial"/>
              </w:rPr>
            </w:pPr>
            <w:r w:rsidRPr="00B75117">
              <w:rPr>
                <w:rFonts w:ascii="Arial" w:hAnsi="Arial" w:cs="Arial"/>
              </w:rPr>
              <w:t>Service W1 - Non-Hazardous Clinical Waste</w:t>
            </w:r>
          </w:p>
          <w:p w14:paraId="2276B1F5" w14:textId="0650DAE1" w:rsidR="00FB15B4" w:rsidRPr="00B75117" w:rsidRDefault="00FB15B4" w:rsidP="00FB15B4">
            <w:pPr>
              <w:tabs>
                <w:tab w:val="left" w:pos="1985"/>
                <w:tab w:val="left" w:pos="2127"/>
              </w:tabs>
              <w:spacing w:before="120" w:after="120"/>
              <w:rPr>
                <w:rFonts w:ascii="Arial" w:hAnsi="Arial" w:cs="Arial"/>
              </w:rPr>
            </w:pPr>
            <w:r w:rsidRPr="00B75117">
              <w:rPr>
                <w:rFonts w:ascii="Arial" w:hAnsi="Arial" w:cs="Arial"/>
              </w:rPr>
              <w:t>Service W2 - Hazardous Clinical Waste, including Radioactive Waste</w:t>
            </w:r>
          </w:p>
        </w:tc>
        <w:tc>
          <w:tcPr>
            <w:tcW w:w="1278" w:type="dxa"/>
          </w:tcPr>
          <w:p w14:paraId="3E95B8AE" w14:textId="78D56813" w:rsidR="00FB15B4" w:rsidRPr="00B75117" w:rsidRDefault="00E16CCE" w:rsidP="00581222">
            <w:pPr>
              <w:tabs>
                <w:tab w:val="left" w:pos="1985"/>
                <w:tab w:val="left" w:pos="2127"/>
              </w:tabs>
              <w:spacing w:before="120" w:after="120"/>
              <w:rPr>
                <w:rFonts w:ascii="Arial" w:hAnsi="Arial" w:cs="Arial"/>
              </w:rPr>
            </w:pPr>
            <w:r w:rsidRPr="00B75117">
              <w:rPr>
                <w:rFonts w:ascii="Arial" w:hAnsi="Arial" w:cs="Arial"/>
              </w:rPr>
              <w:t>Core</w:t>
            </w:r>
          </w:p>
        </w:tc>
        <w:tc>
          <w:tcPr>
            <w:tcW w:w="1283" w:type="dxa"/>
          </w:tcPr>
          <w:p w14:paraId="10DAB94A" w14:textId="7E7577EF" w:rsidR="00FB15B4" w:rsidRPr="00B75117" w:rsidRDefault="00E16CCE" w:rsidP="00581222">
            <w:pPr>
              <w:tabs>
                <w:tab w:val="left" w:pos="1985"/>
                <w:tab w:val="left" w:pos="2127"/>
              </w:tabs>
              <w:spacing w:before="120" w:after="120"/>
              <w:rPr>
                <w:rFonts w:ascii="Arial" w:hAnsi="Arial" w:cs="Arial"/>
              </w:rPr>
            </w:pPr>
            <w:r w:rsidRPr="00B75117">
              <w:rPr>
                <w:rFonts w:ascii="Arial" w:hAnsi="Arial" w:cs="Arial"/>
              </w:rPr>
              <w:t>Tonne</w:t>
            </w:r>
          </w:p>
        </w:tc>
      </w:tr>
    </w:tbl>
    <w:p w14:paraId="351208F9" w14:textId="77777777" w:rsidR="00C67087" w:rsidRPr="00B75117" w:rsidRDefault="00C67087" w:rsidP="00C67087">
      <w:pPr>
        <w:pBdr>
          <w:top w:val="nil"/>
          <w:left w:val="nil"/>
          <w:bottom w:val="nil"/>
          <w:right w:val="nil"/>
          <w:between w:val="nil"/>
        </w:pBdr>
        <w:tabs>
          <w:tab w:val="left" w:pos="1985"/>
          <w:tab w:val="left" w:pos="2127"/>
        </w:tabs>
        <w:spacing w:before="120" w:after="120" w:line="240" w:lineRule="auto"/>
        <w:ind w:left="1980"/>
        <w:rPr>
          <w:rFonts w:ascii="Arial" w:hAnsi="Arial" w:cs="Arial"/>
        </w:rPr>
      </w:pPr>
    </w:p>
    <w:p w14:paraId="00000050" w14:textId="1ECA6C50" w:rsidR="00335955" w:rsidRPr="00B75117" w:rsidRDefault="00515352">
      <w:pPr>
        <w:numPr>
          <w:ilvl w:val="1"/>
          <w:numId w:val="2"/>
        </w:numPr>
        <w:pBdr>
          <w:top w:val="nil"/>
          <w:left w:val="nil"/>
          <w:bottom w:val="nil"/>
          <w:right w:val="nil"/>
          <w:between w:val="nil"/>
        </w:pBdr>
        <w:tabs>
          <w:tab w:val="left" w:pos="1985"/>
          <w:tab w:val="left" w:pos="2127"/>
        </w:tabs>
        <w:spacing w:before="120" w:after="120" w:line="240" w:lineRule="auto"/>
        <w:ind w:left="1134" w:hanging="425"/>
        <w:rPr>
          <w:rFonts w:ascii="Arial" w:hAnsi="Arial" w:cs="Arial"/>
        </w:rPr>
      </w:pPr>
      <w:r w:rsidRPr="00B75117">
        <w:rPr>
          <w:rFonts w:ascii="Arial" w:eastAsia="Arial" w:hAnsi="Arial" w:cs="Arial"/>
          <w:color w:val="000000"/>
        </w:rPr>
        <w:t xml:space="preserve">Framework Prices are permitted to exceed Standard Service </w:t>
      </w:r>
      <w:r w:rsidRPr="00B75117">
        <w:rPr>
          <w:rFonts w:ascii="Arial" w:eastAsia="Arial" w:hAnsi="Arial" w:cs="Arial"/>
        </w:rPr>
        <w:t>p</w:t>
      </w:r>
      <w:r w:rsidRPr="00B75117">
        <w:rPr>
          <w:rFonts w:ascii="Arial" w:eastAsia="Arial" w:hAnsi="Arial" w:cs="Arial"/>
          <w:color w:val="000000"/>
        </w:rPr>
        <w:t xml:space="preserve">ricing for non-standard requirements and/or at the discretion of the Buyer, however the pricing variables detailed in </w:t>
      </w:r>
      <w:r w:rsidRPr="00B75117">
        <w:rPr>
          <w:rFonts w:ascii="Arial" w:eastAsia="Arial" w:hAnsi="Arial" w:cs="Arial"/>
        </w:rPr>
        <w:t>2.1.1.2</w:t>
      </w:r>
      <w:r w:rsidRPr="00B75117">
        <w:rPr>
          <w:rFonts w:ascii="Arial" w:eastAsia="Arial" w:hAnsi="Arial" w:cs="Arial"/>
          <w:color w:val="000000"/>
        </w:rPr>
        <w:t xml:space="preserve"> to 2.1.1.</w:t>
      </w:r>
      <w:r w:rsidRPr="00B75117">
        <w:rPr>
          <w:rFonts w:ascii="Arial" w:eastAsia="Arial" w:hAnsi="Arial" w:cs="Arial"/>
        </w:rPr>
        <w:t>9</w:t>
      </w:r>
      <w:r w:rsidRPr="00B75117">
        <w:rPr>
          <w:rFonts w:ascii="Arial" w:eastAsia="Arial" w:hAnsi="Arial" w:cs="Arial"/>
          <w:color w:val="000000"/>
        </w:rPr>
        <w:t xml:space="preserve"> will remain as maximum percentages.</w:t>
      </w:r>
    </w:p>
    <w:p w14:paraId="00000051"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r w:rsidRPr="00B75117">
        <w:rPr>
          <w:rFonts w:ascii="Arial" w:eastAsia="Arial" w:hAnsi="Arial" w:cs="Arial"/>
          <w:color w:val="000000"/>
        </w:rPr>
        <w:t>The Charges:</w:t>
      </w:r>
    </w:p>
    <w:p w14:paraId="00000052" w14:textId="77777777" w:rsidR="00335955" w:rsidRPr="00B75117" w:rsidRDefault="00515352">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eastAsia="Arial" w:hAnsi="Arial" w:cs="Arial"/>
          <w:color w:val="000000"/>
        </w:rPr>
        <w:t xml:space="preserve">shall be calculated in accordance with the terms of the Call-Off Contract and in particular in accordance with the terms of the Order Form; </w:t>
      </w:r>
    </w:p>
    <w:p w14:paraId="00000053" w14:textId="77777777" w:rsidR="00335955" w:rsidRPr="00B75117" w:rsidRDefault="00515352">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eastAsia="Arial" w:hAnsi="Arial" w:cs="Arial"/>
          <w:color w:val="000000"/>
        </w:rPr>
        <w:t>cannot be increased except as specifically permitted by the Call-Off Contract and in particular shall only be subject to Indexation where specifically stated in the Order Form; and</w:t>
      </w:r>
    </w:p>
    <w:p w14:paraId="00000054" w14:textId="77777777" w:rsidR="00335955" w:rsidRPr="00B75117" w:rsidRDefault="00515352">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eastAsia="Arial" w:hAnsi="Arial" w:cs="Arial"/>
          <w:color w:val="000000"/>
        </w:rPr>
        <w:t>shall not be impacted by any change to the Framework Prices.</w:t>
      </w:r>
    </w:p>
    <w:p w14:paraId="00000055"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bookmarkStart w:id="55" w:name="_heading=h.1fob9te" w:colFirst="0" w:colLast="0"/>
      <w:bookmarkEnd w:id="55"/>
      <w:r w:rsidRPr="00B75117">
        <w:rPr>
          <w:rFonts w:ascii="Arial" w:eastAsia="Arial" w:hAnsi="Arial" w:cs="Arial"/>
          <w:color w:val="000000"/>
        </w:rPr>
        <w:t>Any variation to the Charges payable under a Call-Off Contract should be agreed between the Supplier and the Buyer and implemented using the same procedure for altering Framework Prices in accordance with the provisions of this Framework Schedule 3.</w:t>
      </w:r>
    </w:p>
    <w:p w14:paraId="00000056" w14:textId="77777777" w:rsidR="00335955" w:rsidRPr="00B75117" w:rsidRDefault="00515352">
      <w:pPr>
        <w:numPr>
          <w:ilvl w:val="0"/>
          <w:numId w:val="2"/>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color w:val="000000"/>
        </w:rPr>
        <w:t>How Framework Prices are calculated</w:t>
      </w:r>
    </w:p>
    <w:p w14:paraId="00000057"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bookmarkStart w:id="56" w:name="_heading=h.3znysh7" w:colFirst="0" w:colLast="0"/>
      <w:bookmarkEnd w:id="56"/>
      <w:r w:rsidRPr="00B75117">
        <w:rPr>
          <w:rFonts w:ascii="Arial" w:eastAsia="Arial" w:hAnsi="Arial" w:cs="Arial"/>
          <w:color w:val="000000"/>
        </w:rPr>
        <w:lastRenderedPageBreak/>
        <w:t>The pricing mechanisms and prices set out in Annex 1 shall be available for use in calculation of Charges in Call-Off Contracts.</w:t>
      </w:r>
    </w:p>
    <w:p w14:paraId="00000058" w14:textId="77777777" w:rsidR="00335955" w:rsidRPr="00B75117" w:rsidRDefault="00515352">
      <w:pPr>
        <w:numPr>
          <w:ilvl w:val="0"/>
          <w:numId w:val="2"/>
        </w:numPr>
        <w:pBdr>
          <w:top w:val="nil"/>
          <w:left w:val="nil"/>
          <w:bottom w:val="nil"/>
          <w:right w:val="nil"/>
          <w:between w:val="nil"/>
        </w:pBdr>
        <w:tabs>
          <w:tab w:val="left" w:pos="142"/>
        </w:tabs>
        <w:spacing w:before="120" w:after="240" w:line="240" w:lineRule="auto"/>
        <w:jc w:val="both"/>
        <w:rPr>
          <w:rFonts w:ascii="Arial" w:hAnsi="Arial" w:cs="Arial"/>
        </w:rPr>
      </w:pPr>
      <w:bookmarkStart w:id="57" w:name="_heading=h.2et92p0" w:colFirst="0" w:colLast="0"/>
      <w:bookmarkEnd w:id="57"/>
      <w:r w:rsidRPr="00B75117">
        <w:rPr>
          <w:rFonts w:ascii="Arial" w:eastAsia="Arial" w:hAnsi="Arial" w:cs="Arial"/>
          <w:b/>
        </w:rPr>
        <w:t>Other events that allow the Supplier to change the Framework Prices</w:t>
      </w:r>
    </w:p>
    <w:p w14:paraId="00000059"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r w:rsidRPr="00B75117">
        <w:rPr>
          <w:rFonts w:ascii="Arial" w:eastAsia="Arial" w:hAnsi="Arial" w:cs="Arial"/>
        </w:rPr>
        <w:t>4.1</w:t>
      </w:r>
      <w:r w:rsidRPr="00B75117">
        <w:rPr>
          <w:rFonts w:ascii="Arial" w:eastAsia="Arial" w:hAnsi="Arial" w:cs="Arial"/>
        </w:rPr>
        <w:tab/>
        <w:t>The Framework Prices can also be varied due to:</w:t>
      </w:r>
    </w:p>
    <w:p w14:paraId="0000005A"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r w:rsidRPr="00B75117">
        <w:rPr>
          <w:rFonts w:ascii="Arial" w:eastAsia="Arial" w:hAnsi="Arial" w:cs="Arial"/>
        </w:rPr>
        <w:t>4.1.1</w:t>
      </w:r>
      <w:r w:rsidRPr="00B75117">
        <w:rPr>
          <w:rFonts w:ascii="Arial" w:eastAsia="Arial" w:hAnsi="Arial" w:cs="Arial"/>
        </w:rPr>
        <w:tab/>
        <w:t>a Specific Change in Law in accordance with Clause 24 of the Core Terms;</w:t>
      </w:r>
    </w:p>
    <w:p w14:paraId="0000005B"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r w:rsidRPr="00B75117">
        <w:rPr>
          <w:rFonts w:ascii="Arial" w:eastAsia="Arial" w:hAnsi="Arial" w:cs="Arial"/>
        </w:rPr>
        <w:t>4.1.2</w:t>
      </w:r>
      <w:r w:rsidRPr="00B75117">
        <w:rPr>
          <w:rFonts w:ascii="Arial" w:eastAsia="Arial" w:hAnsi="Arial" w:cs="Arial"/>
        </w:rPr>
        <w:tab/>
        <w:t>a review in accordance with insurance requirements in Clause 13 of the Core Terms; and</w:t>
      </w:r>
    </w:p>
    <w:p w14:paraId="0000005C"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hAnsi="Arial" w:cs="Arial"/>
        </w:rPr>
      </w:pPr>
      <w:r w:rsidRPr="00B75117">
        <w:rPr>
          <w:rFonts w:ascii="Arial" w:eastAsia="Arial" w:hAnsi="Arial" w:cs="Arial"/>
        </w:rPr>
        <w:t>4.1.3</w:t>
      </w:r>
      <w:r w:rsidRPr="00B75117">
        <w:rPr>
          <w:rFonts w:ascii="Arial" w:eastAsia="Arial" w:hAnsi="Arial" w:cs="Arial"/>
        </w:rPr>
        <w:tab/>
        <w:t>a request from the Supplier, which it can make at any time, to decrease the Framework Prices.</w:t>
      </w:r>
    </w:p>
    <w:p w14:paraId="0000005D" w14:textId="77777777" w:rsidR="00335955" w:rsidRPr="00B75117" w:rsidRDefault="00515352">
      <w:pPr>
        <w:numPr>
          <w:ilvl w:val="0"/>
          <w:numId w:val="2"/>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color w:val="000000"/>
        </w:rPr>
        <w:t>When the Supplier can ask to change the Framework Prices</w:t>
      </w:r>
    </w:p>
    <w:p w14:paraId="0000005E"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r w:rsidRPr="00B75117">
        <w:rPr>
          <w:rFonts w:ascii="Arial" w:eastAsia="Arial" w:hAnsi="Arial" w:cs="Arial"/>
          <w:color w:val="000000"/>
        </w:rPr>
        <w:t xml:space="preserve">The Framework Prices will be fixed for </w:t>
      </w:r>
      <w:r w:rsidRPr="00B75117">
        <w:rPr>
          <w:rFonts w:ascii="Arial" w:eastAsia="Arial" w:hAnsi="Arial" w:cs="Arial"/>
        </w:rPr>
        <w:t xml:space="preserve"> 1 (one) year follo</w:t>
      </w:r>
      <w:r w:rsidRPr="00B75117">
        <w:rPr>
          <w:rFonts w:ascii="Arial" w:eastAsia="Arial" w:hAnsi="Arial" w:cs="Arial"/>
          <w:color w:val="000000"/>
        </w:rPr>
        <w:t xml:space="preserve">wing the </w:t>
      </w:r>
      <w:r w:rsidRPr="00B75117">
        <w:rPr>
          <w:rFonts w:ascii="Arial" w:eastAsia="Arial" w:hAnsi="Arial" w:cs="Arial"/>
        </w:rPr>
        <w:t xml:space="preserve">Framework </w:t>
      </w:r>
      <w:r w:rsidRPr="00B75117">
        <w:rPr>
          <w:rFonts w:ascii="Arial" w:eastAsia="Arial" w:hAnsi="Arial" w:cs="Arial"/>
          <w:color w:val="000000"/>
        </w:rPr>
        <w:t>Start Date (the date of expiry of such period is a "</w:t>
      </w:r>
      <w:r w:rsidRPr="00B75117">
        <w:rPr>
          <w:rFonts w:ascii="Arial" w:eastAsia="Arial" w:hAnsi="Arial" w:cs="Arial"/>
          <w:b/>
          <w:color w:val="000000"/>
        </w:rPr>
        <w:t>Review Date</w:t>
      </w:r>
      <w:r w:rsidRPr="00B75117">
        <w:rPr>
          <w:rFonts w:ascii="Arial" w:eastAsia="Arial" w:hAnsi="Arial" w:cs="Arial"/>
          <w:color w:val="000000"/>
        </w:rPr>
        <w:t>").  After this Framework Prices can only be adjusted on each following yearly anniversary (the date of each such anniversary is also a "</w:t>
      </w:r>
      <w:r w:rsidRPr="00B75117">
        <w:rPr>
          <w:rFonts w:ascii="Arial" w:eastAsia="Arial" w:hAnsi="Arial" w:cs="Arial"/>
          <w:b/>
          <w:color w:val="000000"/>
        </w:rPr>
        <w:t>Review Date</w:t>
      </w:r>
      <w:r w:rsidRPr="00B75117">
        <w:rPr>
          <w:rFonts w:ascii="Arial" w:eastAsia="Arial" w:hAnsi="Arial" w:cs="Arial"/>
          <w:color w:val="000000"/>
        </w:rPr>
        <w:t>").</w:t>
      </w:r>
    </w:p>
    <w:p w14:paraId="0000005F"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r w:rsidRPr="00B75117">
        <w:rPr>
          <w:rFonts w:ascii="Arial" w:eastAsia="Arial" w:hAnsi="Arial" w:cs="Arial"/>
          <w:color w:val="000000"/>
        </w:rPr>
        <w:t>The Supplier shall give CCS at least three (3) Months' notice in writing prior to a Review Date where it wants to request an increase.  If the Supplier does not give notice in time then it will only be able to request an increase prior to the next Review Date.</w:t>
      </w:r>
    </w:p>
    <w:p w14:paraId="00000060"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r w:rsidRPr="00B75117">
        <w:rPr>
          <w:rFonts w:ascii="Arial" w:eastAsia="Arial" w:hAnsi="Arial" w:cs="Arial"/>
          <w:color w:val="000000"/>
        </w:rPr>
        <w:t>Any notice requesting an increase</w:t>
      </w:r>
      <w:r w:rsidRPr="00B75117">
        <w:rPr>
          <w:rFonts w:ascii="Arial" w:hAnsi="Arial" w:cs="Arial"/>
        </w:rPr>
        <w:t xml:space="preserve"> </w:t>
      </w:r>
      <w:r w:rsidRPr="00B75117">
        <w:rPr>
          <w:rFonts w:ascii="Arial" w:eastAsia="Arial" w:hAnsi="Arial" w:cs="Arial"/>
          <w:color w:val="000000"/>
        </w:rPr>
        <w:t>shall include:</w:t>
      </w:r>
    </w:p>
    <w:p w14:paraId="00000061" w14:textId="77777777" w:rsidR="00335955" w:rsidRPr="00B75117" w:rsidRDefault="00515352">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eastAsia="Arial" w:hAnsi="Arial" w:cs="Arial"/>
          <w:color w:val="000000"/>
        </w:rPr>
        <w:t>a list of the Framework Prices to be reviewed;</w:t>
      </w:r>
    </w:p>
    <w:p w14:paraId="00000062" w14:textId="77777777" w:rsidR="00335955" w:rsidRPr="00B75117" w:rsidRDefault="00515352">
      <w:pPr>
        <w:numPr>
          <w:ilvl w:val="2"/>
          <w:numId w:val="2"/>
        </w:numPr>
        <w:pBdr>
          <w:top w:val="nil"/>
          <w:left w:val="nil"/>
          <w:bottom w:val="nil"/>
          <w:right w:val="nil"/>
          <w:between w:val="nil"/>
        </w:pBdr>
        <w:tabs>
          <w:tab w:val="left" w:pos="1985"/>
          <w:tab w:val="left" w:pos="2127"/>
        </w:tabs>
        <w:spacing w:before="120" w:after="120" w:line="240" w:lineRule="auto"/>
        <w:ind w:left="1980" w:hanging="810"/>
        <w:rPr>
          <w:rFonts w:ascii="Arial" w:hAnsi="Arial" w:cs="Arial"/>
        </w:rPr>
      </w:pPr>
      <w:r w:rsidRPr="00B75117">
        <w:rPr>
          <w:rFonts w:ascii="Arial" w:eastAsia="Arial" w:hAnsi="Arial" w:cs="Arial"/>
          <w:color w:val="000000"/>
        </w:rPr>
        <w:t>for each Framework Price under review, written evidence of the justification for the requested increase including:</w:t>
      </w:r>
    </w:p>
    <w:p w14:paraId="00000063" w14:textId="77777777" w:rsidR="00335955" w:rsidRPr="00B75117" w:rsidRDefault="00515352">
      <w:pPr>
        <w:numPr>
          <w:ilvl w:val="3"/>
          <w:numId w:val="2"/>
        </w:numPr>
        <w:pBdr>
          <w:top w:val="nil"/>
          <w:left w:val="nil"/>
          <w:bottom w:val="nil"/>
          <w:right w:val="nil"/>
          <w:between w:val="nil"/>
        </w:pBd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color w:val="000000"/>
        </w:rPr>
        <w:t xml:space="preserve">a breakdown of the cost components that comprise the relevant Framework Price; </w:t>
      </w:r>
    </w:p>
    <w:p w14:paraId="00000064" w14:textId="77777777" w:rsidR="00335955" w:rsidRPr="00B75117" w:rsidRDefault="00515352">
      <w:pPr>
        <w:numPr>
          <w:ilvl w:val="3"/>
          <w:numId w:val="2"/>
        </w:numPr>
        <w:pBdr>
          <w:top w:val="nil"/>
          <w:left w:val="nil"/>
          <w:bottom w:val="nil"/>
          <w:right w:val="nil"/>
          <w:between w:val="nil"/>
        </w:pBd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details of the movement in the different identified cost components of the relevant Framework Price;</w:t>
      </w:r>
    </w:p>
    <w:p w14:paraId="00000065" w14:textId="77777777" w:rsidR="00335955" w:rsidRPr="00B75117" w:rsidRDefault="00515352">
      <w:pPr>
        <w:numPr>
          <w:ilvl w:val="3"/>
          <w:numId w:val="2"/>
        </w:numPr>
        <w:pBdr>
          <w:top w:val="nil"/>
          <w:left w:val="nil"/>
          <w:bottom w:val="nil"/>
          <w:right w:val="nil"/>
          <w:between w:val="nil"/>
        </w:pBd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reasons for the movement in the different identified cost components of the relevant Framework Price;</w:t>
      </w:r>
    </w:p>
    <w:p w14:paraId="00000066" w14:textId="77777777" w:rsidR="00335955" w:rsidRPr="00B75117" w:rsidRDefault="00515352">
      <w:pPr>
        <w:numPr>
          <w:ilvl w:val="3"/>
          <w:numId w:val="2"/>
        </w:numPr>
        <w:pBdr>
          <w:top w:val="nil"/>
          <w:left w:val="nil"/>
          <w:bottom w:val="nil"/>
          <w:right w:val="nil"/>
          <w:between w:val="nil"/>
        </w:pBd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evidence that the Supplier has attempted to mitigate against the increase in the relevant cost components; and</w:t>
      </w:r>
    </w:p>
    <w:p w14:paraId="00000067" w14:textId="77777777" w:rsidR="00335955" w:rsidRPr="00B75117" w:rsidRDefault="00515352">
      <w:pPr>
        <w:numPr>
          <w:ilvl w:val="3"/>
          <w:numId w:val="2"/>
        </w:numPr>
        <w:pBdr>
          <w:top w:val="nil"/>
          <w:left w:val="nil"/>
          <w:bottom w:val="nil"/>
          <w:right w:val="nil"/>
          <w:between w:val="nil"/>
        </w:pBd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evidence that the Supplier’s profit component of the relevant Framework Price is no greater than that applying to Framework Prices using the same pricing mechanism as at the Start Date.</w:t>
      </w:r>
    </w:p>
    <w:p w14:paraId="00000068" w14:textId="77777777" w:rsidR="00335955" w:rsidRPr="00B75117" w:rsidRDefault="00515352">
      <w:pPr>
        <w:numPr>
          <w:ilvl w:val="1"/>
          <w:numId w:val="2"/>
        </w:numPr>
        <w:pBdr>
          <w:top w:val="nil"/>
          <w:left w:val="nil"/>
          <w:bottom w:val="nil"/>
          <w:right w:val="nil"/>
          <w:between w:val="nil"/>
        </w:pBdr>
        <w:tabs>
          <w:tab w:val="left" w:pos="709"/>
        </w:tabs>
        <w:spacing w:before="120" w:after="120" w:line="240" w:lineRule="auto"/>
        <w:ind w:left="1134" w:hanging="504"/>
        <w:rPr>
          <w:rFonts w:ascii="Arial" w:hAnsi="Arial" w:cs="Arial"/>
        </w:rPr>
      </w:pPr>
      <w:r w:rsidRPr="00B75117">
        <w:rPr>
          <w:rFonts w:ascii="Arial" w:eastAsia="Arial" w:hAnsi="Arial" w:cs="Arial"/>
        </w:rPr>
        <w:t>CCS shall consider each request for a price increase.  CCS may grant Approval to an increase at its sole discretion.</w:t>
      </w:r>
    </w:p>
    <w:p w14:paraId="00000069" w14:textId="77777777" w:rsidR="00335955" w:rsidRPr="00B75117" w:rsidRDefault="00335955">
      <w:pPr>
        <w:pBdr>
          <w:top w:val="nil"/>
          <w:left w:val="nil"/>
          <w:bottom w:val="nil"/>
          <w:right w:val="nil"/>
          <w:between w:val="nil"/>
        </w:pBdr>
        <w:tabs>
          <w:tab w:val="left" w:pos="709"/>
        </w:tabs>
        <w:spacing w:before="120" w:after="120" w:line="240" w:lineRule="auto"/>
        <w:ind w:left="1134"/>
        <w:rPr>
          <w:rFonts w:ascii="Arial" w:eastAsia="Arial" w:hAnsi="Arial" w:cs="Arial"/>
        </w:rPr>
      </w:pPr>
    </w:p>
    <w:p w14:paraId="0000006A" w14:textId="77777777" w:rsidR="00335955" w:rsidRPr="00B75117" w:rsidRDefault="00335955">
      <w:pPr>
        <w:pBdr>
          <w:top w:val="nil"/>
          <w:left w:val="nil"/>
          <w:bottom w:val="nil"/>
          <w:right w:val="nil"/>
          <w:between w:val="nil"/>
        </w:pBdr>
        <w:tabs>
          <w:tab w:val="left" w:pos="709"/>
        </w:tabs>
        <w:spacing w:before="120" w:after="120" w:line="240" w:lineRule="auto"/>
        <w:rPr>
          <w:rFonts w:ascii="Arial" w:eastAsia="Arial" w:hAnsi="Arial" w:cs="Arial"/>
        </w:rPr>
      </w:pPr>
    </w:p>
    <w:p w14:paraId="0000006B" w14:textId="77777777" w:rsidR="00335955" w:rsidRPr="00B75117" w:rsidRDefault="00515352">
      <w:pPr>
        <w:numPr>
          <w:ilvl w:val="0"/>
          <w:numId w:val="2"/>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rPr>
        <w:t>Framework Prices and inflation</w:t>
      </w:r>
      <w:r w:rsidRPr="00B75117">
        <w:rPr>
          <w:rFonts w:ascii="Arial" w:eastAsia="Arial" w:hAnsi="Arial" w:cs="Arial"/>
        </w:rPr>
        <w:t xml:space="preserve"> </w:t>
      </w:r>
    </w:p>
    <w:p w14:paraId="0000006C"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r w:rsidRPr="00B75117">
        <w:rPr>
          <w:rFonts w:ascii="Arial" w:eastAsia="Arial" w:hAnsi="Arial" w:cs="Arial"/>
        </w:rPr>
        <w:lastRenderedPageBreak/>
        <w:t>6.1</w:t>
      </w:r>
      <w:r w:rsidRPr="00B75117">
        <w:rPr>
          <w:rFonts w:ascii="Arial" w:eastAsia="Arial" w:hAnsi="Arial" w:cs="Arial"/>
        </w:rPr>
        <w:tab/>
        <w:t xml:space="preserve">Where a Framework Price review is based on inflationary pressures Suppliers can ask to change the Framework Prices following procedures outlined in paragraph 5 above.   </w:t>
      </w:r>
    </w:p>
    <w:p w14:paraId="0000006D"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r w:rsidRPr="00B75117">
        <w:rPr>
          <w:rFonts w:ascii="Arial" w:eastAsia="Arial" w:hAnsi="Arial" w:cs="Arial"/>
        </w:rPr>
        <w:t>6.2</w:t>
      </w:r>
      <w:r w:rsidRPr="00B75117">
        <w:rPr>
          <w:rFonts w:ascii="Arial" w:eastAsia="Arial" w:hAnsi="Arial" w:cs="Arial"/>
        </w:rPr>
        <w:tab/>
        <w:t xml:space="preserve">Inflation based requests will be considered and capped using the CPI.  </w:t>
      </w:r>
    </w:p>
    <w:p w14:paraId="0000006E" w14:textId="77777777" w:rsidR="00335955" w:rsidRPr="00B75117" w:rsidRDefault="00515352">
      <w:pPr>
        <w:pBdr>
          <w:top w:val="nil"/>
          <w:left w:val="nil"/>
          <w:bottom w:val="nil"/>
          <w:right w:val="nil"/>
          <w:between w:val="nil"/>
        </w:pBdr>
        <w:tabs>
          <w:tab w:val="left" w:pos="709"/>
        </w:tabs>
        <w:spacing w:before="120" w:after="240" w:line="240" w:lineRule="auto"/>
        <w:ind w:left="360"/>
        <w:jc w:val="both"/>
        <w:rPr>
          <w:rFonts w:ascii="Arial" w:eastAsia="Arial" w:hAnsi="Arial" w:cs="Arial"/>
        </w:rPr>
      </w:pPr>
      <w:r w:rsidRPr="00B75117">
        <w:rPr>
          <w:rFonts w:ascii="Arial" w:eastAsia="Arial" w:hAnsi="Arial" w:cs="Arial"/>
        </w:rPr>
        <w:t>6.3  If the CPI has not been published for the relevant month as required for this calculation then the last published value of the index available at the Review Date shall be used.</w:t>
      </w:r>
    </w:p>
    <w:p w14:paraId="0000006F" w14:textId="77777777" w:rsidR="00335955" w:rsidRPr="00B75117" w:rsidRDefault="00515352">
      <w:pPr>
        <w:pBdr>
          <w:top w:val="nil"/>
          <w:left w:val="nil"/>
          <w:bottom w:val="nil"/>
          <w:right w:val="nil"/>
          <w:between w:val="nil"/>
        </w:pBdr>
        <w:tabs>
          <w:tab w:val="left" w:pos="709"/>
        </w:tabs>
        <w:spacing w:before="120" w:after="240" w:line="240" w:lineRule="auto"/>
        <w:ind w:left="360"/>
        <w:jc w:val="both"/>
        <w:rPr>
          <w:rFonts w:ascii="Arial" w:eastAsia="Arial" w:hAnsi="Arial" w:cs="Arial"/>
        </w:rPr>
      </w:pPr>
      <w:r w:rsidRPr="00B75117">
        <w:rPr>
          <w:rFonts w:ascii="Arial" w:eastAsia="Arial" w:hAnsi="Arial" w:cs="Arial"/>
        </w:rPr>
        <w:t>6.4  In the event that any changes occur to the basis of the CPI, or it is no longer published, CCS and the Supplier shall agree a fair and reasonable adjustment to that index or, if appropriate, shall agree a revised formula that in either event will have substantially the same effect as that specified in this Part B.</w:t>
      </w:r>
    </w:p>
    <w:p w14:paraId="00000070" w14:textId="77777777" w:rsidR="00335955" w:rsidRPr="00B75117" w:rsidRDefault="00515352">
      <w:pPr>
        <w:pBdr>
          <w:top w:val="nil"/>
          <w:left w:val="nil"/>
          <w:bottom w:val="nil"/>
          <w:right w:val="nil"/>
          <w:between w:val="nil"/>
        </w:pBdr>
        <w:tabs>
          <w:tab w:val="left" w:pos="709"/>
        </w:tabs>
        <w:spacing w:before="120" w:after="240" w:line="240" w:lineRule="auto"/>
        <w:ind w:left="360"/>
        <w:jc w:val="both"/>
        <w:rPr>
          <w:rFonts w:ascii="Arial" w:eastAsia="Arial" w:hAnsi="Arial" w:cs="Arial"/>
        </w:rPr>
      </w:pPr>
      <w:r w:rsidRPr="00B75117">
        <w:rPr>
          <w:rFonts w:ascii="Arial" w:eastAsia="Arial" w:hAnsi="Arial" w:cs="Arial"/>
        </w:rPr>
        <w:t>6.5  Where CCS approves an increase then it will be implemented from the first (1st) Working Day following the relevant Review Date or such later date as CCS may determine at its sole discretion and Annex 1 shall be updated accordingly.</w:t>
      </w:r>
    </w:p>
    <w:p w14:paraId="00000071" w14:textId="77777777" w:rsidR="00335955" w:rsidRPr="00B75117" w:rsidRDefault="00515352">
      <w:pPr>
        <w:numPr>
          <w:ilvl w:val="0"/>
          <w:numId w:val="2"/>
        </w:numPr>
        <w:tabs>
          <w:tab w:val="left" w:pos="142"/>
        </w:tabs>
        <w:spacing w:before="120" w:after="240" w:line="240" w:lineRule="auto"/>
        <w:jc w:val="both"/>
        <w:rPr>
          <w:rFonts w:ascii="Arial" w:hAnsi="Arial" w:cs="Arial"/>
        </w:rPr>
      </w:pPr>
      <w:r w:rsidRPr="00B75117">
        <w:rPr>
          <w:rFonts w:ascii="Arial" w:eastAsia="Arial" w:hAnsi="Arial" w:cs="Arial"/>
          <w:b/>
        </w:rPr>
        <w:t>Changes To Minimum/Living Wage</w:t>
      </w:r>
    </w:p>
    <w:p w14:paraId="00000072" w14:textId="77777777" w:rsidR="00335955" w:rsidRPr="00B75117" w:rsidRDefault="00515352">
      <w:pPr>
        <w:numPr>
          <w:ilvl w:val="1"/>
          <w:numId w:val="2"/>
        </w:numPr>
        <w:tabs>
          <w:tab w:val="left" w:pos="709"/>
        </w:tabs>
        <w:spacing w:before="120" w:after="120" w:line="240" w:lineRule="auto"/>
        <w:rPr>
          <w:rFonts w:ascii="Arial" w:hAnsi="Arial" w:cs="Arial"/>
        </w:rPr>
      </w:pPr>
      <w:r w:rsidRPr="00B75117">
        <w:rPr>
          <w:rFonts w:ascii="Arial" w:eastAsia="Arial" w:hAnsi="Arial" w:cs="Arial"/>
        </w:rPr>
        <w:t>Notwithstanding Clause 24.5 of the Core Terms (Changing the Contract), where the Supplier can provide evidence that a percentage increase to the Mandatory Wage in a given period has exceeded any percentage increase in CPI under Paragraph 6 for the same period, the Supplier may request an increase in the Framework Prices by using the process under Paragraph 5.</w:t>
      </w:r>
    </w:p>
    <w:p w14:paraId="00000073" w14:textId="77777777" w:rsidR="00335955" w:rsidRPr="00B75117" w:rsidRDefault="00515352">
      <w:pPr>
        <w:numPr>
          <w:ilvl w:val="1"/>
          <w:numId w:val="2"/>
        </w:numPr>
        <w:tabs>
          <w:tab w:val="left" w:pos="709"/>
        </w:tabs>
        <w:spacing w:before="120" w:after="120" w:line="240" w:lineRule="auto"/>
        <w:rPr>
          <w:rFonts w:ascii="Arial" w:hAnsi="Arial" w:cs="Arial"/>
        </w:rPr>
      </w:pPr>
      <w:r w:rsidRPr="00B75117">
        <w:rPr>
          <w:rFonts w:ascii="Arial" w:eastAsia="Arial" w:hAnsi="Arial" w:cs="Arial"/>
        </w:rPr>
        <w:t>For the avoidance of doubt CCS is not required to accept the request to adjust Framework Prices and must not accept any request that;</w:t>
      </w:r>
    </w:p>
    <w:p w14:paraId="00000074" w14:textId="77777777" w:rsidR="00335955" w:rsidRPr="00B75117" w:rsidRDefault="00515352">
      <w:pPr>
        <w:numPr>
          <w:ilvl w:val="2"/>
          <w:numId w:val="2"/>
        </w:numPr>
        <w:tabs>
          <w:tab w:val="left" w:pos="709"/>
        </w:tabs>
        <w:spacing w:before="120" w:after="120" w:line="240" w:lineRule="auto"/>
        <w:rPr>
          <w:rFonts w:ascii="Arial" w:hAnsi="Arial" w:cs="Arial"/>
        </w:rPr>
      </w:pPr>
      <w:r w:rsidRPr="00B75117">
        <w:rPr>
          <w:rFonts w:ascii="Arial" w:eastAsia="Arial" w:hAnsi="Arial" w:cs="Arial"/>
        </w:rPr>
        <w:t>exceeds the difference between the CPI increase and the current Mandatory Wage rate increase for each member of the Supplier Personnel affected by the Mandatory Wage increase;</w:t>
      </w:r>
    </w:p>
    <w:p w14:paraId="00000075" w14:textId="77777777" w:rsidR="00335955" w:rsidRPr="00B75117" w:rsidRDefault="00515352">
      <w:pPr>
        <w:numPr>
          <w:ilvl w:val="2"/>
          <w:numId w:val="2"/>
        </w:numPr>
        <w:tabs>
          <w:tab w:val="left" w:pos="709"/>
        </w:tabs>
        <w:spacing w:before="120" w:after="120" w:line="240" w:lineRule="auto"/>
        <w:rPr>
          <w:rFonts w:ascii="Arial" w:hAnsi="Arial" w:cs="Arial"/>
        </w:rPr>
      </w:pPr>
      <w:r w:rsidRPr="00B75117">
        <w:rPr>
          <w:rFonts w:ascii="Arial" w:eastAsia="Arial" w:hAnsi="Arial" w:cs="Arial"/>
        </w:rPr>
        <w:t xml:space="preserve">relate to Services that are not affected by the Mandatory Wage increase; and </w:t>
      </w:r>
    </w:p>
    <w:p w14:paraId="00000076" w14:textId="77777777" w:rsidR="00335955" w:rsidRPr="00B75117" w:rsidRDefault="00515352">
      <w:pPr>
        <w:numPr>
          <w:ilvl w:val="2"/>
          <w:numId w:val="2"/>
        </w:numPr>
        <w:tabs>
          <w:tab w:val="left" w:pos="709"/>
        </w:tabs>
        <w:spacing w:before="120" w:after="120" w:line="240" w:lineRule="auto"/>
        <w:rPr>
          <w:rFonts w:ascii="Arial" w:hAnsi="Arial" w:cs="Arial"/>
        </w:rPr>
      </w:pPr>
      <w:r w:rsidRPr="00B75117">
        <w:rPr>
          <w:rFonts w:ascii="Arial" w:eastAsia="Arial" w:hAnsi="Arial" w:cs="Arial"/>
        </w:rPr>
        <w:t xml:space="preserve">that relates to Supplier Personnel on an hourly rate already in excess of the Mandatory Wage (whether or not to maintain differentials between the affected Supplier Personnel and higher paid Supplier Personnel). </w:t>
      </w:r>
    </w:p>
    <w:p w14:paraId="00000077" w14:textId="77777777" w:rsidR="00335955" w:rsidRPr="00B75117" w:rsidRDefault="00335955">
      <w:pPr>
        <w:tabs>
          <w:tab w:val="left" w:pos="709"/>
        </w:tabs>
        <w:spacing w:before="120" w:after="120" w:line="240" w:lineRule="auto"/>
        <w:ind w:left="990"/>
        <w:rPr>
          <w:rFonts w:ascii="Arial" w:eastAsia="Arial" w:hAnsi="Arial" w:cs="Arial"/>
        </w:rPr>
      </w:pPr>
    </w:p>
    <w:p w14:paraId="00000078" w14:textId="77777777" w:rsidR="00335955" w:rsidRPr="00B75117" w:rsidRDefault="00335955">
      <w:pPr>
        <w:tabs>
          <w:tab w:val="left" w:pos="709"/>
        </w:tabs>
        <w:spacing w:before="120" w:after="120" w:line="240" w:lineRule="auto"/>
        <w:ind w:left="990"/>
        <w:rPr>
          <w:rFonts w:ascii="Arial" w:eastAsia="Arial" w:hAnsi="Arial" w:cs="Arial"/>
        </w:rPr>
      </w:pPr>
    </w:p>
    <w:p w14:paraId="00000079" w14:textId="77777777" w:rsidR="00335955" w:rsidRPr="00B75117" w:rsidRDefault="00515352">
      <w:pPr>
        <w:numPr>
          <w:ilvl w:val="0"/>
          <w:numId w:val="2"/>
        </w:numPr>
        <w:tabs>
          <w:tab w:val="left" w:pos="142"/>
        </w:tabs>
        <w:spacing w:before="120" w:after="240" w:line="240" w:lineRule="auto"/>
        <w:jc w:val="both"/>
        <w:rPr>
          <w:rFonts w:ascii="Arial" w:hAnsi="Arial" w:cs="Arial"/>
        </w:rPr>
      </w:pPr>
      <w:r w:rsidRPr="00B75117">
        <w:rPr>
          <w:rFonts w:ascii="Arial" w:eastAsia="Arial" w:hAnsi="Arial" w:cs="Arial"/>
          <w:b/>
        </w:rPr>
        <w:t>Costs And Expenses</w:t>
      </w:r>
    </w:p>
    <w:p w14:paraId="0000007A" w14:textId="77777777" w:rsidR="00335955" w:rsidRPr="00B75117" w:rsidRDefault="00515352">
      <w:pPr>
        <w:numPr>
          <w:ilvl w:val="1"/>
          <w:numId w:val="2"/>
        </w:numPr>
        <w:tabs>
          <w:tab w:val="left" w:pos="709"/>
        </w:tabs>
        <w:spacing w:before="120" w:after="120" w:line="240" w:lineRule="auto"/>
        <w:rPr>
          <w:rFonts w:ascii="Arial" w:hAnsi="Arial" w:cs="Arial"/>
        </w:rPr>
      </w:pPr>
      <w:r w:rsidRPr="00B75117">
        <w:rPr>
          <w:rFonts w:ascii="Arial" w:eastAsia="Arial" w:hAnsi="Arial" w:cs="Arial"/>
        </w:rPr>
        <w:t>Except as expressly set out as stated in an Order Form, the Framework Prices shall include all costs and expenses relating to the provision of Deliverables.  No further amounts shall be payable in respect of matters such as:</w:t>
      </w:r>
    </w:p>
    <w:p w14:paraId="0000007B" w14:textId="77777777" w:rsidR="00335955" w:rsidRPr="00B75117" w:rsidRDefault="00515352">
      <w:pPr>
        <w:numPr>
          <w:ilvl w:val="2"/>
          <w:numId w:val="2"/>
        </w:numPr>
        <w:tabs>
          <w:tab w:val="left" w:pos="709"/>
        </w:tabs>
        <w:spacing w:before="120" w:after="120" w:line="240" w:lineRule="auto"/>
        <w:rPr>
          <w:rFonts w:ascii="Arial" w:hAnsi="Arial" w:cs="Arial"/>
        </w:rPr>
      </w:pPr>
      <w:r w:rsidRPr="00B75117">
        <w:rPr>
          <w:rFonts w:ascii="Arial" w:eastAsia="Arial" w:hAnsi="Arial" w:cs="Arial"/>
        </w:rPr>
        <w:t>incidental expenses such as travel, subsistence and lodging, document or report reproduction, shipping, desktop or office equipment costs, network or data interchange costs or other telecommunications charges; or</w:t>
      </w:r>
    </w:p>
    <w:p w14:paraId="0000007C" w14:textId="77777777" w:rsidR="00335955" w:rsidRPr="00B75117" w:rsidRDefault="00515352">
      <w:pPr>
        <w:spacing w:before="120" w:after="240" w:line="240" w:lineRule="auto"/>
        <w:ind w:left="360"/>
        <w:jc w:val="both"/>
        <w:rPr>
          <w:rFonts w:ascii="Arial" w:eastAsia="Arial" w:hAnsi="Arial" w:cs="Arial"/>
        </w:rPr>
      </w:pPr>
      <w:r w:rsidRPr="00B75117">
        <w:rPr>
          <w:rFonts w:ascii="Arial" w:eastAsia="Arial" w:hAnsi="Arial" w:cs="Arial"/>
        </w:rPr>
        <w:t>costs incurred prior to the commencement of any Call-Off Contract.</w:t>
      </w:r>
      <w:r w:rsidRPr="00B75117">
        <w:rPr>
          <w:rFonts w:ascii="Arial" w:hAnsi="Arial" w:cs="Arial"/>
        </w:rPr>
        <w:br w:type="page"/>
      </w:r>
    </w:p>
    <w:p w14:paraId="0000007D" w14:textId="77777777" w:rsidR="00335955" w:rsidRPr="00B75117" w:rsidRDefault="00335955">
      <w:pPr>
        <w:spacing w:before="120" w:after="240" w:line="240" w:lineRule="auto"/>
        <w:ind w:left="360"/>
        <w:jc w:val="both"/>
        <w:rPr>
          <w:rFonts w:ascii="Arial" w:eastAsia="Arial" w:hAnsi="Arial" w:cs="Arial"/>
        </w:rPr>
      </w:pPr>
    </w:p>
    <w:p w14:paraId="0000007E" w14:textId="77777777" w:rsidR="00335955" w:rsidRPr="00B75117" w:rsidRDefault="00515352">
      <w:pPr>
        <w:spacing w:after="0"/>
        <w:rPr>
          <w:rFonts w:ascii="Arial" w:eastAsia="Arial" w:hAnsi="Arial" w:cs="Arial"/>
          <w:b/>
        </w:rPr>
      </w:pPr>
      <w:r w:rsidRPr="00B75117">
        <w:rPr>
          <w:rFonts w:ascii="Arial" w:eastAsia="Arial" w:hAnsi="Arial" w:cs="Arial"/>
          <w:b/>
        </w:rPr>
        <w:t>Part C</w:t>
      </w:r>
    </w:p>
    <w:p w14:paraId="0000007F" w14:textId="77777777" w:rsidR="00335955" w:rsidRPr="00B75117" w:rsidRDefault="00335955">
      <w:pPr>
        <w:spacing w:after="0"/>
        <w:rPr>
          <w:rFonts w:ascii="Arial" w:eastAsia="Arial" w:hAnsi="Arial" w:cs="Arial"/>
          <w:b/>
        </w:rPr>
      </w:pPr>
    </w:p>
    <w:p w14:paraId="00000080" w14:textId="77777777" w:rsidR="00335955" w:rsidRPr="00B75117" w:rsidRDefault="00515352">
      <w:pPr>
        <w:pBdr>
          <w:top w:val="nil"/>
          <w:left w:val="nil"/>
          <w:bottom w:val="nil"/>
          <w:right w:val="nil"/>
          <w:between w:val="nil"/>
        </w:pBdr>
        <w:tabs>
          <w:tab w:val="left" w:pos="709"/>
        </w:tabs>
        <w:spacing w:after="0"/>
        <w:rPr>
          <w:rFonts w:ascii="Arial" w:eastAsia="Arial" w:hAnsi="Arial" w:cs="Arial"/>
          <w:b/>
        </w:rPr>
      </w:pPr>
      <w:r w:rsidRPr="00B75117">
        <w:rPr>
          <w:rFonts w:ascii="Arial" w:eastAsia="Arial" w:hAnsi="Arial" w:cs="Arial"/>
          <w:b/>
        </w:rPr>
        <w:t>Catering Lot 4A</w:t>
      </w:r>
    </w:p>
    <w:p w14:paraId="00000081" w14:textId="77777777" w:rsidR="00335955" w:rsidRPr="00B75117" w:rsidRDefault="00335955">
      <w:pPr>
        <w:pBdr>
          <w:top w:val="nil"/>
          <w:left w:val="nil"/>
          <w:bottom w:val="nil"/>
          <w:right w:val="nil"/>
          <w:between w:val="nil"/>
        </w:pBdr>
        <w:tabs>
          <w:tab w:val="left" w:pos="709"/>
        </w:tabs>
        <w:spacing w:before="120" w:after="240" w:line="240" w:lineRule="auto"/>
        <w:ind w:left="360"/>
        <w:jc w:val="both"/>
        <w:rPr>
          <w:rFonts w:ascii="Arial" w:eastAsia="Arial" w:hAnsi="Arial" w:cs="Arial"/>
        </w:rPr>
      </w:pPr>
    </w:p>
    <w:p w14:paraId="00000082" w14:textId="77777777" w:rsidR="00335955" w:rsidRPr="00B75117" w:rsidRDefault="00515352">
      <w:pPr>
        <w:numPr>
          <w:ilvl w:val="0"/>
          <w:numId w:val="3"/>
        </w:numPr>
        <w:pBdr>
          <w:top w:val="nil"/>
          <w:left w:val="nil"/>
          <w:bottom w:val="nil"/>
          <w:right w:val="nil"/>
          <w:between w:val="nil"/>
        </w:pBdr>
        <w:tabs>
          <w:tab w:val="left" w:pos="142"/>
        </w:tabs>
        <w:spacing w:before="120" w:after="240" w:line="240" w:lineRule="auto"/>
        <w:jc w:val="both"/>
        <w:rPr>
          <w:rFonts w:ascii="Arial" w:eastAsia="Arial" w:hAnsi="Arial" w:cs="Arial"/>
        </w:rPr>
      </w:pPr>
      <w:r w:rsidRPr="00B75117">
        <w:rPr>
          <w:rFonts w:ascii="Arial" w:eastAsia="Arial" w:hAnsi="Arial" w:cs="Arial"/>
          <w:b/>
          <w:color w:val="000000"/>
        </w:rPr>
        <w:t xml:space="preserve">How Framework Prices are </w:t>
      </w:r>
      <w:r w:rsidRPr="00B75117">
        <w:rPr>
          <w:rFonts w:ascii="Arial" w:eastAsia="Arial" w:hAnsi="Arial" w:cs="Arial"/>
          <w:b/>
        </w:rPr>
        <w:t>u</w:t>
      </w:r>
      <w:r w:rsidRPr="00B75117">
        <w:rPr>
          <w:rFonts w:ascii="Arial" w:eastAsia="Arial" w:hAnsi="Arial" w:cs="Arial"/>
          <w:b/>
          <w:color w:val="000000"/>
        </w:rPr>
        <w:t xml:space="preserve">sed to </w:t>
      </w:r>
      <w:r w:rsidRPr="00B75117">
        <w:rPr>
          <w:rFonts w:ascii="Arial" w:eastAsia="Arial" w:hAnsi="Arial" w:cs="Arial"/>
          <w:b/>
        </w:rPr>
        <w:t>c</w:t>
      </w:r>
      <w:r w:rsidRPr="00B75117">
        <w:rPr>
          <w:rFonts w:ascii="Arial" w:eastAsia="Arial" w:hAnsi="Arial" w:cs="Arial"/>
          <w:b/>
          <w:color w:val="000000"/>
        </w:rPr>
        <w:t>alculate Call-Off Charges</w:t>
      </w:r>
    </w:p>
    <w:p w14:paraId="00000083"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color w:val="000000"/>
        </w:rPr>
        <w:t xml:space="preserve">The Framework Prices: </w:t>
      </w:r>
    </w:p>
    <w:p w14:paraId="00000084" w14:textId="77777777" w:rsidR="00335955" w:rsidRPr="00B75117" w:rsidRDefault="00515352">
      <w:pPr>
        <w:numPr>
          <w:ilvl w:val="2"/>
          <w:numId w:val="3"/>
        </w:numPr>
        <w:pBdr>
          <w:top w:val="nil"/>
          <w:left w:val="nil"/>
          <w:bottom w:val="nil"/>
          <w:right w:val="nil"/>
          <w:between w:val="nil"/>
        </w:pBdr>
        <w:tabs>
          <w:tab w:val="left" w:pos="1985"/>
          <w:tab w:val="left" w:pos="2127"/>
          <w:tab w:val="left" w:pos="1440"/>
        </w:tabs>
        <w:spacing w:before="120" w:after="120" w:line="240" w:lineRule="auto"/>
        <w:rPr>
          <w:rFonts w:ascii="Arial" w:hAnsi="Arial" w:cs="Arial"/>
        </w:rPr>
      </w:pPr>
      <w:r w:rsidRPr="00B75117">
        <w:rPr>
          <w:rFonts w:ascii="Arial" w:eastAsia="Arial" w:hAnsi="Arial" w:cs="Arial"/>
          <w:color w:val="000000"/>
        </w:rPr>
        <w:t>will be used as the basis for the charges (and are maximums that the Supplier may charge for a Standard Service Requirement) under each Call-Off Contract including;</w:t>
      </w:r>
    </w:p>
    <w:p w14:paraId="00000085" w14:textId="77777777" w:rsidR="00335955" w:rsidRPr="00B75117" w:rsidRDefault="00515352">
      <w:pPr>
        <w:pBdr>
          <w:top w:val="nil"/>
          <w:left w:val="nil"/>
          <w:bottom w:val="nil"/>
          <w:right w:val="nil"/>
          <w:between w:val="nil"/>
        </w:pBdr>
        <w:tabs>
          <w:tab w:val="left" w:pos="1985"/>
          <w:tab w:val="left" w:pos="2127"/>
          <w:tab w:val="left" w:pos="1440"/>
        </w:tabs>
        <w:spacing w:before="120" w:after="120" w:line="240" w:lineRule="auto"/>
        <w:ind w:left="1980"/>
        <w:rPr>
          <w:rFonts w:ascii="Arial" w:eastAsia="Arial" w:hAnsi="Arial" w:cs="Arial"/>
          <w:color w:val="000000"/>
        </w:rPr>
      </w:pPr>
      <w:r w:rsidRPr="00B75117">
        <w:rPr>
          <w:rFonts w:ascii="Arial" w:eastAsia="Arial" w:hAnsi="Arial" w:cs="Arial"/>
          <w:color w:val="000000"/>
        </w:rPr>
        <w:t>and</w:t>
      </w:r>
    </w:p>
    <w:p w14:paraId="00000086"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cannot be increased except as in accordance with this Part of the Schedule.</w:t>
      </w:r>
    </w:p>
    <w:p w14:paraId="00000087" w14:textId="77777777" w:rsidR="00335955" w:rsidRPr="00B75117" w:rsidRDefault="00515352">
      <w:pPr>
        <w:numPr>
          <w:ilvl w:val="1"/>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 xml:space="preserve">Framework Prices are permitted to exceed Standard Service </w:t>
      </w:r>
      <w:r w:rsidRPr="00B75117">
        <w:rPr>
          <w:rFonts w:ascii="Arial" w:eastAsia="Arial" w:hAnsi="Arial" w:cs="Arial"/>
        </w:rPr>
        <w:t>p</w:t>
      </w:r>
      <w:r w:rsidRPr="00B75117">
        <w:rPr>
          <w:rFonts w:ascii="Arial" w:eastAsia="Arial" w:hAnsi="Arial" w:cs="Arial"/>
          <w:color w:val="000000"/>
        </w:rPr>
        <w:t>ricing for non-standard requirements and/or at the discretion of the Buyer.</w:t>
      </w:r>
    </w:p>
    <w:p w14:paraId="00000088"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color w:val="000000"/>
        </w:rPr>
        <w:t>The Charges:</w:t>
      </w:r>
    </w:p>
    <w:p w14:paraId="00000089"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 xml:space="preserve">shall be calculated in accordance with the terms of the Call-Off Contract and in particular in accordance with the terms of the Order Form; </w:t>
      </w:r>
    </w:p>
    <w:p w14:paraId="0000008A"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cannot be increased except as specifically permitted by the Call-Off Contract and in particular shall only be subject to Indexation where specifically stated in the Order Form; and</w:t>
      </w:r>
    </w:p>
    <w:p w14:paraId="0000008B"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shall not be impacted by any change to the Framework Prices.</w:t>
      </w:r>
    </w:p>
    <w:p w14:paraId="0000008C"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color w:val="000000"/>
        </w:rPr>
        <w:t>Any variation to the Charges payable under a Call-Off Contract should be agreed between the Supplier and the Buyer and implemented using the same procedure for altering Framework Prices in accordance with the provisions of this Framework Schedule 3.</w:t>
      </w:r>
    </w:p>
    <w:p w14:paraId="0000008D" w14:textId="77777777" w:rsidR="00335955" w:rsidRPr="00B75117" w:rsidRDefault="00515352">
      <w:pPr>
        <w:numPr>
          <w:ilvl w:val="0"/>
          <w:numId w:val="3"/>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color w:val="000000"/>
        </w:rPr>
        <w:t>How Framework Prices are calculated</w:t>
      </w:r>
    </w:p>
    <w:p w14:paraId="0000008E"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color w:val="000000"/>
        </w:rPr>
        <w:t>The pricing mechanisms and prices set out in Annex 1 shall be available for use in calculation of Charges in Call-Off Contracts.</w:t>
      </w:r>
    </w:p>
    <w:p w14:paraId="0000008F" w14:textId="77777777" w:rsidR="00335955" w:rsidRPr="00B75117" w:rsidRDefault="00515352">
      <w:pPr>
        <w:numPr>
          <w:ilvl w:val="0"/>
          <w:numId w:val="3"/>
        </w:numPr>
        <w:tabs>
          <w:tab w:val="left" w:pos="142"/>
        </w:tabs>
        <w:spacing w:before="120" w:after="240" w:line="240" w:lineRule="auto"/>
        <w:jc w:val="both"/>
        <w:rPr>
          <w:rFonts w:ascii="Arial" w:hAnsi="Arial" w:cs="Arial"/>
        </w:rPr>
      </w:pPr>
      <w:r w:rsidRPr="00B75117">
        <w:rPr>
          <w:rFonts w:ascii="Arial" w:eastAsia="Arial" w:hAnsi="Arial" w:cs="Arial"/>
          <w:b/>
        </w:rPr>
        <w:t>Not Used</w:t>
      </w:r>
    </w:p>
    <w:p w14:paraId="00000090" w14:textId="77777777" w:rsidR="00335955" w:rsidRPr="00B75117" w:rsidRDefault="00515352">
      <w:pPr>
        <w:numPr>
          <w:ilvl w:val="0"/>
          <w:numId w:val="3"/>
        </w:numPr>
        <w:tabs>
          <w:tab w:val="left" w:pos="142"/>
        </w:tabs>
        <w:spacing w:before="120" w:after="240" w:line="240" w:lineRule="auto"/>
        <w:jc w:val="both"/>
        <w:rPr>
          <w:rFonts w:ascii="Arial" w:hAnsi="Arial" w:cs="Arial"/>
          <w:b/>
        </w:rPr>
      </w:pPr>
      <w:r w:rsidRPr="00B75117">
        <w:rPr>
          <w:rFonts w:ascii="Arial" w:eastAsia="Arial" w:hAnsi="Arial" w:cs="Arial"/>
          <w:b/>
        </w:rPr>
        <w:t xml:space="preserve">When the Supplier can ask to change the Framework Prices </w:t>
      </w:r>
    </w:p>
    <w:p w14:paraId="00000091" w14:textId="77777777" w:rsidR="00335955" w:rsidRPr="00B75117" w:rsidRDefault="00515352">
      <w:pPr>
        <w:numPr>
          <w:ilvl w:val="1"/>
          <w:numId w:val="3"/>
        </w:numPr>
        <w:tabs>
          <w:tab w:val="left" w:pos="709"/>
        </w:tabs>
        <w:spacing w:before="120" w:after="120" w:line="240" w:lineRule="auto"/>
        <w:rPr>
          <w:rFonts w:ascii="Arial" w:hAnsi="Arial" w:cs="Arial"/>
        </w:rPr>
      </w:pPr>
      <w:bookmarkStart w:id="58" w:name="_heading=h.tyjcwt" w:colFirst="0" w:colLast="0"/>
      <w:bookmarkEnd w:id="58"/>
      <w:r w:rsidRPr="00B75117">
        <w:rPr>
          <w:rFonts w:ascii="Arial" w:eastAsia="Arial" w:hAnsi="Arial" w:cs="Arial"/>
        </w:rPr>
        <w:t>The Framework Prices will be fixed for the first year following the Framework Start Date (the date of expiry of such period is a "Review Date").  After this Framework Prices can only be adjusted on each following yearly anniversary (the date of each such anniversary is also a "Review Date").</w:t>
      </w:r>
    </w:p>
    <w:p w14:paraId="00000092" w14:textId="77777777" w:rsidR="00335955" w:rsidRPr="00B75117" w:rsidRDefault="00335955">
      <w:pPr>
        <w:tabs>
          <w:tab w:val="left" w:pos="709"/>
        </w:tabs>
        <w:spacing w:before="120" w:after="120" w:line="240" w:lineRule="auto"/>
        <w:ind w:left="1777"/>
        <w:rPr>
          <w:rFonts w:ascii="Arial" w:eastAsia="Arial" w:hAnsi="Arial" w:cs="Arial"/>
        </w:rPr>
      </w:pPr>
      <w:bookmarkStart w:id="59" w:name="_heading=h.1t3h5sf" w:colFirst="0" w:colLast="0"/>
      <w:bookmarkEnd w:id="59"/>
    </w:p>
    <w:p w14:paraId="00000093" w14:textId="77777777" w:rsidR="00335955" w:rsidRPr="00B75117" w:rsidRDefault="00515352">
      <w:pPr>
        <w:numPr>
          <w:ilvl w:val="1"/>
          <w:numId w:val="3"/>
        </w:numPr>
        <w:tabs>
          <w:tab w:val="left" w:pos="709"/>
        </w:tabs>
        <w:spacing w:before="120" w:after="120" w:line="240" w:lineRule="auto"/>
        <w:rPr>
          <w:rFonts w:ascii="Arial" w:eastAsia="Arial" w:hAnsi="Arial" w:cs="Arial"/>
        </w:rPr>
      </w:pPr>
      <w:r w:rsidRPr="00B75117">
        <w:rPr>
          <w:rFonts w:ascii="Arial" w:eastAsia="Arial" w:hAnsi="Arial" w:cs="Arial"/>
        </w:rPr>
        <w:t xml:space="preserve">The Supplier shall give CCS at least three (3) Months' notice in writing prior to a Review Date where it wants to request an increase.  If the </w:t>
      </w:r>
      <w:r w:rsidRPr="00B75117">
        <w:rPr>
          <w:rFonts w:ascii="Arial" w:eastAsia="Arial" w:hAnsi="Arial" w:cs="Arial"/>
        </w:rPr>
        <w:lastRenderedPageBreak/>
        <w:t>Supplier does not give notice in time then it will only be able to request an increase prior to the next Review Date.</w:t>
      </w:r>
    </w:p>
    <w:p w14:paraId="00000094" w14:textId="77777777" w:rsidR="00335955" w:rsidRPr="00B75117" w:rsidRDefault="00515352">
      <w:pPr>
        <w:numPr>
          <w:ilvl w:val="1"/>
          <w:numId w:val="3"/>
        </w:numPr>
        <w:tabs>
          <w:tab w:val="left" w:pos="709"/>
        </w:tabs>
        <w:spacing w:before="120" w:after="120" w:line="240" w:lineRule="auto"/>
        <w:rPr>
          <w:rFonts w:ascii="Arial" w:eastAsia="Arial" w:hAnsi="Arial" w:cs="Arial"/>
        </w:rPr>
      </w:pPr>
      <w:r w:rsidRPr="00B75117">
        <w:rPr>
          <w:rFonts w:ascii="Arial" w:eastAsia="Arial" w:hAnsi="Arial" w:cs="Arial"/>
        </w:rPr>
        <w:t>Any notice requesting an increase shall include:</w:t>
      </w:r>
    </w:p>
    <w:p w14:paraId="00000095" w14:textId="77777777" w:rsidR="00335955" w:rsidRPr="00B75117" w:rsidRDefault="00515352">
      <w:pPr>
        <w:numPr>
          <w:ilvl w:val="2"/>
          <w:numId w:val="3"/>
        </w:numPr>
        <w:tabs>
          <w:tab w:val="left" w:pos="1985"/>
          <w:tab w:val="left" w:pos="2127"/>
        </w:tabs>
        <w:spacing w:before="120" w:after="120" w:line="240" w:lineRule="auto"/>
        <w:rPr>
          <w:rFonts w:ascii="Arial" w:hAnsi="Arial" w:cs="Arial"/>
        </w:rPr>
      </w:pPr>
      <w:r w:rsidRPr="00B75117">
        <w:rPr>
          <w:rFonts w:ascii="Arial" w:eastAsia="Arial" w:hAnsi="Arial" w:cs="Arial"/>
        </w:rPr>
        <w:t>a</w:t>
      </w:r>
      <w:bookmarkStart w:id="60" w:name="_GoBack"/>
      <w:bookmarkEnd w:id="60"/>
      <w:r w:rsidRPr="00B75117">
        <w:rPr>
          <w:rFonts w:ascii="Arial" w:eastAsia="Arial" w:hAnsi="Arial" w:cs="Arial"/>
        </w:rPr>
        <w:t xml:space="preserve"> list of the Framework Prices to be reviewed;</w:t>
      </w:r>
    </w:p>
    <w:p w14:paraId="00000096" w14:textId="77777777" w:rsidR="00335955" w:rsidRPr="00B75117" w:rsidRDefault="00515352">
      <w:pPr>
        <w:numPr>
          <w:ilvl w:val="2"/>
          <w:numId w:val="3"/>
        </w:numPr>
        <w:tabs>
          <w:tab w:val="left" w:pos="1985"/>
          <w:tab w:val="left" w:pos="2127"/>
        </w:tabs>
        <w:spacing w:before="120" w:after="120" w:line="240" w:lineRule="auto"/>
        <w:rPr>
          <w:rFonts w:ascii="Arial" w:hAnsi="Arial" w:cs="Arial"/>
        </w:rPr>
      </w:pPr>
      <w:r w:rsidRPr="00B75117">
        <w:rPr>
          <w:rFonts w:ascii="Arial" w:eastAsia="Arial" w:hAnsi="Arial" w:cs="Arial"/>
        </w:rPr>
        <w:t>for each Framework Price under review, written evidence of the justification for the requested increase including:</w:t>
      </w:r>
    </w:p>
    <w:p w14:paraId="00000097" w14:textId="77777777" w:rsidR="00335955" w:rsidRPr="00B75117" w:rsidRDefault="00515352">
      <w:pPr>
        <w:numPr>
          <w:ilvl w:val="3"/>
          <w:numId w:val="3"/>
        </w:numP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 xml:space="preserve">a breakdown of the cost components that comprise the relevant Framework Price; </w:t>
      </w:r>
    </w:p>
    <w:p w14:paraId="00000098" w14:textId="77777777" w:rsidR="00335955" w:rsidRPr="00B75117" w:rsidRDefault="00515352">
      <w:pPr>
        <w:numPr>
          <w:ilvl w:val="3"/>
          <w:numId w:val="3"/>
        </w:numP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details of the movement in the different identified cost components of the relevant Framework Price;</w:t>
      </w:r>
    </w:p>
    <w:p w14:paraId="00000099" w14:textId="77777777" w:rsidR="00335955" w:rsidRPr="00B75117" w:rsidRDefault="00515352">
      <w:pPr>
        <w:numPr>
          <w:ilvl w:val="3"/>
          <w:numId w:val="3"/>
        </w:numP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reasons for the movement in the different identified cost components of the relevant Framework Price;</w:t>
      </w:r>
    </w:p>
    <w:p w14:paraId="0000009A" w14:textId="77777777" w:rsidR="00335955" w:rsidRPr="00B75117" w:rsidRDefault="00515352">
      <w:pPr>
        <w:numPr>
          <w:ilvl w:val="3"/>
          <w:numId w:val="3"/>
        </w:numP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evidence that the Supplier has attempted to mitigate against the increase in the relevant cost components; and</w:t>
      </w:r>
    </w:p>
    <w:p w14:paraId="0000009B" w14:textId="77777777" w:rsidR="00335955" w:rsidRPr="00B75117" w:rsidRDefault="00515352">
      <w:pPr>
        <w:numPr>
          <w:ilvl w:val="3"/>
          <w:numId w:val="3"/>
        </w:numPr>
        <w:tabs>
          <w:tab w:val="left" w:pos="1985"/>
          <w:tab w:val="left" w:pos="2127"/>
          <w:tab w:val="left" w:pos="1985"/>
          <w:tab w:val="left" w:pos="2552"/>
        </w:tabs>
        <w:spacing w:before="120" w:after="120" w:line="240" w:lineRule="auto"/>
        <w:rPr>
          <w:rFonts w:ascii="Arial" w:hAnsi="Arial" w:cs="Arial"/>
        </w:rPr>
      </w:pPr>
      <w:r w:rsidRPr="00B75117">
        <w:rPr>
          <w:rFonts w:ascii="Arial" w:eastAsia="Arial" w:hAnsi="Arial" w:cs="Arial"/>
        </w:rPr>
        <w:t>evidence that the Supplier’s profit component of the relevant Framework Price is no greater than that applying to Framework Prices using the same pricing mechanism as at the Start Date.</w:t>
      </w:r>
    </w:p>
    <w:p w14:paraId="0000009C" w14:textId="77777777" w:rsidR="00335955" w:rsidRPr="00B75117" w:rsidRDefault="00515352">
      <w:pPr>
        <w:numPr>
          <w:ilvl w:val="1"/>
          <w:numId w:val="3"/>
        </w:numPr>
        <w:tabs>
          <w:tab w:val="left" w:pos="709"/>
        </w:tabs>
        <w:spacing w:before="120" w:after="120" w:line="240" w:lineRule="auto"/>
        <w:rPr>
          <w:rFonts w:ascii="Arial" w:hAnsi="Arial" w:cs="Arial"/>
        </w:rPr>
      </w:pPr>
      <w:r w:rsidRPr="00B75117">
        <w:rPr>
          <w:rFonts w:ascii="Arial" w:eastAsia="Arial" w:hAnsi="Arial" w:cs="Arial"/>
        </w:rPr>
        <w:t>CCS shall consider each request for a price increase.  CCS may grant Approval to an increase at its sole discretion.</w:t>
      </w:r>
    </w:p>
    <w:p w14:paraId="0000009D" w14:textId="77777777" w:rsidR="00335955" w:rsidRPr="00B75117" w:rsidRDefault="00335955">
      <w:pPr>
        <w:tabs>
          <w:tab w:val="left" w:pos="709"/>
        </w:tabs>
        <w:spacing w:before="120" w:after="120" w:line="240" w:lineRule="auto"/>
        <w:ind w:left="1777"/>
        <w:rPr>
          <w:rFonts w:ascii="Arial" w:eastAsia="Arial" w:hAnsi="Arial" w:cs="Arial"/>
        </w:rPr>
      </w:pPr>
    </w:p>
    <w:p w14:paraId="0000009E" w14:textId="77777777" w:rsidR="00335955" w:rsidRPr="00B75117" w:rsidRDefault="00515352">
      <w:pPr>
        <w:numPr>
          <w:ilvl w:val="0"/>
          <w:numId w:val="3"/>
        </w:numPr>
        <w:pBdr>
          <w:top w:val="nil"/>
          <w:left w:val="nil"/>
          <w:bottom w:val="nil"/>
          <w:right w:val="nil"/>
          <w:between w:val="nil"/>
        </w:pBdr>
        <w:tabs>
          <w:tab w:val="left" w:pos="142"/>
        </w:tabs>
        <w:spacing w:before="120" w:after="240" w:line="240" w:lineRule="auto"/>
        <w:jc w:val="both"/>
        <w:rPr>
          <w:rFonts w:ascii="Arial" w:hAnsi="Arial" w:cs="Arial"/>
        </w:rPr>
      </w:pPr>
      <w:bookmarkStart w:id="61" w:name="_heading=h.4d34og8" w:colFirst="0" w:colLast="0"/>
      <w:bookmarkEnd w:id="61"/>
      <w:r w:rsidRPr="00B75117">
        <w:rPr>
          <w:rFonts w:ascii="Arial" w:eastAsia="Arial" w:hAnsi="Arial" w:cs="Arial"/>
          <w:b/>
        </w:rPr>
        <w:t>Framework Prices and inflation</w:t>
      </w:r>
      <w:r w:rsidRPr="00B75117">
        <w:rPr>
          <w:rFonts w:ascii="Arial" w:eastAsia="Arial" w:hAnsi="Arial" w:cs="Arial"/>
        </w:rPr>
        <w:t xml:space="preserve"> </w:t>
      </w:r>
    </w:p>
    <w:p w14:paraId="0000009F"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r w:rsidRPr="00B75117">
        <w:rPr>
          <w:rFonts w:ascii="Arial" w:eastAsia="Arial" w:hAnsi="Arial" w:cs="Arial"/>
        </w:rPr>
        <w:t>5.1</w:t>
      </w:r>
      <w:r w:rsidRPr="00B75117">
        <w:rPr>
          <w:rFonts w:ascii="Arial" w:eastAsia="Arial" w:hAnsi="Arial" w:cs="Arial"/>
        </w:rPr>
        <w:tab/>
        <w:t xml:space="preserve">Where a Framework Price review is based on inflationary pressures Suppliers can ask to change the Framework Prices following procedures outlined in paragraph 4 above.   </w:t>
      </w:r>
    </w:p>
    <w:p w14:paraId="000000A0" w14:textId="77777777" w:rsidR="00335955" w:rsidRPr="00B75117" w:rsidRDefault="00515352">
      <w:pPr>
        <w:pBdr>
          <w:top w:val="nil"/>
          <w:left w:val="nil"/>
          <w:bottom w:val="nil"/>
          <w:right w:val="nil"/>
          <w:between w:val="nil"/>
        </w:pBdr>
        <w:tabs>
          <w:tab w:val="left" w:pos="142"/>
        </w:tabs>
        <w:spacing w:before="120" w:after="240" w:line="240" w:lineRule="auto"/>
        <w:ind w:left="360"/>
        <w:jc w:val="both"/>
        <w:rPr>
          <w:rFonts w:ascii="Arial" w:eastAsia="Arial" w:hAnsi="Arial" w:cs="Arial"/>
        </w:rPr>
      </w:pPr>
      <w:r w:rsidRPr="00B75117">
        <w:rPr>
          <w:rFonts w:ascii="Arial" w:eastAsia="Arial" w:hAnsi="Arial" w:cs="Arial"/>
        </w:rPr>
        <w:t>5.2</w:t>
      </w:r>
      <w:r w:rsidRPr="00B75117">
        <w:rPr>
          <w:rFonts w:ascii="Arial" w:eastAsia="Arial" w:hAnsi="Arial" w:cs="Arial"/>
        </w:rPr>
        <w:tab/>
        <w:t xml:space="preserve">Inflation based requests will be considered and capped using a combined figure composed of 60% (sixty percent) CPI and 40% (forty percent) FBPI.  </w:t>
      </w:r>
    </w:p>
    <w:p w14:paraId="000000A1" w14:textId="77777777" w:rsidR="00335955" w:rsidRPr="00B75117" w:rsidRDefault="00515352">
      <w:pPr>
        <w:numPr>
          <w:ilvl w:val="1"/>
          <w:numId w:val="3"/>
        </w:numPr>
        <w:tabs>
          <w:tab w:val="left" w:pos="709"/>
        </w:tabs>
        <w:spacing w:before="120" w:after="120" w:line="240" w:lineRule="auto"/>
        <w:rPr>
          <w:rFonts w:ascii="Arial" w:hAnsi="Arial" w:cs="Arial"/>
        </w:rPr>
      </w:pPr>
      <w:r w:rsidRPr="00B75117">
        <w:rPr>
          <w:rFonts w:ascii="Arial" w:eastAsia="Arial" w:hAnsi="Arial" w:cs="Arial"/>
        </w:rPr>
        <w:t>If the CPI and FBPI component have not been published for the relevant month as required for this calculation then the last published value of the index and component available at the Review Date shall be used.</w:t>
      </w:r>
    </w:p>
    <w:p w14:paraId="000000A2" w14:textId="77777777" w:rsidR="00335955" w:rsidRPr="00B75117" w:rsidRDefault="00515352">
      <w:pPr>
        <w:numPr>
          <w:ilvl w:val="1"/>
          <w:numId w:val="3"/>
        </w:numPr>
        <w:tabs>
          <w:tab w:val="left" w:pos="709"/>
        </w:tabs>
        <w:spacing w:before="120" w:after="120" w:line="240" w:lineRule="auto"/>
        <w:rPr>
          <w:rFonts w:ascii="Arial" w:hAnsi="Arial" w:cs="Arial"/>
        </w:rPr>
      </w:pPr>
      <w:r w:rsidRPr="00B75117">
        <w:rPr>
          <w:rFonts w:ascii="Arial" w:eastAsia="Arial" w:hAnsi="Arial" w:cs="Arial"/>
        </w:rPr>
        <w:t>In the event that any changes occur to the basis of the CPI and FBPI, or they are no longer published, CCS and the Supplier shall agree a fair and reasonable adjustment to the formula or, if appropriate, shall agree a revised formula that in either event will have substantially the same effect as that specified in this Part C.</w:t>
      </w:r>
    </w:p>
    <w:p w14:paraId="000000A3" w14:textId="77777777" w:rsidR="00335955" w:rsidRPr="00B75117" w:rsidRDefault="00515352">
      <w:pPr>
        <w:numPr>
          <w:ilvl w:val="1"/>
          <w:numId w:val="3"/>
        </w:numPr>
        <w:tabs>
          <w:tab w:val="left" w:pos="709"/>
        </w:tabs>
        <w:spacing w:before="120" w:after="120" w:line="240" w:lineRule="auto"/>
        <w:rPr>
          <w:rFonts w:ascii="Arial" w:hAnsi="Arial" w:cs="Arial"/>
        </w:rPr>
      </w:pPr>
      <w:r w:rsidRPr="00B75117">
        <w:rPr>
          <w:rFonts w:ascii="Arial" w:eastAsia="Arial" w:hAnsi="Arial" w:cs="Arial"/>
        </w:rPr>
        <w:t>Where CCS approves an increase then it will be implemented from the first (1st) Working Day following the relevant Review Date or such later date as CCS may determine at its sole discretion and Annex 1 shall be updated accordingly.</w:t>
      </w:r>
    </w:p>
    <w:p w14:paraId="000000A4" w14:textId="77777777" w:rsidR="00335955" w:rsidRPr="00B75117" w:rsidRDefault="00335955">
      <w:pPr>
        <w:tabs>
          <w:tab w:val="left" w:pos="709"/>
        </w:tabs>
        <w:spacing w:before="120" w:after="120" w:line="240" w:lineRule="auto"/>
        <w:rPr>
          <w:rFonts w:ascii="Arial" w:eastAsia="Arial" w:hAnsi="Arial" w:cs="Arial"/>
        </w:rPr>
      </w:pPr>
    </w:p>
    <w:p w14:paraId="000000A5" w14:textId="77777777" w:rsidR="00335955" w:rsidRPr="00B75117" w:rsidRDefault="00515352">
      <w:pPr>
        <w:numPr>
          <w:ilvl w:val="0"/>
          <w:numId w:val="3"/>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color w:val="000000"/>
        </w:rPr>
        <w:t>Other events that allow the Supplier to change the Framework Prices</w:t>
      </w:r>
    </w:p>
    <w:p w14:paraId="000000A6"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color w:val="000000"/>
        </w:rPr>
        <w:lastRenderedPageBreak/>
        <w:t>The Framework Prices can also be varied (and Annex 1 will be updated accordingly) due to:</w:t>
      </w:r>
    </w:p>
    <w:p w14:paraId="000000A7"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a Specific Change in Law in accordance with</w:t>
      </w:r>
      <w:r w:rsidRPr="00B75117">
        <w:rPr>
          <w:rFonts w:ascii="Arial" w:eastAsia="Arial" w:hAnsi="Arial" w:cs="Arial"/>
        </w:rPr>
        <w:t xml:space="preserve"> </w:t>
      </w:r>
      <w:r w:rsidRPr="00B75117">
        <w:rPr>
          <w:rFonts w:ascii="Arial" w:eastAsia="Arial" w:hAnsi="Arial" w:cs="Arial"/>
          <w:color w:val="000000"/>
        </w:rPr>
        <w:t>Clause 24 of the Core Terms;</w:t>
      </w:r>
    </w:p>
    <w:p w14:paraId="000000A8"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a review in accordance with insurance requirements in Clause 13 of the Core Term</w:t>
      </w:r>
      <w:r w:rsidRPr="00B75117">
        <w:rPr>
          <w:rFonts w:ascii="Arial" w:eastAsia="Arial" w:hAnsi="Arial" w:cs="Arial"/>
        </w:rPr>
        <w:t>s</w:t>
      </w:r>
      <w:r w:rsidRPr="00B75117">
        <w:rPr>
          <w:rFonts w:ascii="Arial" w:eastAsia="Arial" w:hAnsi="Arial" w:cs="Arial"/>
          <w:color w:val="000000"/>
        </w:rPr>
        <w:t xml:space="preserve">; </w:t>
      </w:r>
    </w:p>
    <w:p w14:paraId="000000A9"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a benchmarking review in accordance with Call Off Schedule 16 (Benchmarking)</w:t>
      </w:r>
    </w:p>
    <w:p w14:paraId="000000AA"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a request from the Supplier, which it can make at any time, to decrease the Framework Prices; and</w:t>
      </w:r>
    </w:p>
    <w:p w14:paraId="000000AB" w14:textId="77777777" w:rsidR="00335955" w:rsidRPr="00B75117" w:rsidRDefault="00515352">
      <w:pPr>
        <w:numPr>
          <w:ilvl w:val="2"/>
          <w:numId w:val="3"/>
        </w:numPr>
        <w:pBdr>
          <w:top w:val="nil"/>
          <w:left w:val="nil"/>
          <w:bottom w:val="nil"/>
          <w:right w:val="nil"/>
          <w:between w:val="nil"/>
        </w:pBdr>
        <w:tabs>
          <w:tab w:val="left" w:pos="1985"/>
          <w:tab w:val="left" w:pos="2127"/>
        </w:tabs>
        <w:spacing w:before="120" w:after="120" w:line="240" w:lineRule="auto"/>
        <w:rPr>
          <w:rFonts w:ascii="Arial" w:hAnsi="Arial" w:cs="Arial"/>
        </w:rPr>
      </w:pPr>
      <w:r w:rsidRPr="00B75117">
        <w:rPr>
          <w:rFonts w:ascii="Arial" w:eastAsia="Arial" w:hAnsi="Arial" w:cs="Arial"/>
          <w:color w:val="000000"/>
        </w:rPr>
        <w:t>changes to the Mandatory Wage in which event paragraph 6 shall apply.</w:t>
      </w:r>
    </w:p>
    <w:p w14:paraId="000000AC" w14:textId="77777777" w:rsidR="00335955" w:rsidRPr="00B75117" w:rsidRDefault="00515352">
      <w:pPr>
        <w:numPr>
          <w:ilvl w:val="0"/>
          <w:numId w:val="3"/>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color w:val="000000"/>
        </w:rPr>
        <w:t>Changes</w:t>
      </w:r>
      <w:r w:rsidRPr="00B75117">
        <w:rPr>
          <w:rFonts w:ascii="Arial" w:eastAsia="Arial" w:hAnsi="Arial" w:cs="Arial"/>
          <w:b/>
        </w:rPr>
        <w:t xml:space="preserve"> To Minimum/Living Wage</w:t>
      </w:r>
    </w:p>
    <w:p w14:paraId="000000AD"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pPr>
      <w:r w:rsidRPr="00B75117">
        <w:rPr>
          <w:rFonts w:ascii="Arial" w:eastAsia="Arial" w:hAnsi="Arial" w:cs="Arial"/>
        </w:rPr>
        <w:t>Notwithstanding Clause 24.5 of the Core Terms (Changing the Contract), where the Supplier can provide evidence that a percentage increase to the Mandatory Wage in a given period has exceeded any percentage increase in CPI under Paragraph 5 for the same period, the Supplier may request an increase in the Framework Prices by using the process under Paragraph 4.</w:t>
      </w:r>
    </w:p>
    <w:p w14:paraId="000000AE"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rPr>
        <w:t>For the avoidance of doubt CCS is not required to accept the request to adjust Framework Prices and must not accept any request that;</w:t>
      </w:r>
    </w:p>
    <w:p w14:paraId="000000AF" w14:textId="77777777" w:rsidR="00335955" w:rsidRPr="00B75117" w:rsidRDefault="00515352">
      <w:pPr>
        <w:numPr>
          <w:ilvl w:val="2"/>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rPr>
        <w:t>exceeds the difference between the CPI increase and the current Mandatory Wage rate increase for each member of the Supplier Personnel affected by the Mandatory Wage increase;</w:t>
      </w:r>
    </w:p>
    <w:p w14:paraId="000000B0" w14:textId="77777777" w:rsidR="00335955" w:rsidRPr="00B75117" w:rsidRDefault="00515352">
      <w:pPr>
        <w:numPr>
          <w:ilvl w:val="2"/>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rPr>
        <w:t xml:space="preserve">relate to Services that are not affected by the Mandatory Wage increase; and </w:t>
      </w:r>
    </w:p>
    <w:p w14:paraId="000000B1" w14:textId="77777777" w:rsidR="00335955" w:rsidRPr="00B75117" w:rsidRDefault="00515352">
      <w:pPr>
        <w:numPr>
          <w:ilvl w:val="2"/>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rPr>
        <w:t xml:space="preserve">that relates to Supplier Personnel on an hourly rate already in excess of the Mandatory Wage (whether or not to maintain differentials between the affected Supplier Personnel and higher paid Supplier Personnel). </w:t>
      </w:r>
    </w:p>
    <w:p w14:paraId="000000B2" w14:textId="77777777" w:rsidR="00335955" w:rsidRPr="00B75117" w:rsidRDefault="00515352">
      <w:pPr>
        <w:numPr>
          <w:ilvl w:val="0"/>
          <w:numId w:val="3"/>
        </w:numPr>
        <w:pBdr>
          <w:top w:val="nil"/>
          <w:left w:val="nil"/>
          <w:bottom w:val="nil"/>
          <w:right w:val="nil"/>
          <w:between w:val="nil"/>
        </w:pBdr>
        <w:tabs>
          <w:tab w:val="left" w:pos="142"/>
        </w:tabs>
        <w:spacing w:before="120" w:after="240" w:line="240" w:lineRule="auto"/>
        <w:jc w:val="both"/>
        <w:rPr>
          <w:rFonts w:ascii="Arial" w:hAnsi="Arial" w:cs="Arial"/>
        </w:rPr>
      </w:pPr>
      <w:r w:rsidRPr="00B75117">
        <w:rPr>
          <w:rFonts w:ascii="Arial" w:eastAsia="Arial" w:hAnsi="Arial" w:cs="Arial"/>
          <w:b/>
        </w:rPr>
        <w:t>Costs And Expenses</w:t>
      </w:r>
    </w:p>
    <w:p w14:paraId="000000B3" w14:textId="77777777" w:rsidR="00335955" w:rsidRPr="00B75117" w:rsidRDefault="00515352">
      <w:pPr>
        <w:numPr>
          <w:ilvl w:val="1"/>
          <w:numId w:val="3"/>
        </w:numPr>
        <w:pBdr>
          <w:top w:val="nil"/>
          <w:left w:val="nil"/>
          <w:bottom w:val="nil"/>
          <w:right w:val="nil"/>
          <w:between w:val="nil"/>
        </w:pBdr>
        <w:tabs>
          <w:tab w:val="left" w:pos="709"/>
        </w:tabs>
        <w:spacing w:before="120" w:after="120" w:line="240" w:lineRule="auto"/>
        <w:rPr>
          <w:rFonts w:ascii="Arial" w:hAnsi="Arial" w:cs="Arial"/>
        </w:rPr>
      </w:pPr>
      <w:bookmarkStart w:id="62" w:name="_heading=h.2s8eyo1" w:colFirst="0" w:colLast="0"/>
      <w:bookmarkEnd w:id="62"/>
      <w:r w:rsidRPr="00B75117">
        <w:rPr>
          <w:rFonts w:ascii="Arial" w:eastAsia="Arial" w:hAnsi="Arial" w:cs="Arial"/>
        </w:rPr>
        <w:t>Except as expressly set out as stated in an Order Form, the Framework Prices shall include all costs and expenses relating to the provision of Deliverables.  No further amounts shall be payable in respect of matters such as:</w:t>
      </w:r>
    </w:p>
    <w:p w14:paraId="000000B4" w14:textId="77777777" w:rsidR="00335955" w:rsidRPr="00B75117" w:rsidRDefault="00515352">
      <w:pPr>
        <w:numPr>
          <w:ilvl w:val="2"/>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rPr>
        <w:t>incidental expenses such as travel, subsistence and lodging, document or report reproduction, shipping, desktop or office equipment costs, network or data interchange costs or other telecommunications charges; or</w:t>
      </w:r>
    </w:p>
    <w:p w14:paraId="000000B5" w14:textId="77777777" w:rsidR="00335955" w:rsidRPr="00B75117" w:rsidRDefault="00515352">
      <w:pPr>
        <w:numPr>
          <w:ilvl w:val="2"/>
          <w:numId w:val="3"/>
        </w:numPr>
        <w:pBdr>
          <w:top w:val="nil"/>
          <w:left w:val="nil"/>
          <w:bottom w:val="nil"/>
          <w:right w:val="nil"/>
          <w:between w:val="nil"/>
        </w:pBdr>
        <w:tabs>
          <w:tab w:val="left" w:pos="709"/>
        </w:tabs>
        <w:spacing w:before="120" w:after="120" w:line="240" w:lineRule="auto"/>
        <w:rPr>
          <w:rFonts w:ascii="Arial" w:hAnsi="Arial" w:cs="Arial"/>
        </w:rPr>
      </w:pPr>
      <w:r w:rsidRPr="00B75117">
        <w:rPr>
          <w:rFonts w:ascii="Arial" w:eastAsia="Arial" w:hAnsi="Arial" w:cs="Arial"/>
        </w:rPr>
        <w:t>costs incurred prior to the commencement of any Call-Off Contract.</w:t>
      </w:r>
    </w:p>
    <w:p w14:paraId="000000B6" w14:textId="77777777" w:rsidR="00335955" w:rsidRPr="00B75117" w:rsidRDefault="00335955">
      <w:pPr>
        <w:pBdr>
          <w:top w:val="nil"/>
          <w:left w:val="nil"/>
          <w:bottom w:val="nil"/>
          <w:right w:val="nil"/>
          <w:between w:val="nil"/>
        </w:pBdr>
        <w:tabs>
          <w:tab w:val="left" w:pos="709"/>
        </w:tabs>
        <w:spacing w:before="120" w:after="120" w:line="240" w:lineRule="auto"/>
        <w:ind w:left="1134"/>
        <w:rPr>
          <w:rFonts w:ascii="Arial" w:eastAsia="Arial" w:hAnsi="Arial" w:cs="Arial"/>
        </w:rPr>
      </w:pPr>
    </w:p>
    <w:p w14:paraId="000000B7" w14:textId="77777777" w:rsidR="00335955" w:rsidRPr="00B75117" w:rsidRDefault="00335955">
      <w:pPr>
        <w:rPr>
          <w:rFonts w:ascii="Arial" w:eastAsia="Arial" w:hAnsi="Arial" w:cs="Arial"/>
        </w:rPr>
      </w:pPr>
    </w:p>
    <w:p w14:paraId="000000B8" w14:textId="77777777" w:rsidR="00335955" w:rsidRPr="00B75117" w:rsidRDefault="00335955">
      <w:pPr>
        <w:pBdr>
          <w:top w:val="nil"/>
          <w:left w:val="nil"/>
          <w:bottom w:val="nil"/>
          <w:right w:val="nil"/>
          <w:between w:val="nil"/>
        </w:pBdr>
        <w:tabs>
          <w:tab w:val="left" w:pos="1985"/>
          <w:tab w:val="left" w:pos="2127"/>
        </w:tabs>
        <w:spacing w:before="120" w:after="120" w:line="240" w:lineRule="auto"/>
        <w:ind w:left="1980" w:hanging="1372"/>
        <w:rPr>
          <w:rFonts w:ascii="Arial" w:eastAsia="Arial" w:hAnsi="Arial" w:cs="Arial"/>
          <w:color w:val="000000"/>
        </w:rPr>
      </w:pPr>
    </w:p>
    <w:p w14:paraId="000000B9" w14:textId="77777777" w:rsidR="00335955" w:rsidRPr="00B75117" w:rsidRDefault="00335955">
      <w:pPr>
        <w:pBdr>
          <w:top w:val="nil"/>
          <w:left w:val="nil"/>
          <w:bottom w:val="nil"/>
          <w:right w:val="nil"/>
          <w:between w:val="nil"/>
        </w:pBdr>
        <w:tabs>
          <w:tab w:val="left" w:pos="0"/>
        </w:tabs>
        <w:spacing w:before="240" w:after="240" w:line="240" w:lineRule="auto"/>
        <w:ind w:left="644" w:hanging="360"/>
        <w:jc w:val="both"/>
        <w:rPr>
          <w:rFonts w:ascii="Arial" w:eastAsia="Arial" w:hAnsi="Arial" w:cs="Arial"/>
          <w:b/>
          <w:smallCaps/>
          <w:color w:val="000000"/>
        </w:rPr>
      </w:pPr>
    </w:p>
    <w:p w14:paraId="000000BA" w14:textId="77777777" w:rsidR="00335955" w:rsidRPr="00B75117" w:rsidRDefault="00335955">
      <w:pPr>
        <w:pBdr>
          <w:top w:val="nil"/>
          <w:left w:val="nil"/>
          <w:bottom w:val="nil"/>
          <w:right w:val="nil"/>
          <w:between w:val="nil"/>
        </w:pBdr>
        <w:tabs>
          <w:tab w:val="left" w:pos="1985"/>
          <w:tab w:val="left" w:pos="2127"/>
        </w:tabs>
        <w:spacing w:before="120" w:after="120" w:line="240" w:lineRule="auto"/>
        <w:ind w:left="1656" w:hanging="1372"/>
        <w:rPr>
          <w:rFonts w:ascii="Arial" w:eastAsia="Arial" w:hAnsi="Arial" w:cs="Arial"/>
          <w:color w:val="000000"/>
        </w:rPr>
      </w:pPr>
    </w:p>
    <w:p w14:paraId="000000BB" w14:textId="77777777" w:rsidR="00335955" w:rsidRPr="00B75117" w:rsidRDefault="00515352">
      <w:pPr>
        <w:rPr>
          <w:rFonts w:ascii="Arial" w:eastAsia="Arial" w:hAnsi="Arial" w:cs="Arial"/>
          <w:b/>
        </w:rPr>
      </w:pPr>
      <w:bookmarkStart w:id="63" w:name="_heading=h.3rdcrjn" w:colFirst="0" w:colLast="0"/>
      <w:bookmarkEnd w:id="63"/>
      <w:r w:rsidRPr="00B75117">
        <w:rPr>
          <w:rFonts w:ascii="Arial" w:hAnsi="Arial" w:cs="Arial"/>
        </w:rPr>
        <w:br w:type="page"/>
      </w:r>
      <w:r w:rsidRPr="00B75117">
        <w:rPr>
          <w:rFonts w:ascii="Arial" w:eastAsia="Arial" w:hAnsi="Arial" w:cs="Arial"/>
          <w:b/>
        </w:rPr>
        <w:lastRenderedPageBreak/>
        <w:t>Annex 1: Rates and Prices</w:t>
      </w:r>
    </w:p>
    <w:p w14:paraId="000000BF" w14:textId="77777777" w:rsidR="00335955" w:rsidRPr="00B75117" w:rsidRDefault="00515352" w:rsidP="00FB15B4">
      <w:pPr>
        <w:spacing w:before="240" w:after="240"/>
        <w:rPr>
          <w:rFonts w:ascii="Arial" w:eastAsia="Arial" w:hAnsi="Arial" w:cs="Arial"/>
          <w:b/>
        </w:rPr>
      </w:pPr>
      <w:r w:rsidRPr="00B75117">
        <w:rPr>
          <w:rFonts w:ascii="Arial" w:eastAsia="Arial" w:hAnsi="Arial" w:cs="Arial"/>
          <w:b/>
        </w:rPr>
        <w:t>[</w:t>
      </w:r>
      <w:r w:rsidRPr="00B75117">
        <w:rPr>
          <w:rFonts w:ascii="Arial" w:eastAsia="Arial" w:hAnsi="Arial" w:cs="Arial"/>
          <w:b/>
          <w:highlight w:val="yellow"/>
        </w:rPr>
        <w:t>Guidance Note:</w:t>
      </w:r>
      <w:r w:rsidRPr="00B75117">
        <w:rPr>
          <w:rFonts w:ascii="Arial" w:eastAsia="Arial" w:hAnsi="Arial" w:cs="Arial"/>
          <w:b/>
        </w:rPr>
        <w:t xml:space="preserve"> Place a copy of the Supplier’s response to relevant award</w:t>
      </w:r>
    </w:p>
    <w:p w14:paraId="000000C0" w14:textId="77777777" w:rsidR="00335955" w:rsidRPr="00B75117" w:rsidRDefault="00515352">
      <w:pPr>
        <w:spacing w:before="240" w:after="240"/>
        <w:rPr>
          <w:rFonts w:ascii="Arial" w:eastAsia="Arial" w:hAnsi="Arial" w:cs="Arial"/>
          <w:b/>
        </w:rPr>
      </w:pPr>
      <w:bookmarkStart w:id="64" w:name="_heading=h.lnxbz9" w:colFirst="0" w:colLast="0"/>
      <w:bookmarkEnd w:id="64"/>
      <w:r w:rsidRPr="00B75117">
        <w:rPr>
          <w:rFonts w:ascii="Arial" w:eastAsia="Arial" w:hAnsi="Arial" w:cs="Arial"/>
          <w:b/>
        </w:rPr>
        <w:t>questionnaire pricing here once awarded.]</w:t>
      </w:r>
    </w:p>
    <w:p w14:paraId="000000C1" w14:textId="77777777" w:rsidR="00335955" w:rsidRPr="00B75117" w:rsidRDefault="00335955">
      <w:pPr>
        <w:spacing w:before="240" w:after="240"/>
        <w:rPr>
          <w:rFonts w:ascii="Arial" w:eastAsia="Arial" w:hAnsi="Arial" w:cs="Arial"/>
          <w:b/>
        </w:rPr>
      </w:pPr>
      <w:bookmarkStart w:id="65" w:name="_heading=h.c6g8fwkjw46t" w:colFirst="0" w:colLast="0"/>
      <w:bookmarkEnd w:id="65"/>
    </w:p>
    <w:p w14:paraId="000000C2" w14:textId="5ADC0284" w:rsidR="00B75117" w:rsidRDefault="00B75117">
      <w:pPr>
        <w:rPr>
          <w:rFonts w:ascii="Arial" w:eastAsia="Arial" w:hAnsi="Arial" w:cs="Arial"/>
          <w:b/>
        </w:rPr>
      </w:pPr>
      <w:bookmarkStart w:id="66" w:name="_heading=h.d4f70m5ewfj3" w:colFirst="0" w:colLast="0"/>
      <w:bookmarkEnd w:id="66"/>
      <w:r>
        <w:rPr>
          <w:rFonts w:ascii="Arial" w:eastAsia="Arial" w:hAnsi="Arial" w:cs="Arial"/>
          <w:b/>
        </w:rPr>
        <w:br w:type="page"/>
      </w:r>
    </w:p>
    <w:p w14:paraId="000000D3" w14:textId="77777777" w:rsidR="00335955" w:rsidRPr="00B75117" w:rsidRDefault="00515352">
      <w:pPr>
        <w:tabs>
          <w:tab w:val="left" w:pos="851"/>
        </w:tabs>
        <w:spacing w:after="240" w:line="240" w:lineRule="auto"/>
        <w:jc w:val="both"/>
        <w:rPr>
          <w:rFonts w:ascii="Arial" w:eastAsia="Arial" w:hAnsi="Arial" w:cs="Arial"/>
        </w:rPr>
      </w:pPr>
      <w:bookmarkStart w:id="67" w:name="_heading=h.zzt0lazd7fx" w:colFirst="0" w:colLast="0"/>
      <w:bookmarkStart w:id="68" w:name="_heading=h.g2dwbkpqm90f" w:colFirst="0" w:colLast="0"/>
      <w:bookmarkStart w:id="69" w:name="_heading=h.vy1ddjjdg0vb" w:colFirst="0" w:colLast="0"/>
      <w:bookmarkStart w:id="70" w:name="_heading=h.2quqw57fdli7" w:colFirst="0" w:colLast="0"/>
      <w:bookmarkStart w:id="71" w:name="_heading=h.wit6uxpmd0gd" w:colFirst="0" w:colLast="0"/>
      <w:bookmarkStart w:id="72" w:name="_heading=h.x3ja7bbnjpwi" w:colFirst="0" w:colLast="0"/>
      <w:bookmarkStart w:id="73" w:name="_heading=h.fe3s3za9tqc3" w:colFirst="0" w:colLast="0"/>
      <w:bookmarkStart w:id="74" w:name="_heading=h.zgha0wmepp14" w:colFirst="0" w:colLast="0"/>
      <w:bookmarkStart w:id="75" w:name="_heading=h.e80r8jn72bo4" w:colFirst="0" w:colLast="0"/>
      <w:bookmarkStart w:id="76" w:name="_heading=h.2rdhqhu4om8f" w:colFirst="0" w:colLast="0"/>
      <w:bookmarkStart w:id="77" w:name="_heading=h.ue2bpmab72ek" w:colFirst="0" w:colLast="0"/>
      <w:bookmarkStart w:id="78" w:name="_heading=h.8l3iwnfgndlo" w:colFirst="0" w:colLast="0"/>
      <w:bookmarkStart w:id="79" w:name="_heading=h.mce7mw96q3a8" w:colFirst="0" w:colLast="0"/>
      <w:bookmarkStart w:id="80" w:name="_heading=h.sg12lrg25q9y" w:colFirst="0" w:colLast="0"/>
      <w:bookmarkStart w:id="81" w:name="_heading=h.1bt10ss4ruat" w:colFirst="0" w:colLast="0"/>
      <w:bookmarkStart w:id="82" w:name="_heading=h.u1ft1cq6gzkz" w:colFirst="0" w:colLast="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B75117">
        <w:rPr>
          <w:rFonts w:ascii="Arial" w:eastAsia="Arial" w:hAnsi="Arial" w:cs="Arial"/>
          <w:b/>
        </w:rPr>
        <w:lastRenderedPageBreak/>
        <w:t xml:space="preserve">Annex 2 - Pricing Models </w:t>
      </w:r>
    </w:p>
    <w:p w14:paraId="000000D4" w14:textId="77777777" w:rsidR="00335955" w:rsidRPr="00B75117" w:rsidRDefault="00515352">
      <w:pPr>
        <w:tabs>
          <w:tab w:val="left" w:pos="851"/>
        </w:tabs>
        <w:spacing w:after="240" w:line="240" w:lineRule="auto"/>
        <w:jc w:val="both"/>
        <w:rPr>
          <w:rFonts w:ascii="Arial" w:eastAsia="Arial" w:hAnsi="Arial" w:cs="Arial"/>
        </w:rPr>
      </w:pPr>
      <w:r w:rsidRPr="00B75117">
        <w:rPr>
          <w:rFonts w:ascii="Arial" w:eastAsia="Arial" w:hAnsi="Arial" w:cs="Arial"/>
        </w:rPr>
        <w:br/>
        <w:t xml:space="preserve">One of the following pricing models may be used to evaluate a Call Off tender and shall be selected based on the specific commercial needs of each Call Off Contract. </w:t>
      </w:r>
    </w:p>
    <w:p w14:paraId="000000D5" w14:textId="77777777" w:rsidR="00335955" w:rsidRPr="00B75117" w:rsidRDefault="00515352">
      <w:pPr>
        <w:tabs>
          <w:tab w:val="left" w:pos="851"/>
        </w:tabs>
        <w:spacing w:after="240" w:line="240" w:lineRule="auto"/>
        <w:jc w:val="both"/>
        <w:rPr>
          <w:rFonts w:ascii="Arial" w:eastAsia="Arial" w:hAnsi="Arial" w:cs="Arial"/>
        </w:rPr>
      </w:pPr>
      <w:r w:rsidRPr="00B75117">
        <w:rPr>
          <w:rFonts w:ascii="Arial" w:eastAsia="Arial" w:hAnsi="Arial" w:cs="Arial"/>
        </w:rPr>
        <w:t>A detailed description of the pricing model selected will be defined in the Call Off specification.</w:t>
      </w:r>
    </w:p>
    <w:p w14:paraId="000000D6" w14:textId="77777777" w:rsidR="00335955" w:rsidRPr="00B75117" w:rsidRDefault="00515352">
      <w:pPr>
        <w:shd w:val="clear" w:color="auto" w:fill="FFFFFF"/>
        <w:tabs>
          <w:tab w:val="left" w:pos="851"/>
        </w:tabs>
        <w:spacing w:after="0" w:line="240" w:lineRule="auto"/>
        <w:jc w:val="both"/>
        <w:rPr>
          <w:rFonts w:ascii="Arial" w:eastAsia="Arial" w:hAnsi="Arial" w:cs="Arial"/>
        </w:rPr>
      </w:pPr>
      <w:r w:rsidRPr="00B75117">
        <w:rPr>
          <w:rFonts w:ascii="Arial" w:eastAsia="Arial" w:hAnsi="Arial" w:cs="Arial"/>
          <w:b/>
        </w:rPr>
        <w:t>Fixed price</w:t>
      </w:r>
    </w:p>
    <w:p w14:paraId="000000D7" w14:textId="77777777" w:rsidR="00335955" w:rsidRPr="00B75117" w:rsidRDefault="00515352">
      <w:pPr>
        <w:shd w:val="clear" w:color="auto" w:fill="FFFFFF"/>
        <w:tabs>
          <w:tab w:val="left" w:pos="851"/>
        </w:tabs>
        <w:spacing w:after="0" w:line="240" w:lineRule="auto"/>
        <w:jc w:val="both"/>
        <w:rPr>
          <w:rFonts w:ascii="Arial" w:eastAsia="Arial" w:hAnsi="Arial" w:cs="Arial"/>
        </w:rPr>
      </w:pPr>
      <w:r w:rsidRPr="00B75117">
        <w:rPr>
          <w:rFonts w:ascii="Arial" w:eastAsia="Arial" w:hAnsi="Arial" w:cs="Arial"/>
        </w:rPr>
        <w:t>A fixed annual price for all services defined in the Call-Off Contract.  This fixed price will be based on defined volumes.</w:t>
      </w:r>
    </w:p>
    <w:p w14:paraId="000000D8" w14:textId="77777777" w:rsidR="00335955" w:rsidRPr="00B75117" w:rsidRDefault="00515352">
      <w:pPr>
        <w:shd w:val="clear" w:color="auto" w:fill="FFFFFF"/>
        <w:tabs>
          <w:tab w:val="left" w:pos="851"/>
        </w:tabs>
        <w:spacing w:after="0" w:line="240" w:lineRule="auto"/>
        <w:jc w:val="both"/>
        <w:rPr>
          <w:rFonts w:ascii="Arial" w:eastAsia="Arial" w:hAnsi="Arial" w:cs="Arial"/>
        </w:rPr>
      </w:pPr>
      <w:r w:rsidRPr="00B75117">
        <w:rPr>
          <w:rFonts w:ascii="Arial" w:eastAsia="Arial" w:hAnsi="Arial" w:cs="Arial"/>
        </w:rPr>
        <w:t xml:space="preserve"> </w:t>
      </w:r>
    </w:p>
    <w:p w14:paraId="000000D9" w14:textId="77777777" w:rsidR="00335955" w:rsidRPr="00B75117" w:rsidRDefault="00515352">
      <w:pPr>
        <w:shd w:val="clear" w:color="auto" w:fill="FFFFFF"/>
        <w:tabs>
          <w:tab w:val="left" w:pos="851"/>
        </w:tabs>
        <w:spacing w:after="0" w:line="240" w:lineRule="auto"/>
        <w:jc w:val="both"/>
        <w:rPr>
          <w:rFonts w:ascii="Arial" w:eastAsia="Arial" w:hAnsi="Arial" w:cs="Arial"/>
          <w:b/>
        </w:rPr>
      </w:pPr>
      <w:r w:rsidRPr="00B75117">
        <w:rPr>
          <w:rFonts w:ascii="Arial" w:eastAsia="Arial" w:hAnsi="Arial" w:cs="Arial"/>
          <w:b/>
        </w:rPr>
        <w:t>Target Cost</w:t>
      </w:r>
    </w:p>
    <w:p w14:paraId="000000DA" w14:textId="77777777" w:rsidR="00335955" w:rsidRPr="00B75117" w:rsidRDefault="00335955">
      <w:pPr>
        <w:shd w:val="clear" w:color="auto" w:fill="FFFFFF"/>
        <w:tabs>
          <w:tab w:val="left" w:pos="851"/>
        </w:tabs>
        <w:spacing w:after="0" w:line="240" w:lineRule="auto"/>
        <w:jc w:val="both"/>
        <w:rPr>
          <w:rFonts w:ascii="Arial" w:eastAsia="Arial" w:hAnsi="Arial" w:cs="Arial"/>
          <w:b/>
        </w:rPr>
      </w:pPr>
    </w:p>
    <w:p w14:paraId="000000DB" w14:textId="77777777" w:rsidR="00335955" w:rsidRPr="00B75117" w:rsidRDefault="00515352">
      <w:pPr>
        <w:shd w:val="clear" w:color="auto" w:fill="FFFFFF"/>
        <w:tabs>
          <w:tab w:val="left" w:pos="851"/>
        </w:tabs>
        <w:spacing w:after="0" w:line="240" w:lineRule="auto"/>
        <w:jc w:val="both"/>
        <w:rPr>
          <w:rFonts w:ascii="Arial" w:eastAsia="Arial" w:hAnsi="Arial" w:cs="Arial"/>
        </w:rPr>
      </w:pPr>
      <w:r w:rsidRPr="00B75117">
        <w:rPr>
          <w:rFonts w:ascii="Arial" w:eastAsia="Arial" w:hAnsi="Arial" w:cs="Arial"/>
        </w:rPr>
        <w:t>A contract under which the contractor is paid the 'actual cost' (usually defined in the particular contract) it incurs in carrying out the works, but subject to a target cost which is agreed by the parties at the beginning of the project.</w:t>
      </w:r>
    </w:p>
    <w:p w14:paraId="000000DC" w14:textId="77777777" w:rsidR="00335955" w:rsidRPr="00B75117" w:rsidRDefault="00335955">
      <w:pPr>
        <w:spacing w:after="0" w:line="240" w:lineRule="auto"/>
        <w:jc w:val="both"/>
        <w:rPr>
          <w:rFonts w:ascii="Arial" w:eastAsia="Arial" w:hAnsi="Arial" w:cs="Arial"/>
        </w:rPr>
      </w:pPr>
    </w:p>
    <w:p w14:paraId="000000DD" w14:textId="77777777" w:rsidR="00335955" w:rsidRPr="00B75117" w:rsidRDefault="00515352">
      <w:pPr>
        <w:spacing w:after="0" w:line="240" w:lineRule="auto"/>
        <w:jc w:val="both"/>
        <w:rPr>
          <w:rFonts w:ascii="Arial" w:eastAsia="Arial" w:hAnsi="Arial" w:cs="Arial"/>
        </w:rPr>
      </w:pPr>
      <w:r w:rsidRPr="00B75117">
        <w:rPr>
          <w:rFonts w:ascii="Arial" w:eastAsia="Arial" w:hAnsi="Arial" w:cs="Arial"/>
          <w:b/>
          <w:color w:val="202124"/>
          <w:highlight w:val="white"/>
        </w:rPr>
        <w:t xml:space="preserve">Cost Plus </w:t>
      </w:r>
    </w:p>
    <w:p w14:paraId="000000DE" w14:textId="77777777" w:rsidR="00335955" w:rsidRPr="00B75117" w:rsidRDefault="00515352">
      <w:pPr>
        <w:spacing w:after="0" w:line="240" w:lineRule="auto"/>
        <w:jc w:val="both"/>
        <w:rPr>
          <w:rFonts w:ascii="Arial" w:eastAsia="Arial" w:hAnsi="Arial" w:cs="Arial"/>
        </w:rPr>
      </w:pPr>
      <w:r w:rsidRPr="00B75117">
        <w:rPr>
          <w:rFonts w:ascii="Arial" w:eastAsia="Arial" w:hAnsi="Arial" w:cs="Arial"/>
        </w:rPr>
        <w:t>The direct material cost, direct labour cost, and overhead costs for a product are added up and added to a mark-up percentage (to create a profit margin) in order to derive the price of the product</w:t>
      </w:r>
    </w:p>
    <w:p w14:paraId="000000DF" w14:textId="77777777" w:rsidR="00335955" w:rsidRPr="00B75117" w:rsidRDefault="00335955">
      <w:pPr>
        <w:tabs>
          <w:tab w:val="left" w:pos="851"/>
        </w:tabs>
        <w:spacing w:after="240" w:line="240" w:lineRule="auto"/>
        <w:jc w:val="both"/>
        <w:rPr>
          <w:rFonts w:ascii="Arial" w:eastAsia="Arial" w:hAnsi="Arial" w:cs="Arial"/>
        </w:rPr>
      </w:pPr>
    </w:p>
    <w:p w14:paraId="000000E0" w14:textId="77777777" w:rsidR="00335955" w:rsidRPr="00B75117" w:rsidRDefault="00335955">
      <w:pPr>
        <w:spacing w:after="0" w:line="240" w:lineRule="auto"/>
        <w:jc w:val="both"/>
        <w:rPr>
          <w:rFonts w:ascii="Arial" w:eastAsia="Arial" w:hAnsi="Arial" w:cs="Arial"/>
        </w:rPr>
      </w:pPr>
    </w:p>
    <w:p w14:paraId="000000E1" w14:textId="77777777" w:rsidR="00335955" w:rsidRPr="00B75117" w:rsidRDefault="00335955">
      <w:pPr>
        <w:spacing w:after="0" w:line="240" w:lineRule="auto"/>
        <w:jc w:val="both"/>
        <w:rPr>
          <w:rFonts w:ascii="Arial" w:eastAsia="Arial" w:hAnsi="Arial" w:cs="Arial"/>
        </w:rPr>
      </w:pPr>
    </w:p>
    <w:p w14:paraId="000000E2" w14:textId="77777777" w:rsidR="00335955" w:rsidRPr="00B75117" w:rsidRDefault="00335955">
      <w:pPr>
        <w:spacing w:after="0" w:line="240" w:lineRule="auto"/>
        <w:jc w:val="both"/>
        <w:rPr>
          <w:rFonts w:ascii="Arial" w:eastAsia="Arial" w:hAnsi="Arial" w:cs="Arial"/>
        </w:rPr>
      </w:pPr>
    </w:p>
    <w:p w14:paraId="000000E3" w14:textId="77777777" w:rsidR="00335955" w:rsidRPr="00B75117" w:rsidRDefault="00335955" w:rsidP="00B75117">
      <w:pPr>
        <w:ind w:left="360"/>
        <w:rPr>
          <w:rFonts w:ascii="Arial" w:eastAsia="Arial" w:hAnsi="Arial" w:cs="Arial"/>
          <w:b/>
        </w:rPr>
      </w:pPr>
    </w:p>
    <w:sectPr w:rsidR="00335955" w:rsidRPr="00B75117">
      <w:headerReference w:type="default" r:id="rId8"/>
      <w:footerReference w:type="default" r:id="rId9"/>
      <w:headerReference w:type="first" r:id="rId10"/>
      <w:footerReference w:type="first" r:id="rId11"/>
      <w:pgSz w:w="11906" w:h="16838"/>
      <w:pgMar w:top="1888"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88B1" w14:textId="77777777" w:rsidR="00F45651" w:rsidRDefault="00F45651">
      <w:pPr>
        <w:spacing w:after="0" w:line="240" w:lineRule="auto"/>
      </w:pPr>
      <w:r>
        <w:separator/>
      </w:r>
    </w:p>
  </w:endnote>
  <w:endnote w:type="continuationSeparator" w:id="0">
    <w:p w14:paraId="53389628" w14:textId="77777777" w:rsidR="00F45651" w:rsidRDefault="00F4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B" w14:textId="77777777" w:rsidR="00335955" w:rsidRDefault="0051535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RM6331</w:t>
    </w:r>
    <w:r>
      <w:rPr>
        <w:rFonts w:ascii="Arial" w:eastAsia="Arial" w:hAnsi="Arial" w:cs="Arial"/>
        <w:sz w:val="20"/>
        <w:szCs w:val="20"/>
      </w:rPr>
      <w:tab/>
      <w:t xml:space="preserve">                                           </w:t>
    </w:r>
  </w:p>
  <w:p w14:paraId="000000EC" w14:textId="741C607B" w:rsidR="00335955" w:rsidRDefault="005153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E16CCE">
      <w:rPr>
        <w:rFonts w:ascii="Arial" w:eastAsia="Arial" w:hAnsi="Arial" w:cs="Arial"/>
        <w:sz w:val="20"/>
        <w:szCs w:val="20"/>
      </w:rPr>
      <w:t>4</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9059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ED" w14:textId="77777777" w:rsidR="00335955" w:rsidRDefault="00515352">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8" w14:textId="77777777" w:rsidR="00335955" w:rsidRDefault="00515352">
    <w:pPr>
      <w:tabs>
        <w:tab w:val="center" w:pos="4513"/>
        <w:tab w:val="right" w:pos="9026"/>
      </w:tabs>
      <w:spacing w:after="0"/>
    </w:pPr>
    <w:r>
      <w:t>Framework Ref: RM</w:t>
    </w:r>
    <w:r>
      <w:tab/>
      <w:t xml:space="preserve">                                           </w:t>
    </w:r>
  </w:p>
  <w:p w14:paraId="000000E9" w14:textId="77777777" w:rsidR="00335955" w:rsidRDefault="005153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EA" w14:textId="77777777" w:rsidR="00335955" w:rsidRDefault="00515352">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7E40" w14:textId="77777777" w:rsidR="00F45651" w:rsidRDefault="00F45651">
      <w:pPr>
        <w:spacing w:after="0" w:line="240" w:lineRule="auto"/>
      </w:pPr>
      <w:r>
        <w:separator/>
      </w:r>
    </w:p>
  </w:footnote>
  <w:footnote w:type="continuationSeparator" w:id="0">
    <w:p w14:paraId="577A53C6" w14:textId="77777777" w:rsidR="00F45651" w:rsidRDefault="00F45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6" w14:textId="77777777" w:rsidR="00335955" w:rsidRDefault="0051535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000000E7" w14:textId="77777777" w:rsidR="00335955" w:rsidRDefault="005153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4" w14:textId="77777777" w:rsidR="00335955" w:rsidRDefault="0051535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000000E5" w14:textId="77777777" w:rsidR="00335955" w:rsidRDefault="00515352">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74A11"/>
    <w:multiLevelType w:val="multilevel"/>
    <w:tmpl w:val="707229E8"/>
    <w:lvl w:ilvl="0">
      <w:start w:val="1"/>
      <w:numFmt w:val="decimal"/>
      <w:lvlText w:val="%1."/>
      <w:lvlJc w:val="right"/>
      <w:pPr>
        <w:ind w:left="360" w:hanging="360"/>
      </w:pPr>
      <w:rPr>
        <w:rFonts w:ascii="Arial" w:eastAsia="Arial" w:hAnsi="Arial" w:cs="Arial"/>
        <w:b/>
        <w:smallCaps w:val="0"/>
        <w:strike w:val="0"/>
        <w:color w:val="000000"/>
        <w:sz w:val="24"/>
        <w:szCs w:val="24"/>
        <w:u w:val="none"/>
        <w:vertAlign w:val="baseline"/>
      </w:rPr>
    </w:lvl>
    <w:lvl w:ilvl="1">
      <w:start w:val="1"/>
      <w:numFmt w:val="decimal"/>
      <w:lvlText w:val="%1.%2."/>
      <w:lvlJc w:val="right"/>
      <w:pPr>
        <w:ind w:left="1777"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right"/>
      <w:pPr>
        <w:ind w:left="990" w:hanging="720"/>
      </w:pPr>
      <w:rPr>
        <w:b w:val="0"/>
        <w:i w:val="0"/>
        <w:smallCaps w:val="0"/>
        <w:strike w:val="0"/>
        <w:color w:val="000000"/>
        <w:sz w:val="24"/>
        <w:szCs w:val="24"/>
        <w:u w:val="none"/>
        <w:vertAlign w:val="baseline"/>
      </w:rPr>
    </w:lvl>
    <w:lvl w:ilvl="3">
      <w:start w:val="1"/>
      <w:numFmt w:val="decimal"/>
      <w:lvlText w:val="%1.%2.%3.%4."/>
      <w:lvlJc w:val="right"/>
      <w:pPr>
        <w:ind w:left="3272" w:hanging="720"/>
      </w:pPr>
      <w:rPr>
        <w:rFonts w:ascii="Calibri" w:eastAsia="Calibri" w:hAnsi="Calibri" w:cs="Calibri"/>
        <w:b w:val="0"/>
        <w:i w:val="0"/>
        <w:smallCaps w:val="0"/>
        <w:strike w:val="0"/>
        <w:color w:val="000000"/>
        <w:u w:val="none"/>
        <w:vertAlign w:val="baseline"/>
      </w:rPr>
    </w:lvl>
    <w:lvl w:ilvl="4">
      <w:start w:val="1"/>
      <w:numFmt w:val="decimal"/>
      <w:lvlText w:val="%1.%2.%3.%4.%5."/>
      <w:lvlJc w:val="right"/>
      <w:pPr>
        <w:ind w:left="3349" w:hanging="1080"/>
      </w:pPr>
      <w:rPr>
        <w:b w:val="0"/>
        <w:i w:val="0"/>
        <w:smallCaps w:val="0"/>
        <w:strike w:val="0"/>
        <w:color w:val="000000"/>
        <w:u w:val="none"/>
        <w:vertAlign w:val="baseline"/>
      </w:rPr>
    </w:lvl>
    <w:lvl w:ilvl="5">
      <w:start w:val="1"/>
      <w:numFmt w:val="decimal"/>
      <w:lvlText w:val="%1.%2.%3.%4.%5.%6."/>
      <w:lvlJc w:val="right"/>
      <w:pPr>
        <w:ind w:left="1440" w:hanging="1080"/>
      </w:pPr>
      <w:rPr>
        <w:b w:val="0"/>
        <w:i w:val="0"/>
        <w:smallCaps w:val="0"/>
        <w:strike w:val="0"/>
        <w:color w:val="000000"/>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1" w15:restartNumberingAfterBreak="0">
    <w:nsid w:val="2EE77FDD"/>
    <w:multiLevelType w:val="multilevel"/>
    <w:tmpl w:val="2728A854"/>
    <w:lvl w:ilvl="0">
      <w:start w:val="1"/>
      <w:numFmt w:val="decimal"/>
      <w:lvlText w:val="%1."/>
      <w:lvlJc w:val="right"/>
      <w:pPr>
        <w:ind w:left="360" w:hanging="360"/>
      </w:pPr>
      <w:rPr>
        <w:rFonts w:ascii="Arial" w:eastAsia="Arial" w:hAnsi="Arial" w:cs="Arial"/>
        <w:b/>
        <w:smallCaps w:val="0"/>
        <w:strike w:val="0"/>
        <w:color w:val="000000"/>
        <w:sz w:val="24"/>
        <w:szCs w:val="24"/>
        <w:u w:val="none"/>
        <w:vertAlign w:val="baseline"/>
      </w:rPr>
    </w:lvl>
    <w:lvl w:ilvl="1">
      <w:start w:val="1"/>
      <w:numFmt w:val="decimal"/>
      <w:lvlText w:val="%1.%2."/>
      <w:lvlJc w:val="right"/>
      <w:pPr>
        <w:ind w:left="1777"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right"/>
      <w:pPr>
        <w:ind w:left="990" w:hanging="720"/>
      </w:pPr>
      <w:rPr>
        <w:b w:val="0"/>
        <w:i w:val="0"/>
        <w:smallCaps w:val="0"/>
        <w:strike w:val="0"/>
        <w:color w:val="000000"/>
        <w:sz w:val="24"/>
        <w:szCs w:val="24"/>
        <w:u w:val="none"/>
        <w:vertAlign w:val="baseline"/>
      </w:rPr>
    </w:lvl>
    <w:lvl w:ilvl="3">
      <w:start w:val="1"/>
      <w:numFmt w:val="decimal"/>
      <w:lvlText w:val="%1.%2.%3.%4."/>
      <w:lvlJc w:val="right"/>
      <w:pPr>
        <w:ind w:left="3272" w:hanging="720"/>
      </w:pPr>
      <w:rPr>
        <w:rFonts w:ascii="Calibri" w:eastAsia="Calibri" w:hAnsi="Calibri" w:cs="Calibri"/>
        <w:b w:val="0"/>
        <w:i w:val="0"/>
        <w:smallCaps w:val="0"/>
        <w:strike w:val="0"/>
        <w:color w:val="000000"/>
        <w:sz w:val="22"/>
        <w:szCs w:val="22"/>
        <w:u w:val="none"/>
        <w:vertAlign w:val="baseline"/>
      </w:rPr>
    </w:lvl>
    <w:lvl w:ilvl="4">
      <w:start w:val="1"/>
      <w:numFmt w:val="decimal"/>
      <w:lvlText w:val="%1.%2.%3.%4.%5."/>
      <w:lvlJc w:val="right"/>
      <w:pPr>
        <w:ind w:left="3349" w:hanging="1080"/>
      </w:pPr>
      <w:rPr>
        <w:b w:val="0"/>
        <w:i w:val="0"/>
        <w:smallCaps w:val="0"/>
        <w:strike w:val="0"/>
        <w:color w:val="000000"/>
        <w:u w:val="none"/>
        <w:vertAlign w:val="baseline"/>
      </w:rPr>
    </w:lvl>
    <w:lvl w:ilvl="5">
      <w:start w:val="1"/>
      <w:numFmt w:val="decimal"/>
      <w:lvlText w:val="%1.%2.%3.%4.%5.%6."/>
      <w:lvlJc w:val="right"/>
      <w:pPr>
        <w:ind w:left="1440" w:hanging="1080"/>
      </w:pPr>
      <w:rPr>
        <w:b w:val="0"/>
        <w:i w:val="0"/>
        <w:smallCaps w:val="0"/>
        <w:strike w:val="0"/>
        <w:color w:val="000000"/>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2" w15:restartNumberingAfterBreak="0">
    <w:nsid w:val="31BA72FD"/>
    <w:multiLevelType w:val="hybridMultilevel"/>
    <w:tmpl w:val="2196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D6AD4"/>
    <w:multiLevelType w:val="multilevel"/>
    <w:tmpl w:val="32A0925C"/>
    <w:lvl w:ilvl="0">
      <w:start w:val="1"/>
      <w:numFmt w:val="decimal"/>
      <w:lvlText w:val="%1."/>
      <w:lvlJc w:val="right"/>
      <w:pPr>
        <w:ind w:left="360" w:hanging="360"/>
      </w:pPr>
      <w:rPr>
        <w:rFonts w:ascii="Arial" w:eastAsia="Arial" w:hAnsi="Arial" w:cs="Arial"/>
        <w:b/>
        <w:smallCaps w:val="0"/>
        <w:strike w:val="0"/>
        <w:color w:val="000000"/>
        <w:sz w:val="24"/>
        <w:szCs w:val="24"/>
        <w:u w:val="none"/>
        <w:vertAlign w:val="baseline"/>
      </w:rPr>
    </w:lvl>
    <w:lvl w:ilvl="1">
      <w:start w:val="1"/>
      <w:numFmt w:val="decimal"/>
      <w:lvlText w:val="%1.%2."/>
      <w:lvlJc w:val="right"/>
      <w:pPr>
        <w:ind w:left="1777"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right"/>
      <w:pPr>
        <w:ind w:left="990" w:hanging="720"/>
      </w:pPr>
      <w:rPr>
        <w:b w:val="0"/>
        <w:i w:val="0"/>
        <w:smallCaps w:val="0"/>
        <w:strike w:val="0"/>
        <w:color w:val="000000"/>
        <w:sz w:val="24"/>
        <w:szCs w:val="24"/>
        <w:u w:val="none"/>
        <w:vertAlign w:val="baseline"/>
      </w:rPr>
    </w:lvl>
    <w:lvl w:ilvl="3">
      <w:start w:val="1"/>
      <w:numFmt w:val="decimal"/>
      <w:lvlText w:val="%1.%2.%3.%4."/>
      <w:lvlJc w:val="right"/>
      <w:pPr>
        <w:ind w:left="3272" w:hanging="720"/>
      </w:pPr>
      <w:rPr>
        <w:rFonts w:ascii="Calibri" w:eastAsia="Calibri" w:hAnsi="Calibri" w:cs="Calibri"/>
        <w:b w:val="0"/>
        <w:i w:val="0"/>
        <w:smallCaps w:val="0"/>
        <w:strike w:val="0"/>
        <w:color w:val="000000"/>
        <w:sz w:val="22"/>
        <w:szCs w:val="22"/>
        <w:u w:val="none"/>
        <w:vertAlign w:val="baseline"/>
      </w:rPr>
    </w:lvl>
    <w:lvl w:ilvl="4">
      <w:start w:val="1"/>
      <w:numFmt w:val="decimal"/>
      <w:lvlText w:val="%1.%2.%3.%4.%5."/>
      <w:lvlJc w:val="right"/>
      <w:pPr>
        <w:ind w:left="3349" w:hanging="1080"/>
      </w:pPr>
      <w:rPr>
        <w:b w:val="0"/>
        <w:i w:val="0"/>
        <w:smallCaps w:val="0"/>
        <w:strike w:val="0"/>
        <w:color w:val="000000"/>
        <w:u w:val="none"/>
        <w:vertAlign w:val="baseline"/>
      </w:rPr>
    </w:lvl>
    <w:lvl w:ilvl="5">
      <w:start w:val="1"/>
      <w:numFmt w:val="decimal"/>
      <w:lvlText w:val="%1.%2.%3.%4.%5.%6."/>
      <w:lvlJc w:val="right"/>
      <w:pPr>
        <w:ind w:left="1440" w:hanging="1080"/>
      </w:pPr>
      <w:rPr>
        <w:b w:val="0"/>
        <w:i w:val="0"/>
        <w:smallCaps w:val="0"/>
        <w:strike w:val="0"/>
        <w:color w:val="000000"/>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55"/>
    <w:rsid w:val="00010829"/>
    <w:rsid w:val="00052319"/>
    <w:rsid w:val="000E1555"/>
    <w:rsid w:val="00287F88"/>
    <w:rsid w:val="00335955"/>
    <w:rsid w:val="003F240C"/>
    <w:rsid w:val="00431B9D"/>
    <w:rsid w:val="004D7179"/>
    <w:rsid w:val="00515352"/>
    <w:rsid w:val="00581222"/>
    <w:rsid w:val="00671EBB"/>
    <w:rsid w:val="008A5249"/>
    <w:rsid w:val="00A90597"/>
    <w:rsid w:val="00B75117"/>
    <w:rsid w:val="00BF2307"/>
    <w:rsid w:val="00C67087"/>
    <w:rsid w:val="00D36399"/>
    <w:rsid w:val="00D47C35"/>
    <w:rsid w:val="00E16CCE"/>
    <w:rsid w:val="00EB174F"/>
    <w:rsid w:val="00F45651"/>
    <w:rsid w:val="00FB1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3F44"/>
  <w15:docId w15:val="{FD162F04-925C-4EDB-B0E9-CE665E7E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22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C4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9C7"/>
    <w:rPr>
      <w:rFonts w:ascii="Segoe UI" w:hAnsi="Segoe UI" w:cs="Segoe UI"/>
      <w:sz w:val="18"/>
      <w:szCs w:val="18"/>
    </w:rPr>
  </w:style>
  <w:style w:type="paragraph" w:styleId="Revision">
    <w:name w:val="Revision"/>
    <w:hidden/>
    <w:uiPriority w:val="99"/>
    <w:semiHidden/>
    <w:rsid w:val="00AC49C7"/>
    <w:pPr>
      <w:spacing w:after="0" w:line="240" w:lineRule="auto"/>
    </w:pPr>
  </w:style>
  <w:style w:type="character" w:styleId="CommentReference">
    <w:name w:val="annotation reference"/>
    <w:basedOn w:val="DefaultParagraphFont"/>
    <w:uiPriority w:val="99"/>
    <w:semiHidden/>
    <w:unhideWhenUsed/>
    <w:rsid w:val="00903F5C"/>
    <w:rPr>
      <w:sz w:val="16"/>
      <w:szCs w:val="16"/>
    </w:rPr>
  </w:style>
  <w:style w:type="paragraph" w:styleId="CommentText">
    <w:name w:val="annotation text"/>
    <w:basedOn w:val="Normal"/>
    <w:link w:val="CommentTextChar"/>
    <w:uiPriority w:val="99"/>
    <w:unhideWhenUsed/>
    <w:rsid w:val="00903F5C"/>
    <w:pPr>
      <w:spacing w:line="240" w:lineRule="auto"/>
    </w:pPr>
    <w:rPr>
      <w:sz w:val="20"/>
      <w:szCs w:val="20"/>
    </w:rPr>
  </w:style>
  <w:style w:type="character" w:customStyle="1" w:styleId="CommentTextChar">
    <w:name w:val="Comment Text Char"/>
    <w:basedOn w:val="DefaultParagraphFont"/>
    <w:link w:val="CommentText"/>
    <w:uiPriority w:val="99"/>
    <w:rsid w:val="00903F5C"/>
    <w:rPr>
      <w:sz w:val="20"/>
      <w:szCs w:val="20"/>
    </w:rPr>
  </w:style>
  <w:style w:type="paragraph" w:styleId="CommentSubject">
    <w:name w:val="annotation subject"/>
    <w:basedOn w:val="CommentText"/>
    <w:next w:val="CommentText"/>
    <w:link w:val="CommentSubjectChar"/>
    <w:uiPriority w:val="99"/>
    <w:semiHidden/>
    <w:unhideWhenUsed/>
    <w:rsid w:val="00903F5C"/>
    <w:rPr>
      <w:b/>
      <w:bCs/>
    </w:rPr>
  </w:style>
  <w:style w:type="character" w:customStyle="1" w:styleId="CommentSubjectChar">
    <w:name w:val="Comment Subject Char"/>
    <w:basedOn w:val="CommentTextChar"/>
    <w:link w:val="CommentSubject"/>
    <w:uiPriority w:val="99"/>
    <w:semiHidden/>
    <w:rsid w:val="00903F5C"/>
    <w:rPr>
      <w:b/>
      <w:bCs/>
      <w:sz w:val="20"/>
      <w:szCs w:val="20"/>
    </w:rPr>
  </w:style>
  <w:style w:type="paragraph" w:styleId="Header">
    <w:name w:val="header"/>
    <w:basedOn w:val="Normal"/>
    <w:link w:val="HeaderChar"/>
    <w:uiPriority w:val="99"/>
    <w:unhideWhenUsed/>
    <w:rsid w:val="00DA6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4EE"/>
  </w:style>
  <w:style w:type="paragraph" w:styleId="Footer">
    <w:name w:val="footer"/>
    <w:basedOn w:val="Normal"/>
    <w:link w:val="FooterChar"/>
    <w:uiPriority w:val="99"/>
    <w:unhideWhenUsed/>
    <w:rsid w:val="00DA6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4EE"/>
  </w:style>
  <w:style w:type="table" w:styleId="TableGrid">
    <w:name w:val="Table Grid"/>
    <w:basedOn w:val="TableNormal"/>
    <w:uiPriority w:val="39"/>
    <w:rsid w:val="00C6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5033">
      <w:bodyDiv w:val="1"/>
      <w:marLeft w:val="0"/>
      <w:marRight w:val="0"/>
      <w:marTop w:val="0"/>
      <w:marBottom w:val="0"/>
      <w:divBdr>
        <w:top w:val="none" w:sz="0" w:space="0" w:color="auto"/>
        <w:left w:val="none" w:sz="0" w:space="0" w:color="auto"/>
        <w:bottom w:val="none" w:sz="0" w:space="0" w:color="auto"/>
        <w:right w:val="none" w:sz="0" w:space="0" w:color="auto"/>
      </w:divBdr>
    </w:div>
    <w:div w:id="92329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D5JnGfou4sJQMxuWVYVoSZE8A==">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McCormack</dc:creator>
  <cp:lastModifiedBy>Joanne Kenny</cp:lastModifiedBy>
  <cp:revision>5</cp:revision>
  <dcterms:created xsi:type="dcterms:W3CDTF">2025-09-02T08:54:00Z</dcterms:created>
  <dcterms:modified xsi:type="dcterms:W3CDTF">2025-09-04T10:59:00Z</dcterms:modified>
</cp:coreProperties>
</file>