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9 (Cyber Essentials Scheme)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426" w:right="0" w:hanging="426"/>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0" w:right="0" w:hanging="6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234.0" w:type="dxa"/>
        <w:jc w:val="left"/>
        <w:tblInd w:w="10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https://www.cyberessentials.ncsc.gov.uk/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Basic Certificate"</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Certificate"</w:t>
            </w:r>
          </w:p>
        </w:tc>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Basic Certificate or the Cyber Essentials Plus Certificate to be provided by the Supplier as set out in the Framework Award Form</w:t>
            </w:r>
          </w:p>
        </w:tc>
      </w:tr>
      <w:tr>
        <w:trPr>
          <w:cantSplit w:val="0"/>
          <w:tblHeader w:val="0"/>
        </w:trP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 Scheme Data"</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 Certificate"</w:t>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certification awarded on the basis of external testing by an independent certification body of the Supplier’s cyber security approach under the Cyber Essentials Scheme and is a more advanced level of assurance.</w:t>
            </w:r>
            <w:r w:rsidDel="00000000" w:rsidR="00000000" w:rsidRPr="00000000">
              <w:rPr>
                <w:rtl w:val="0"/>
              </w:rPr>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6"/>
        </w:tabs>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Certification do you need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64" w:right="0" w:hanging="50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Where the Framework Award Form requires that the Supplier provide a Cyber Essentials Certificate or Cyber Essentials Plus Certificate prior to </w:t>
      </w:r>
      <w:r w:rsidDel="00000000" w:rsidR="00000000" w:rsidRPr="00000000">
        <w:rPr>
          <w:rFonts w:ascii="Arial" w:cs="Arial" w:eastAsia="Arial" w:hAnsi="Arial"/>
          <w:sz w:val="24"/>
          <w:szCs w:val="24"/>
          <w:rtl w:val="0"/>
        </w:rPr>
        <w:t xml:space="preserve">Framework 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 provide a valid Cyber Essentials Certificate or Cyber Essentials Plus Certificate to CCS. Where the Supplier fails to comply with this Paragraph it shall be prohibited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64" w:right="0" w:hanging="504"/>
        <w:jc w:val="left"/>
        <w:rPr>
          <w:rFonts w:ascii="Arial" w:cs="Arial" w:eastAsia="Arial" w:hAnsi="Arial"/>
          <w:b w:val="1"/>
          <w:i w:val="0"/>
          <w:smallCaps w:val="0"/>
          <w:strike w:val="0"/>
          <w:color w:val="000000"/>
          <w:sz w:val="24"/>
          <w:szCs w:val="24"/>
          <w:highlight w:val="yellow"/>
          <w:u w:val="none"/>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2.2 Where the Supplier continues to Process data during the Contract Period of any Call-Off Contract the Supplier shall deliver to CCS evidence of renewal of the Cyber Essentials Certificate or Cyber Essentials Plus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864" w:right="0" w:hanging="504"/>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Where the Supplier is due to Process data after the Start date of the first Call-Off Contract but before the end of the Framework Period or Contact Period of the last Call-Off Contract, the Supplier shall deliver to CCS evidence of:</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368" w:right="0" w:hanging="50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2.3.1 a valid and current Cyber Essentials Certificate before the Supplier    Processes any such Cyber Essentials Scheme Data;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368" w:right="0" w:hanging="50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2.3.2 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92"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 In the event that the Supplier fails to comply with Paragraphs 2.2 or 2.3 (as applicable), CCS reserves the right to terminate this Contract for material Default.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92"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92" w:right="0" w:hanging="36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This Schedule shall survive termination or expiry of this Contract and each and any Call-Off Contract.</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399.133858267717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bfbfb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Model Version: v3.0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tab/>
      <w:t xml:space="preserv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v3.2</w:t>
      <w:tab/>
    </w:r>
    <w:r w:rsidDel="00000000" w:rsidR="00000000" w:rsidRPr="00000000">
      <w:rPr>
        <w:rFonts w:ascii="Arial" w:cs="Arial" w:eastAsia="Arial" w:hAnsi="Arial"/>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1"/>
        <w:i w:val="0"/>
        <w:smallCaps w:val="0"/>
        <w:strike w:val="0"/>
        <w:color w:val="bfbfbf"/>
        <w:sz w:val="20"/>
        <w:szCs w:val="20"/>
        <w:u w:val="none"/>
        <w:shd w:fill="auto" w:val="clear"/>
        <w:vertAlign w:val="baseline"/>
        <w:rtl w:val="0"/>
      </w:rPr>
      <w:t xml:space="preserve">Framework Schedule 9 (Cyber Essential Scheme)</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Fonts w:ascii="Arial" w:cs="Arial" w:eastAsia="Arial" w:hAnsi="Arial"/>
        <w:b w:val="0"/>
        <w:i w:val="0"/>
        <w:smallCaps w:val="0"/>
        <w:strike w:val="0"/>
        <w:color w:val="bfbfbf"/>
        <w:sz w:val="20"/>
        <w:szCs w:val="20"/>
        <w:u w:val="none"/>
        <w:shd w:fill="auto" w:val="clear"/>
        <w:vertAlign w:val="baseline"/>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Framework Schedule 9 (Cyber Essential Scheme)</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pPr>
  </w:style>
  <w:style w:type="paragraph" w:styleId="GPSL2NumberedBoldHeading" w:customStyle="1">
    <w:name w:val="GPS L2 Numbered Bold Heading"/>
    <w:basedOn w:val="Normal"/>
    <w:qFormat w:val="1"/>
    <w:pPr>
      <w:numPr>
        <w:ilvl w:val="1"/>
        <w:numId w:val="1"/>
      </w:numPr>
      <w:adjustRightInd w:val="0"/>
      <w:spacing w:after="120" w:before="120" w:line="240" w:lineRule="auto"/>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L2Numbered" w:customStyle="1">
    <w:name w:val="GPS L2 Numbered"/>
    <w:basedOn w:val="GPSL2NumberedBoldHeading"/>
    <w:pPr>
      <w:numPr>
        <w:ilvl w:val="0"/>
        <w:numId w:val="0"/>
      </w:numPr>
      <w:tabs>
        <w:tab w:val="left" w:pos="709"/>
      </w:tabs>
      <w:autoSpaceDN w:val="0"/>
      <w:adjustRightInd w:val="1"/>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cs="Arial" w:eastAsia="Times New Roman" w:hAnsi="Arial"/>
    </w:rPr>
  </w:style>
  <w:style w:type="numbering" w:styleId="LFO12" w:customStyle="1">
    <w:name w:val="LFO12"/>
    <w:basedOn w:val="NoList"/>
    <w:pPr>
      <w:numPr>
        <w:numId w:val="2"/>
      </w:numPr>
    </w:p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5555"/>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yberessentials.ncsc.gov.uk/"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Zq0ZCsloNw9qW+TQw2U0hMxwPg==">CgMxLjAyCGguZ2pkZ3hzMgloLjMwajB6bGwyCWguMWZvYjl0ZTIJaC4yZXQ5MnAwOAByITFId1RDWEdoQ2VCeVVESjJEQWFIb1pZT0UtLUlsN2F4TQ==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