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60" w:before="120" w:lineRule="auto"/>
        <w:jc w:val="center"/>
        <w:rPr>
          <w:b w:val="1"/>
          <w:highlight w:val="white"/>
        </w:rPr>
      </w:pPr>
      <w:bookmarkStart w:colFirst="0" w:colLast="0" w:name="_gjdgxs" w:id="0"/>
      <w:bookmarkEnd w:id="0"/>
      <w:r w:rsidDel="00000000" w:rsidR="00000000" w:rsidRPr="00000000">
        <w:rPr>
          <w:b w:val="1"/>
          <w:highlight w:val="white"/>
          <w:rtl w:val="0"/>
        </w:rPr>
        <w:t xml:space="preserve">Annex 1: Supplementary definitions</w:t>
      </w:r>
    </w:p>
    <w:tbl>
      <w:tblPr>
        <w:tblStyle w:val="Table1"/>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95"/>
        <w:gridCol w:w="6135"/>
        <w:tblGridChange w:id="0">
          <w:tblGrid>
            <w:gridCol w:w="2895"/>
            <w:gridCol w:w="6135"/>
          </w:tblGrid>
        </w:tblGridChange>
      </w:tblGrid>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2">
            <w:pPr>
              <w:spacing w:after="60" w:before="60" w:lineRule="auto"/>
              <w:ind w:left="40" w:firstLine="0"/>
              <w:jc w:val="both"/>
              <w:rPr>
                <w:b w:val="1"/>
                <w:highlight w:val="white"/>
              </w:rPr>
            </w:pPr>
            <w:r w:rsidDel="00000000" w:rsidR="00000000" w:rsidRPr="00000000">
              <w:rPr>
                <w:b w:val="1"/>
                <w:highlight w:val="white"/>
                <w:rtl w:val="0"/>
              </w:rPr>
              <w:t xml:space="preserve">“Accommodation”</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3">
            <w:pPr>
              <w:spacing w:after="60" w:before="60" w:lineRule="auto"/>
              <w:jc w:val="both"/>
              <w:rPr>
                <w:highlight w:val="white"/>
              </w:rPr>
            </w:pPr>
            <w:r w:rsidDel="00000000" w:rsidR="00000000" w:rsidRPr="00000000">
              <w:rPr>
                <w:highlight w:val="white"/>
                <w:rtl w:val="0"/>
              </w:rPr>
              <w:t xml:space="preserve">the Accommodation contracted for in response to a Call Off Order request by a Buyer. This Accommodation booked by the Agent is provided by a Third Party and includes, but is not limited to:</w:t>
            </w:r>
          </w:p>
          <w:p w:rsidR="00000000" w:rsidDel="00000000" w:rsidP="00000000" w:rsidRDefault="00000000" w:rsidRPr="00000000" w14:paraId="00000004">
            <w:pPr>
              <w:numPr>
                <w:ilvl w:val="0"/>
                <w:numId w:val="4"/>
              </w:numPr>
              <w:spacing w:before="60" w:lineRule="auto"/>
              <w:ind w:left="720" w:hanging="360"/>
              <w:jc w:val="both"/>
              <w:rPr>
                <w:highlight w:val="white"/>
              </w:rPr>
            </w:pPr>
            <w:r w:rsidDel="00000000" w:rsidR="00000000" w:rsidRPr="00000000">
              <w:rPr>
                <w:highlight w:val="white"/>
                <w:rtl w:val="0"/>
              </w:rPr>
              <w:t xml:space="preserve">Hotels</w:t>
            </w:r>
          </w:p>
          <w:p w:rsidR="00000000" w:rsidDel="00000000" w:rsidP="00000000" w:rsidRDefault="00000000" w:rsidRPr="00000000" w14:paraId="00000005">
            <w:pPr>
              <w:numPr>
                <w:ilvl w:val="0"/>
                <w:numId w:val="4"/>
              </w:numPr>
              <w:ind w:left="720" w:hanging="360"/>
              <w:jc w:val="both"/>
              <w:rPr>
                <w:highlight w:val="white"/>
              </w:rPr>
            </w:pPr>
            <w:r w:rsidDel="00000000" w:rsidR="00000000" w:rsidRPr="00000000">
              <w:rPr>
                <w:highlight w:val="white"/>
                <w:rtl w:val="0"/>
              </w:rPr>
              <w:t xml:space="preserve">Hostels</w:t>
            </w:r>
          </w:p>
          <w:p w:rsidR="00000000" w:rsidDel="00000000" w:rsidP="00000000" w:rsidRDefault="00000000" w:rsidRPr="00000000" w14:paraId="00000006">
            <w:pPr>
              <w:numPr>
                <w:ilvl w:val="0"/>
                <w:numId w:val="4"/>
              </w:numPr>
              <w:ind w:left="720" w:hanging="360"/>
              <w:jc w:val="both"/>
              <w:rPr>
                <w:highlight w:val="white"/>
              </w:rPr>
            </w:pPr>
            <w:r w:rsidDel="00000000" w:rsidR="00000000" w:rsidRPr="00000000">
              <w:rPr>
                <w:highlight w:val="white"/>
                <w:rtl w:val="0"/>
              </w:rPr>
              <w:t xml:space="preserve">Shelters</w:t>
            </w:r>
          </w:p>
          <w:p w:rsidR="00000000" w:rsidDel="00000000" w:rsidP="00000000" w:rsidRDefault="00000000" w:rsidRPr="00000000" w14:paraId="00000007">
            <w:pPr>
              <w:numPr>
                <w:ilvl w:val="0"/>
                <w:numId w:val="4"/>
              </w:numPr>
              <w:ind w:left="720" w:hanging="360"/>
              <w:jc w:val="both"/>
              <w:rPr>
                <w:highlight w:val="white"/>
              </w:rPr>
            </w:pPr>
            <w:r w:rsidDel="00000000" w:rsidR="00000000" w:rsidRPr="00000000">
              <w:rPr>
                <w:highlight w:val="white"/>
                <w:rtl w:val="0"/>
              </w:rPr>
              <w:t xml:space="preserve">Vessels (Anchored or Berthed)</w:t>
            </w:r>
          </w:p>
          <w:p w:rsidR="00000000" w:rsidDel="00000000" w:rsidP="00000000" w:rsidRDefault="00000000" w:rsidRPr="00000000" w14:paraId="00000008">
            <w:pPr>
              <w:numPr>
                <w:ilvl w:val="0"/>
                <w:numId w:val="4"/>
              </w:numPr>
              <w:ind w:left="720" w:hanging="360"/>
              <w:jc w:val="both"/>
              <w:rPr>
                <w:highlight w:val="white"/>
              </w:rPr>
            </w:pPr>
            <w:r w:rsidDel="00000000" w:rsidR="00000000" w:rsidRPr="00000000">
              <w:rPr>
                <w:highlight w:val="white"/>
                <w:rtl w:val="0"/>
              </w:rPr>
              <w:t xml:space="preserve">Bed &amp; Breakfasts (B&amp;Bs)</w:t>
            </w:r>
          </w:p>
          <w:p w:rsidR="00000000" w:rsidDel="00000000" w:rsidP="00000000" w:rsidRDefault="00000000" w:rsidRPr="00000000" w14:paraId="00000009">
            <w:pPr>
              <w:numPr>
                <w:ilvl w:val="0"/>
                <w:numId w:val="4"/>
              </w:numPr>
              <w:ind w:left="720" w:hanging="360"/>
              <w:jc w:val="both"/>
              <w:rPr>
                <w:highlight w:val="white"/>
              </w:rPr>
            </w:pPr>
            <w:r w:rsidDel="00000000" w:rsidR="00000000" w:rsidRPr="00000000">
              <w:rPr>
                <w:highlight w:val="white"/>
                <w:rtl w:val="0"/>
              </w:rPr>
              <w:t xml:space="preserve">Holiday Parks / Sites</w:t>
            </w:r>
          </w:p>
          <w:p w:rsidR="00000000" w:rsidDel="00000000" w:rsidP="00000000" w:rsidRDefault="00000000" w:rsidRPr="00000000" w14:paraId="0000000A">
            <w:pPr>
              <w:numPr>
                <w:ilvl w:val="0"/>
                <w:numId w:val="4"/>
              </w:numPr>
              <w:ind w:left="720" w:hanging="360"/>
              <w:jc w:val="both"/>
              <w:rPr>
                <w:highlight w:val="white"/>
              </w:rPr>
            </w:pPr>
            <w:r w:rsidDel="00000000" w:rsidR="00000000" w:rsidRPr="00000000">
              <w:rPr>
                <w:highlight w:val="white"/>
                <w:rtl w:val="0"/>
              </w:rPr>
              <w:t xml:space="preserve">Caravan Parks / Sites</w:t>
            </w:r>
          </w:p>
          <w:p w:rsidR="00000000" w:rsidDel="00000000" w:rsidP="00000000" w:rsidRDefault="00000000" w:rsidRPr="00000000" w14:paraId="0000000B">
            <w:pPr>
              <w:numPr>
                <w:ilvl w:val="0"/>
                <w:numId w:val="4"/>
              </w:numPr>
              <w:ind w:left="720" w:hanging="360"/>
              <w:jc w:val="both"/>
              <w:rPr>
                <w:highlight w:val="white"/>
              </w:rPr>
            </w:pPr>
            <w:r w:rsidDel="00000000" w:rsidR="00000000" w:rsidRPr="00000000">
              <w:rPr>
                <w:highlight w:val="white"/>
                <w:rtl w:val="0"/>
              </w:rPr>
              <w:t xml:space="preserve">Mobile Homes</w:t>
            </w:r>
          </w:p>
          <w:p w:rsidR="00000000" w:rsidDel="00000000" w:rsidP="00000000" w:rsidRDefault="00000000" w:rsidRPr="00000000" w14:paraId="0000000C">
            <w:pPr>
              <w:numPr>
                <w:ilvl w:val="0"/>
                <w:numId w:val="4"/>
              </w:numPr>
              <w:ind w:left="720" w:hanging="360"/>
              <w:jc w:val="both"/>
              <w:rPr>
                <w:highlight w:val="white"/>
              </w:rPr>
            </w:pPr>
            <w:r w:rsidDel="00000000" w:rsidR="00000000" w:rsidRPr="00000000">
              <w:rPr>
                <w:highlight w:val="white"/>
                <w:rtl w:val="0"/>
              </w:rPr>
              <w:t xml:space="preserve">Student Accommodation</w:t>
            </w:r>
          </w:p>
          <w:p w:rsidR="00000000" w:rsidDel="00000000" w:rsidP="00000000" w:rsidRDefault="00000000" w:rsidRPr="00000000" w14:paraId="0000000D">
            <w:pPr>
              <w:numPr>
                <w:ilvl w:val="0"/>
                <w:numId w:val="4"/>
              </w:numPr>
              <w:ind w:left="720" w:hanging="360"/>
              <w:jc w:val="both"/>
              <w:rPr>
                <w:highlight w:val="white"/>
              </w:rPr>
            </w:pPr>
            <w:r w:rsidDel="00000000" w:rsidR="00000000" w:rsidRPr="00000000">
              <w:rPr>
                <w:highlight w:val="white"/>
                <w:rtl w:val="0"/>
              </w:rPr>
              <w:t xml:space="preserve">Self-catering accommodation</w:t>
            </w:r>
          </w:p>
          <w:p w:rsidR="00000000" w:rsidDel="00000000" w:rsidP="00000000" w:rsidRDefault="00000000" w:rsidRPr="00000000" w14:paraId="0000000E">
            <w:pPr>
              <w:numPr>
                <w:ilvl w:val="0"/>
                <w:numId w:val="4"/>
              </w:numPr>
              <w:spacing w:after="60" w:lineRule="auto"/>
              <w:ind w:left="720" w:hanging="360"/>
              <w:jc w:val="both"/>
              <w:rPr>
                <w:highlight w:val="white"/>
              </w:rPr>
            </w:pPr>
            <w:r w:rsidDel="00000000" w:rsidR="00000000" w:rsidRPr="00000000">
              <w:rPr>
                <w:highlight w:val="white"/>
                <w:rtl w:val="0"/>
              </w:rPr>
              <w:t xml:space="preserve">Serviced apartments.</w:t>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0F">
            <w:pPr>
              <w:widowControl w:val="0"/>
              <w:shd w:fill="ffffff" w:val="clear"/>
              <w:spacing w:line="240" w:lineRule="auto"/>
              <w:jc w:val="both"/>
              <w:rPr>
                <w:b w:val="1"/>
              </w:rPr>
            </w:pPr>
            <w:r w:rsidDel="00000000" w:rsidR="00000000" w:rsidRPr="00000000">
              <w:rPr>
                <w:b w:val="1"/>
                <w:rtl w:val="0"/>
              </w:rPr>
              <w:t xml:space="preserve">“Accommodation and/or Gatherings/Events Ancillary Services”</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0">
            <w:pPr>
              <w:spacing w:after="60" w:before="60" w:lineRule="auto"/>
              <w:jc w:val="both"/>
              <w:rPr>
                <w:highlight w:val="white"/>
              </w:rPr>
            </w:pPr>
            <w:r w:rsidDel="00000000" w:rsidR="00000000" w:rsidRPr="00000000">
              <w:rPr>
                <w:highlight w:val="white"/>
                <w:rtl w:val="0"/>
              </w:rPr>
              <w:t xml:space="preserve">Additional services required by the Buyer to support a civilian cohort(s) in the relevant accommodation, and/or at the relevant gathering(s) or event(s), as detailed in Schedule 20 Lot 1 Section Two:- Optional Service 6.352</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1">
            <w:pPr>
              <w:spacing w:before="120" w:lineRule="auto"/>
              <w:rPr>
                <w:b w:val="1"/>
                <w:highlight w:val="white"/>
              </w:rPr>
            </w:pPr>
            <w:r w:rsidDel="00000000" w:rsidR="00000000" w:rsidRPr="00000000">
              <w:rPr>
                <w:b w:val="1"/>
                <w:rtl w:val="0"/>
              </w:rPr>
              <w:t xml:space="preserve">“Accommodation/ Venue Provider(s)”</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2">
            <w:pPr>
              <w:spacing w:after="60" w:before="60" w:lineRule="auto"/>
              <w:rPr>
                <w:highlight w:val="white"/>
              </w:rPr>
            </w:pPr>
            <w:r w:rsidDel="00000000" w:rsidR="00000000" w:rsidRPr="00000000">
              <w:rPr>
                <w:rtl w:val="0"/>
              </w:rPr>
              <w:t xml:space="preserve">entities that provide Accommodation and/or Venue services as outlined in the Specification</w:t>
            </w:r>
            <w:r w:rsidDel="00000000" w:rsidR="00000000" w:rsidRPr="00000000">
              <w:rPr>
                <w:rtl w:val="0"/>
              </w:rPr>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3">
            <w:pPr>
              <w:spacing w:after="60" w:before="60" w:lineRule="auto"/>
              <w:ind w:left="40" w:firstLine="0"/>
              <w:jc w:val="both"/>
              <w:rPr>
                <w:b w:val="1"/>
                <w:highlight w:val="white"/>
              </w:rPr>
            </w:pPr>
            <w:r w:rsidDel="00000000" w:rsidR="00000000" w:rsidRPr="00000000">
              <w:rPr>
                <w:b w:val="1"/>
                <w:highlight w:val="white"/>
                <w:rtl w:val="0"/>
              </w:rPr>
              <w:t xml:space="preserve">“Agent”</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4">
            <w:pPr>
              <w:spacing w:after="60" w:before="60" w:lineRule="auto"/>
              <w:jc w:val="both"/>
              <w:rPr>
                <w:highlight w:val="white"/>
              </w:rPr>
            </w:pPr>
            <w:r w:rsidDel="00000000" w:rsidR="00000000" w:rsidRPr="00000000">
              <w:rPr>
                <w:highlight w:val="white"/>
                <w:rtl w:val="0"/>
              </w:rPr>
              <w:t xml:space="preserve">a role played by either the Buyer or the Supplier in relation to ownership of the services delivered under this framework</w:t>
            </w:r>
          </w:p>
          <w:p w:rsidR="00000000" w:rsidDel="00000000" w:rsidP="00000000" w:rsidRDefault="00000000" w:rsidRPr="00000000" w14:paraId="00000015">
            <w:pPr>
              <w:spacing w:after="60" w:before="60" w:lineRule="auto"/>
              <w:jc w:val="both"/>
              <w:rPr>
                <w:highlight w:val="white"/>
              </w:rPr>
            </w:pPr>
            <w:r w:rsidDel="00000000" w:rsidR="00000000" w:rsidRPr="00000000">
              <w:rPr>
                <w:highlight w:val="white"/>
                <w:rtl w:val="0"/>
              </w:rPr>
              <w:t xml:space="preserve">An Agent is responsible for all aspects of their booking service and all escalation management whereby the End Service Provider fails to deliver the booked and contracted services.</w:t>
            </w:r>
          </w:p>
          <w:p w:rsidR="00000000" w:rsidDel="00000000" w:rsidP="00000000" w:rsidRDefault="00000000" w:rsidRPr="00000000" w14:paraId="00000016">
            <w:pPr>
              <w:spacing w:after="60" w:before="60" w:lineRule="auto"/>
              <w:jc w:val="both"/>
              <w:rPr>
                <w:highlight w:val="white"/>
              </w:rPr>
            </w:pPr>
            <w:r w:rsidDel="00000000" w:rsidR="00000000" w:rsidRPr="00000000">
              <w:rPr>
                <w:highlight w:val="white"/>
                <w:rtl w:val="0"/>
              </w:rPr>
              <w:t xml:space="preserve">A Supplier acting as Agent is </w:t>
            </w:r>
            <w:r w:rsidDel="00000000" w:rsidR="00000000" w:rsidRPr="00000000">
              <w:rPr>
                <w:highlight w:val="white"/>
                <w:u w:val="single"/>
                <w:rtl w:val="0"/>
              </w:rPr>
              <w:t xml:space="preserve">not</w:t>
            </w:r>
            <w:r w:rsidDel="00000000" w:rsidR="00000000" w:rsidRPr="00000000">
              <w:rPr>
                <w:highlight w:val="white"/>
                <w:rtl w:val="0"/>
              </w:rPr>
              <w:t xml:space="preserve">:</w:t>
            </w:r>
          </w:p>
          <w:p w:rsidR="00000000" w:rsidDel="00000000" w:rsidP="00000000" w:rsidRDefault="00000000" w:rsidRPr="00000000" w14:paraId="00000017">
            <w:pPr>
              <w:numPr>
                <w:ilvl w:val="0"/>
                <w:numId w:val="1"/>
              </w:numPr>
              <w:spacing w:before="60" w:lineRule="auto"/>
              <w:ind w:left="720" w:hanging="360"/>
              <w:jc w:val="both"/>
              <w:rPr>
                <w:highlight w:val="white"/>
              </w:rPr>
            </w:pPr>
            <w:r w:rsidDel="00000000" w:rsidR="00000000" w:rsidRPr="00000000">
              <w:rPr>
                <w:highlight w:val="white"/>
                <w:rtl w:val="0"/>
              </w:rPr>
              <w:t xml:space="preserve">Financially liable for accidental damage to Accommodation or Venue Solutions by Service Users</w:t>
            </w:r>
          </w:p>
          <w:p w:rsidR="00000000" w:rsidDel="00000000" w:rsidP="00000000" w:rsidRDefault="00000000" w:rsidRPr="00000000" w14:paraId="00000018">
            <w:pPr>
              <w:numPr>
                <w:ilvl w:val="0"/>
                <w:numId w:val="1"/>
              </w:numPr>
              <w:spacing w:after="60" w:lineRule="auto"/>
              <w:ind w:left="720" w:hanging="360"/>
              <w:jc w:val="both"/>
              <w:rPr>
                <w:highlight w:val="white"/>
              </w:rPr>
            </w:pPr>
            <w:r w:rsidDel="00000000" w:rsidR="00000000" w:rsidRPr="00000000">
              <w:rPr>
                <w:highlight w:val="white"/>
                <w:rtl w:val="0"/>
              </w:rPr>
              <w:t xml:space="preserve">Liable for any legal challenge made against the usage of that Accommodation or Venue Solution for the purpose previously specified by the Buyer and agreed by the third party.</w:t>
            </w:r>
          </w:p>
          <w:p w:rsidR="00000000" w:rsidDel="00000000" w:rsidP="00000000" w:rsidRDefault="00000000" w:rsidRPr="00000000" w14:paraId="00000019">
            <w:pPr>
              <w:spacing w:after="60" w:before="60" w:lineRule="auto"/>
              <w:jc w:val="both"/>
              <w:rPr>
                <w:highlight w:val="white"/>
              </w:rPr>
            </w:pPr>
            <w:r w:rsidDel="00000000" w:rsidR="00000000" w:rsidRPr="00000000">
              <w:rPr>
                <w:highlight w:val="white"/>
                <w:rtl w:val="0"/>
              </w:rPr>
              <w:t xml:space="preserve">In this framework, unless specifically agreed with the Buyer for services delivered under Lot 1 (Part B) or Lot 4, the Supplier will act as Agent in all matters relating to the delivery of these services.</w:t>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A">
            <w:pPr>
              <w:spacing w:after="60" w:before="60" w:lineRule="auto"/>
              <w:ind w:left="40" w:firstLine="0"/>
              <w:jc w:val="both"/>
              <w:rPr>
                <w:b w:val="1"/>
                <w:highlight w:val="white"/>
              </w:rPr>
            </w:pPr>
            <w:r w:rsidDel="00000000" w:rsidR="00000000" w:rsidRPr="00000000">
              <w:rPr>
                <w:b w:val="1"/>
                <w:highlight w:val="white"/>
                <w:rtl w:val="0"/>
              </w:rPr>
              <w:t xml:space="preserve">“Application Programming Interface (API)”</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B">
            <w:pPr>
              <w:spacing w:after="60" w:before="60" w:lineRule="auto"/>
              <w:jc w:val="both"/>
              <w:rPr>
                <w:highlight w:val="white"/>
              </w:rPr>
            </w:pPr>
            <w:r w:rsidDel="00000000" w:rsidR="00000000" w:rsidRPr="00000000">
              <w:rPr>
                <w:highlight w:val="white"/>
                <w:rtl w:val="0"/>
              </w:rPr>
              <w:t xml:space="preserve">a collection of prewritten packages, classes, and interfaces with their respective methods, fields and constructors;</w:t>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C">
            <w:pPr>
              <w:spacing w:after="60" w:before="60" w:lineRule="auto"/>
              <w:ind w:left="40" w:firstLine="0"/>
              <w:jc w:val="both"/>
              <w:rPr>
                <w:b w:val="1"/>
                <w:highlight w:val="white"/>
              </w:rPr>
            </w:pPr>
            <w:r w:rsidDel="00000000" w:rsidR="00000000" w:rsidRPr="00000000">
              <w:rPr>
                <w:b w:val="1"/>
                <w:highlight w:val="white"/>
                <w:rtl w:val="0"/>
              </w:rPr>
              <w:t xml:space="preserve">“Approved Programme” or “Approved Civilian Programme” </w:t>
            </w:r>
          </w:p>
        </w:tc>
        <w:tc>
          <w:tcPr>
            <w:tcBorders>
              <w:top w:color="000000" w:space="0" w:sz="4" w:val="single"/>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D">
            <w:pPr>
              <w:widowControl w:val="0"/>
              <w:spacing w:line="240" w:lineRule="auto"/>
              <w:jc w:val="both"/>
              <w:rPr>
                <w:color w:val="ff0000"/>
                <w:highlight w:val="yellow"/>
              </w:rPr>
            </w:pPr>
            <w:r w:rsidDel="00000000" w:rsidR="00000000" w:rsidRPr="00000000">
              <w:rPr>
                <w:rtl w:val="0"/>
              </w:rPr>
              <w:t xml:space="preserve">A programme to support a civilian cohort that is under a Buyer’s responsibility and /or care, and is fully supported by the UK Government.</w:t>
            </w:r>
            <w:r w:rsidDel="00000000" w:rsidR="00000000" w:rsidRPr="00000000">
              <w:rPr>
                <w:rtl w:val="0"/>
              </w:rPr>
            </w:r>
          </w:p>
        </w:tc>
      </w:tr>
      <w:tr>
        <w:trPr>
          <w:cantSplit w:val="0"/>
          <w:trHeight w:val="129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E">
            <w:pPr>
              <w:spacing w:after="60" w:before="60" w:lineRule="auto"/>
              <w:ind w:left="40" w:firstLine="0"/>
              <w:jc w:val="both"/>
              <w:rPr>
                <w:b w:val="1"/>
                <w:highlight w:val="white"/>
              </w:rPr>
            </w:pPr>
            <w:r w:rsidDel="00000000" w:rsidR="00000000" w:rsidRPr="00000000">
              <w:rPr>
                <w:b w:val="1"/>
                <w:highlight w:val="white"/>
                <w:rtl w:val="0"/>
              </w:rPr>
              <w:t xml:space="preserve">“Authorising Officers”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1F">
            <w:pPr>
              <w:spacing w:after="60" w:before="60" w:lineRule="auto"/>
              <w:jc w:val="both"/>
              <w:rPr>
                <w:highlight w:val="white"/>
              </w:rPr>
            </w:pPr>
            <w:r w:rsidDel="00000000" w:rsidR="00000000" w:rsidRPr="00000000">
              <w:rPr>
                <w:highlight w:val="white"/>
                <w:rtl w:val="0"/>
              </w:rPr>
              <w:t xml:space="preserve">the Buyer’s authorised representatives who are permitted to approve out of policy bookings, as confirmed by the Buyer to the Supplier in writing from time to time;</w:t>
            </w:r>
          </w:p>
        </w:tc>
      </w:tr>
      <w:tr>
        <w:trPr>
          <w:cantSplit w:val="0"/>
          <w:trHeight w:val="129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0">
            <w:pPr>
              <w:spacing w:after="60" w:before="60" w:lineRule="auto"/>
              <w:ind w:left="40" w:firstLine="0"/>
              <w:jc w:val="both"/>
              <w:rPr>
                <w:b w:val="1"/>
                <w:highlight w:val="white"/>
              </w:rPr>
            </w:pPr>
            <w:r w:rsidDel="00000000" w:rsidR="00000000" w:rsidRPr="00000000">
              <w:rPr>
                <w:b w:val="1"/>
                <w:highlight w:val="white"/>
                <w:rtl w:val="0"/>
              </w:rPr>
              <w:t xml:space="preserve">“Booked Service”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1">
            <w:pPr>
              <w:spacing w:after="60" w:before="60" w:lineRule="auto"/>
              <w:jc w:val="both"/>
              <w:rPr>
                <w:highlight w:val="white"/>
              </w:rPr>
            </w:pPr>
            <w:r w:rsidDel="00000000" w:rsidR="00000000" w:rsidRPr="00000000">
              <w:rPr>
                <w:highlight w:val="white"/>
                <w:rtl w:val="0"/>
              </w:rPr>
              <w:t xml:space="preserve">The standard service delivery model for a Supplier on the framework (i.e. acting as “Agent”), where the Supplier provides the online and offline facility to book end services such as flights, rail tickets, hotel bookings and where applicable, ancillary services</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2">
            <w:pPr>
              <w:spacing w:after="60" w:before="60" w:lineRule="auto"/>
              <w:ind w:left="40" w:firstLine="0"/>
              <w:jc w:val="both"/>
              <w:rPr>
                <w:b w:val="1"/>
                <w:highlight w:val="white"/>
              </w:rPr>
            </w:pPr>
            <w:r w:rsidDel="00000000" w:rsidR="00000000" w:rsidRPr="00000000">
              <w:rPr>
                <w:b w:val="1"/>
                <w:highlight w:val="white"/>
                <w:rtl w:val="0"/>
              </w:rPr>
              <w:t xml:space="preserve">“Business User(s)”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3">
            <w:pPr>
              <w:spacing w:after="60" w:before="60" w:lineRule="auto"/>
              <w:rPr/>
            </w:pPr>
            <w:r w:rsidDel="00000000" w:rsidR="00000000" w:rsidRPr="00000000">
              <w:rPr>
                <w:rtl w:val="0"/>
              </w:rPr>
              <w:t xml:space="preserve">These are the Buyer's own staff or Contractor(s) and can include Troops, guests and VIP’s for Business Travel use by authorisation of the Buyer.</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4">
            <w:pPr>
              <w:spacing w:after="60" w:before="60" w:lineRule="auto"/>
              <w:ind w:left="40" w:firstLine="0"/>
              <w:jc w:val="both"/>
              <w:rPr>
                <w:b w:val="1"/>
                <w:highlight w:val="white"/>
              </w:rPr>
            </w:pPr>
            <w:r w:rsidDel="00000000" w:rsidR="00000000" w:rsidRPr="00000000">
              <w:rPr>
                <w:b w:val="1"/>
                <w:highlight w:val="white"/>
                <w:rtl w:val="0"/>
              </w:rPr>
              <w:t xml:space="preserve">“Business Travel”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5">
            <w:pPr>
              <w:spacing w:after="60" w:before="60" w:lineRule="auto"/>
              <w:rPr>
                <w:sz w:val="20"/>
                <w:szCs w:val="20"/>
                <w:highlight w:val="white"/>
              </w:rPr>
            </w:pPr>
            <w:r w:rsidDel="00000000" w:rsidR="00000000" w:rsidRPr="00000000">
              <w:rPr>
                <w:rtl w:val="0"/>
              </w:rPr>
              <w:t xml:space="preserve">Travel for Business Users as above (it does not include </w:t>
            </w:r>
            <w:r w:rsidDel="00000000" w:rsidR="00000000" w:rsidRPr="00000000">
              <w:rPr>
                <w:highlight w:val="white"/>
                <w:rtl w:val="0"/>
              </w:rPr>
              <w:t xml:space="preserve">UK or Overseas Citizens or Refugees, who are under the legal care of the Buyer which may include but not be limited to Civilian/Refugee/Prisoner usage asylum seekers</w:t>
            </w:r>
            <w:r w:rsidDel="00000000" w:rsidR="00000000" w:rsidRPr="00000000">
              <w:rPr>
                <w:sz w:val="20"/>
                <w:szCs w:val="20"/>
                <w:highlight w:val="white"/>
                <w:rtl w:val="0"/>
              </w:rPr>
              <w:t xml:space="preserve">)</w:t>
            </w:r>
          </w:p>
          <w:p w:rsidR="00000000" w:rsidDel="00000000" w:rsidP="00000000" w:rsidRDefault="00000000" w:rsidRPr="00000000" w14:paraId="00000026">
            <w:pPr>
              <w:spacing w:after="60" w:before="60" w:lineRule="auto"/>
              <w:rPr/>
            </w:pPr>
            <w:r w:rsidDel="00000000" w:rsidR="00000000" w:rsidRPr="00000000">
              <w:rPr>
                <w:rtl w:val="0"/>
              </w:rPr>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7">
            <w:pPr>
              <w:spacing w:after="60" w:before="60" w:lineRule="auto"/>
              <w:ind w:left="40" w:firstLine="0"/>
              <w:jc w:val="both"/>
              <w:rPr>
                <w:b w:val="1"/>
                <w:highlight w:val="white"/>
              </w:rPr>
            </w:pPr>
            <w:r w:rsidDel="00000000" w:rsidR="00000000" w:rsidRPr="00000000">
              <w:rPr>
                <w:b w:val="1"/>
                <w:highlight w:val="white"/>
                <w:rtl w:val="0"/>
              </w:rPr>
              <w:t xml:space="preserve">“Call Off Order”</w:t>
            </w:r>
          </w:p>
          <w:p w:rsidR="00000000" w:rsidDel="00000000" w:rsidP="00000000" w:rsidRDefault="00000000" w:rsidRPr="00000000" w14:paraId="00000028">
            <w:pPr>
              <w:spacing w:after="60" w:before="60" w:lineRule="auto"/>
              <w:ind w:left="40" w:firstLine="0"/>
              <w:jc w:val="both"/>
              <w:rPr>
                <w:b w:val="1"/>
                <w:highlight w:val="yellow"/>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9">
            <w:pPr>
              <w:spacing w:after="60" w:before="60" w:lineRule="auto"/>
              <w:jc w:val="both"/>
              <w:rPr>
                <w:highlight w:val="white"/>
              </w:rPr>
            </w:pPr>
            <w:r w:rsidDel="00000000" w:rsidR="00000000" w:rsidRPr="00000000">
              <w:rPr>
                <w:highlight w:val="white"/>
                <w:rtl w:val="0"/>
              </w:rPr>
              <w:t xml:space="preserve">The formal order form used to request Accommodation and or Ancillary Services.</w:t>
            </w:r>
          </w:p>
          <w:p w:rsidR="00000000" w:rsidDel="00000000" w:rsidP="00000000" w:rsidRDefault="00000000" w:rsidRPr="00000000" w14:paraId="0000002A">
            <w:pPr>
              <w:spacing w:after="60" w:before="60" w:lineRule="auto"/>
              <w:jc w:val="both"/>
              <w:rPr>
                <w:highlight w:val="white"/>
              </w:rPr>
            </w:pPr>
            <w:r w:rsidDel="00000000" w:rsidR="00000000" w:rsidRPr="00000000">
              <w:rPr>
                <w:highlight w:val="white"/>
                <w:rtl w:val="0"/>
              </w:rPr>
              <w:t xml:space="preserve">An example is included at Framework Schedule 6a and 6b</w:t>
            </w:r>
          </w:p>
        </w:tc>
      </w:tr>
      <w:tr>
        <w:trPr>
          <w:cantSplit w:val="0"/>
          <w:trHeight w:val="10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B">
            <w:pPr>
              <w:spacing w:after="60" w:before="60" w:lineRule="auto"/>
              <w:ind w:left="40" w:firstLine="0"/>
              <w:jc w:val="both"/>
              <w:rPr>
                <w:b w:val="1"/>
                <w:highlight w:val="white"/>
              </w:rPr>
            </w:pPr>
            <w:r w:rsidDel="00000000" w:rsidR="00000000" w:rsidRPr="00000000">
              <w:rPr>
                <w:b w:val="1"/>
                <w:highlight w:val="white"/>
                <w:rtl w:val="0"/>
              </w:rPr>
              <w:t xml:space="preserve">“Caseload Management System”</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2C">
            <w:pPr>
              <w:spacing w:after="60" w:before="60" w:lineRule="auto"/>
              <w:jc w:val="both"/>
              <w:rPr>
                <w:highlight w:val="white"/>
              </w:rPr>
            </w:pPr>
            <w:r w:rsidDel="00000000" w:rsidR="00000000" w:rsidRPr="00000000">
              <w:rPr>
                <w:highlight w:val="white"/>
                <w:rtl w:val="0"/>
              </w:rPr>
              <w:t xml:space="preserve">the system used by the Supplier to manage and record key activities relating to the delivery of the Services </w:t>
            </w:r>
          </w:p>
          <w:p w:rsidR="00000000" w:rsidDel="00000000" w:rsidP="00000000" w:rsidRDefault="00000000" w:rsidRPr="00000000" w14:paraId="0000002D">
            <w:pPr>
              <w:spacing w:after="60" w:before="60" w:lineRule="auto"/>
              <w:jc w:val="both"/>
              <w:rPr>
                <w:highlight w:val="white"/>
              </w:rPr>
            </w:pPr>
            <w:r w:rsidDel="00000000" w:rsidR="00000000" w:rsidRPr="00000000">
              <w:rPr>
                <w:rtl w:val="0"/>
              </w:rPr>
            </w:r>
          </w:p>
        </w:tc>
      </w:tr>
      <w:tr>
        <w:trPr>
          <w:cantSplit w:val="0"/>
          <w:trHeight w:val="1559"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E">
            <w:pPr>
              <w:spacing w:after="60" w:before="60" w:lineRule="auto"/>
              <w:ind w:left="40" w:firstLine="0"/>
              <w:rPr>
                <w:b w:val="1"/>
              </w:rPr>
            </w:pPr>
            <w:r w:rsidDel="00000000" w:rsidR="00000000" w:rsidRPr="00000000">
              <w:rPr>
                <w:b w:val="1"/>
                <w:rtl w:val="0"/>
              </w:rPr>
              <w:t xml:space="preserve">“CCS Preferred Venue Standard Terms and Conditions”</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2F">
            <w:pPr>
              <w:spacing w:after="60" w:before="60" w:lineRule="auto"/>
              <w:rPr/>
            </w:pPr>
            <w:r w:rsidDel="00000000" w:rsidR="00000000" w:rsidRPr="00000000">
              <w:rPr>
                <w:rtl w:val="0"/>
              </w:rPr>
              <w:t xml:space="preserve">the document detailing the more </w:t>
            </w:r>
            <w:r w:rsidDel="00000000" w:rsidR="00000000" w:rsidRPr="00000000">
              <w:rPr>
                <w:highlight w:val="white"/>
                <w:rtl w:val="0"/>
              </w:rPr>
              <w:t xml:space="preserve">preferential </w:t>
            </w:r>
            <w:r w:rsidDel="00000000" w:rsidR="00000000" w:rsidRPr="00000000">
              <w:rPr>
                <w:rtl w:val="0"/>
              </w:rPr>
              <w:t xml:space="preserve">preferred standard set of terms and conditions the Supplier has set up for all CCS customers. It shall include (but not be limited to) cancellation and payment terms which we expect would be more favourable than a venue's own and also include any additional benefits as well as provide greater efficiency. This is applicable to face to face, virtual / digital or hybrid Events.</w:t>
            </w:r>
          </w:p>
        </w:tc>
      </w:tr>
      <w:tr>
        <w:trPr>
          <w:cantSplit w:val="0"/>
          <w:trHeight w:val="216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0">
            <w:pPr>
              <w:spacing w:after="60" w:before="60" w:lineRule="auto"/>
              <w:ind w:left="40" w:firstLine="0"/>
              <w:jc w:val="both"/>
              <w:rPr>
                <w:b w:val="1"/>
                <w:highlight w:val="white"/>
              </w:rPr>
            </w:pPr>
            <w:r w:rsidDel="00000000" w:rsidR="00000000" w:rsidRPr="00000000">
              <w:rPr>
                <w:b w:val="1"/>
                <w:highlight w:val="white"/>
                <w:rtl w:val="0"/>
              </w:rPr>
              <w:t xml:space="preserve">“CCS Public Sector Negotiated Programme” or “Public Sector Programme”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1">
            <w:pPr>
              <w:spacing w:after="60" w:before="60" w:lineRule="auto"/>
              <w:jc w:val="both"/>
              <w:rPr>
                <w:strike w:val="1"/>
                <w:highlight w:val="white"/>
              </w:rPr>
            </w:pPr>
            <w:r w:rsidDel="00000000" w:rsidR="00000000" w:rsidRPr="00000000">
              <w:rPr>
                <w:highlight w:val="white"/>
                <w:rtl w:val="0"/>
              </w:rPr>
              <w:t xml:space="preserve">the current range of Commissionable Inventory and Non-Commissionable Inventory negotiated by CCS and made available to CCS Buyers using our </w:t>
            </w:r>
            <w:r w:rsidDel="00000000" w:rsidR="00000000" w:rsidRPr="00000000">
              <w:rPr>
                <w:sz w:val="20"/>
                <w:szCs w:val="20"/>
                <w:highlight w:val="white"/>
                <w:rtl w:val="0"/>
              </w:rPr>
              <w:t xml:space="preserve">current</w:t>
            </w:r>
            <w:r w:rsidDel="00000000" w:rsidR="00000000" w:rsidRPr="00000000">
              <w:rPr>
                <w:highlight w:val="white"/>
                <w:rtl w:val="0"/>
              </w:rPr>
              <w:t xml:space="preserve"> or future Travel, Accommodation &amp; Venues agreements including but not limited to air, accommodation and rail. </w:t>
            </w:r>
            <w:r w:rsidDel="00000000" w:rsidR="00000000" w:rsidRPr="00000000">
              <w:rPr>
                <w:rtl w:val="0"/>
              </w:rPr>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2">
            <w:pPr>
              <w:spacing w:after="60" w:before="60" w:lineRule="auto"/>
              <w:ind w:left="40" w:firstLine="0"/>
              <w:jc w:val="both"/>
              <w:rPr>
                <w:b w:val="1"/>
                <w:highlight w:val="white"/>
              </w:rPr>
            </w:pPr>
            <w:r w:rsidDel="00000000" w:rsidR="00000000" w:rsidRPr="00000000">
              <w:rPr>
                <w:b w:val="1"/>
                <w:highlight w:val="white"/>
                <w:rtl w:val="0"/>
              </w:rPr>
              <w:t xml:space="preserve">“Civilian”</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3">
            <w:pPr>
              <w:spacing w:after="60" w:before="60" w:lineRule="auto"/>
              <w:jc w:val="both"/>
              <w:rPr/>
            </w:pPr>
            <w:r w:rsidDel="00000000" w:rsidR="00000000" w:rsidRPr="00000000">
              <w:rPr>
                <w:highlight w:val="white"/>
                <w:rtl w:val="0"/>
              </w:rPr>
              <w:t xml:space="preserve">For the purpose of this framework please refer to Lot 1 </w:t>
            </w:r>
            <w:r w:rsidDel="00000000" w:rsidR="00000000" w:rsidRPr="00000000">
              <w:rPr>
                <w:rtl w:val="0"/>
              </w:rPr>
              <w:t xml:space="preserve">section 6.298</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4">
            <w:pPr>
              <w:spacing w:after="60" w:before="60" w:lineRule="auto"/>
              <w:ind w:left="40" w:firstLine="0"/>
              <w:jc w:val="both"/>
              <w:rPr>
                <w:b w:val="1"/>
                <w:highlight w:val="white"/>
              </w:rPr>
            </w:pPr>
            <w:r w:rsidDel="00000000" w:rsidR="00000000" w:rsidRPr="00000000">
              <w:rPr>
                <w:b w:val="1"/>
                <w:highlight w:val="white"/>
                <w:rtl w:val="0"/>
              </w:rPr>
              <w:t xml:space="preserve">“Commissionable Inventory”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5">
            <w:pPr>
              <w:spacing w:after="60" w:before="60" w:lineRule="auto"/>
              <w:jc w:val="both"/>
              <w:rPr>
                <w:highlight w:val="white"/>
              </w:rPr>
            </w:pPr>
            <w:r w:rsidDel="00000000" w:rsidR="00000000" w:rsidRPr="00000000">
              <w:rPr>
                <w:highlight w:val="white"/>
                <w:rtl w:val="0"/>
              </w:rPr>
              <w:t xml:space="preserve">the Inventory which earns Commissions;</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6">
            <w:pPr>
              <w:spacing w:after="60" w:before="60" w:lineRule="auto"/>
              <w:ind w:left="40" w:firstLine="0"/>
              <w:jc w:val="both"/>
              <w:rPr>
                <w:b w:val="1"/>
                <w:highlight w:val="white"/>
              </w:rPr>
            </w:pPr>
            <w:r w:rsidDel="00000000" w:rsidR="00000000" w:rsidRPr="00000000">
              <w:rPr>
                <w:b w:val="1"/>
                <w:highlight w:val="white"/>
                <w:rtl w:val="0"/>
              </w:rPr>
              <w:t xml:space="preserve">“Commissionable”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7">
            <w:pPr>
              <w:spacing w:after="60" w:before="60" w:lineRule="auto"/>
              <w:jc w:val="both"/>
              <w:rPr>
                <w:highlight w:val="white"/>
              </w:rPr>
            </w:pPr>
            <w:r w:rsidDel="00000000" w:rsidR="00000000" w:rsidRPr="00000000">
              <w:rPr>
                <w:highlight w:val="white"/>
                <w:rtl w:val="0"/>
              </w:rPr>
              <w:t xml:space="preserve">capable of earning Commissions;</w:t>
            </w:r>
          </w:p>
        </w:tc>
      </w:tr>
      <w:tr>
        <w:trPr>
          <w:cantSplit w:val="0"/>
          <w:trHeight w:val="273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8">
            <w:pPr>
              <w:spacing w:after="60" w:before="60" w:lineRule="auto"/>
              <w:ind w:left="40" w:firstLine="0"/>
              <w:jc w:val="both"/>
              <w:rPr>
                <w:b w:val="1"/>
                <w:highlight w:val="white"/>
              </w:rPr>
            </w:pPr>
            <w:r w:rsidDel="00000000" w:rsidR="00000000" w:rsidRPr="00000000">
              <w:rPr>
                <w:b w:val="1"/>
                <w:highlight w:val="white"/>
                <w:rtl w:val="0"/>
              </w:rPr>
              <w:t xml:space="preserve">“Commission(s)”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9">
            <w:pPr>
              <w:spacing w:after="60" w:before="60" w:lineRule="auto"/>
              <w:jc w:val="both"/>
              <w:rPr>
                <w:highlight w:val="white"/>
              </w:rPr>
            </w:pPr>
            <w:r w:rsidDel="00000000" w:rsidR="00000000" w:rsidRPr="00000000">
              <w:rPr>
                <w:highlight w:val="white"/>
                <w:rtl w:val="0"/>
              </w:rPr>
              <w:t xml:space="preserve">all monies, gifts, rewards, other income or benefits earned from Third Party Providers on Public Sector and third sector spend through RM6342 or future agreements that is given or made available to the Supplier; this includes, but is not limited to, monies paid per-booking, gifts, rewards, overrides, growth incentives, financial and non-financial sales &amp; marketing incentives/funds, GDS payments, merchant rebates, other rebates and any other type of revenue or benefit;</w:t>
            </w:r>
          </w:p>
        </w:tc>
      </w:tr>
      <w:tr>
        <w:trPr>
          <w:cantSplit w:val="0"/>
          <w:trHeight w:val="10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A">
            <w:pPr>
              <w:spacing w:after="60" w:before="60" w:lineRule="auto"/>
              <w:ind w:left="40" w:firstLine="0"/>
              <w:jc w:val="both"/>
              <w:rPr>
                <w:b w:val="1"/>
                <w:highlight w:val="white"/>
              </w:rPr>
            </w:pPr>
            <w:r w:rsidDel="00000000" w:rsidR="00000000" w:rsidRPr="00000000">
              <w:rPr>
                <w:b w:val="1"/>
                <w:highlight w:val="white"/>
                <w:rtl w:val="0"/>
              </w:rPr>
              <w:t xml:space="preserve">“Complaint”</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B">
            <w:pPr>
              <w:spacing w:after="60" w:before="60" w:lineRule="auto"/>
              <w:jc w:val="both"/>
              <w:rPr>
                <w:highlight w:val="white"/>
              </w:rPr>
            </w:pPr>
            <w:r w:rsidDel="00000000" w:rsidR="00000000" w:rsidRPr="00000000">
              <w:rPr>
                <w:highlight w:val="white"/>
                <w:rtl w:val="0"/>
              </w:rPr>
              <w:t xml:space="preserve">any written complaint in relation to the Supplier’s performance of the Services, which shall be handled in accordance with the Complaints Procedure;</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C">
            <w:pPr>
              <w:spacing w:after="60" w:before="60" w:lineRule="auto"/>
              <w:ind w:left="40" w:firstLine="0"/>
              <w:jc w:val="both"/>
              <w:rPr>
                <w:b w:val="1"/>
                <w:highlight w:val="white"/>
              </w:rPr>
            </w:pPr>
            <w:r w:rsidDel="00000000" w:rsidR="00000000" w:rsidRPr="00000000">
              <w:rPr>
                <w:b w:val="1"/>
                <w:highlight w:val="white"/>
                <w:rtl w:val="0"/>
              </w:rPr>
              <w:t xml:space="preserve">“Complaints Procedure”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D">
            <w:pPr>
              <w:spacing w:after="60" w:before="60" w:lineRule="auto"/>
              <w:jc w:val="both"/>
              <w:rPr>
                <w:highlight w:val="white"/>
              </w:rPr>
            </w:pPr>
            <w:r w:rsidDel="00000000" w:rsidR="00000000" w:rsidRPr="00000000">
              <w:rPr>
                <w:highlight w:val="white"/>
                <w:rtl w:val="0"/>
              </w:rPr>
              <w:t xml:space="preserve">the procedure for processing Complaints as set out in this Schedule and the relevant Call-Off Contract;</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E">
            <w:pPr>
              <w:spacing w:after="60" w:before="60" w:lineRule="auto"/>
              <w:ind w:left="40" w:firstLine="0"/>
              <w:jc w:val="both"/>
              <w:rPr>
                <w:b w:val="1"/>
                <w:highlight w:val="white"/>
              </w:rPr>
            </w:pPr>
            <w:r w:rsidDel="00000000" w:rsidR="00000000" w:rsidRPr="00000000">
              <w:rPr>
                <w:b w:val="1"/>
                <w:highlight w:val="white"/>
                <w:rtl w:val="0"/>
              </w:rPr>
              <w:t xml:space="preserve">“Contractor”</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3F">
            <w:pPr>
              <w:spacing w:after="60" w:before="60" w:lineRule="auto"/>
              <w:jc w:val="both"/>
              <w:rPr>
                <w:highlight w:val="white"/>
              </w:rPr>
            </w:pPr>
            <w:r w:rsidDel="00000000" w:rsidR="00000000" w:rsidRPr="00000000">
              <w:rPr>
                <w:highlight w:val="white"/>
                <w:rtl w:val="0"/>
              </w:rPr>
              <w:t xml:space="preserve">A person, company or organisation that is paid by another person, company or organisation to work on a particular project for a particular amount of money or time.</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0">
            <w:pPr>
              <w:spacing w:after="60" w:before="60" w:lineRule="auto"/>
              <w:ind w:left="40" w:firstLine="0"/>
              <w:jc w:val="both"/>
              <w:rPr>
                <w:b w:val="1"/>
                <w:highlight w:val="white"/>
              </w:rPr>
            </w:pPr>
            <w:r w:rsidDel="00000000" w:rsidR="00000000" w:rsidRPr="00000000">
              <w:rPr>
                <w:b w:val="1"/>
                <w:highlight w:val="white"/>
                <w:rtl w:val="0"/>
              </w:rPr>
              <w:t xml:space="preserve">“Core Working Hours”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1">
            <w:pPr>
              <w:spacing w:after="60" w:before="60" w:lineRule="auto"/>
              <w:jc w:val="both"/>
              <w:rPr>
                <w:highlight w:val="white"/>
              </w:rPr>
            </w:pPr>
            <w:r w:rsidDel="00000000" w:rsidR="00000000" w:rsidRPr="00000000">
              <w:rPr>
                <w:highlight w:val="white"/>
                <w:rtl w:val="0"/>
              </w:rPr>
              <w:t xml:space="preserve">the standard core working hours in each country are between 08.00 and 18:00 (local time);</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2">
            <w:pPr>
              <w:spacing w:after="60" w:before="60" w:lineRule="auto"/>
              <w:ind w:left="40" w:firstLine="0"/>
              <w:jc w:val="both"/>
              <w:rPr>
                <w:b w:val="1"/>
                <w:highlight w:val="white"/>
              </w:rPr>
            </w:pPr>
            <w:r w:rsidDel="00000000" w:rsidR="00000000" w:rsidRPr="00000000">
              <w:rPr>
                <w:b w:val="1"/>
                <w:highlight w:val="white"/>
                <w:rtl w:val="0"/>
              </w:rPr>
              <w:t xml:space="preserve">“Crisis”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3">
            <w:pPr>
              <w:spacing w:after="60" w:before="60" w:lineRule="auto"/>
              <w:jc w:val="both"/>
              <w:rPr>
                <w:highlight w:val="white"/>
              </w:rPr>
            </w:pPr>
            <w:r w:rsidDel="00000000" w:rsidR="00000000" w:rsidRPr="00000000">
              <w:rPr>
                <w:highlight w:val="white"/>
                <w:rtl w:val="0"/>
              </w:rPr>
              <w:t xml:space="preserve">A crisis is any event or period that will lead to an unstable and dangerous situation affecting an individual, group, or all of society. Crises are negative changes in human or environmental affairs, often occurring abruptly, with little or no warning. Crises can arise from events such as: war/conflict, pandemics, natural disasters, humanitarian disasters or terrorism and represent threats to the safety of approved travellers or civilians</w:t>
            </w:r>
          </w:p>
          <w:p w:rsidR="00000000" w:rsidDel="00000000" w:rsidP="00000000" w:rsidRDefault="00000000" w:rsidRPr="00000000" w14:paraId="00000044">
            <w:pPr>
              <w:spacing w:after="60" w:before="60" w:lineRule="auto"/>
              <w:jc w:val="both"/>
              <w:rPr>
                <w:highlight w:val="white"/>
              </w:rPr>
            </w:pPr>
            <w:r w:rsidDel="00000000" w:rsidR="00000000" w:rsidRPr="00000000">
              <w:rPr>
                <w:rtl w:val="0"/>
              </w:rPr>
            </w:r>
          </w:p>
          <w:p w:rsidR="00000000" w:rsidDel="00000000" w:rsidP="00000000" w:rsidRDefault="00000000" w:rsidRPr="00000000" w14:paraId="00000045">
            <w:pPr>
              <w:spacing w:after="60" w:before="60" w:lineRule="auto"/>
              <w:jc w:val="both"/>
              <w:rPr>
                <w:highlight w:val="white"/>
              </w:rPr>
            </w:pPr>
            <w:r w:rsidDel="00000000" w:rsidR="00000000" w:rsidRPr="00000000">
              <w:rPr>
                <w:rtl w:val="0"/>
              </w:rPr>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6">
            <w:pPr>
              <w:spacing w:after="60" w:before="60" w:lineRule="auto"/>
              <w:ind w:left="40" w:firstLine="0"/>
              <w:jc w:val="both"/>
              <w:rPr>
                <w:b w:val="1"/>
                <w:highlight w:val="white"/>
              </w:rPr>
            </w:pPr>
            <w:r w:rsidDel="00000000" w:rsidR="00000000" w:rsidRPr="00000000">
              <w:rPr>
                <w:b w:val="1"/>
                <w:highlight w:val="white"/>
                <w:rtl w:val="0"/>
              </w:rPr>
              <w:t xml:space="preserve">“Crisis/ Emergency Response Travel/ Activity”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7">
            <w:pPr>
              <w:spacing w:after="60" w:before="60" w:lineRule="auto"/>
              <w:jc w:val="both"/>
              <w:rPr/>
            </w:pPr>
            <w:r w:rsidDel="00000000" w:rsidR="00000000" w:rsidRPr="00000000">
              <w:rPr>
                <w:rtl w:val="0"/>
              </w:rPr>
              <w:t xml:space="preserve">Travel and/or transport services required to support the public sector response to a critical incident, unplanned event and/or emergency that poses a risk to the safety of approved travellers or civilians</w:t>
            </w:r>
          </w:p>
          <w:p w:rsidR="00000000" w:rsidDel="00000000" w:rsidP="00000000" w:rsidRDefault="00000000" w:rsidRPr="00000000" w14:paraId="00000048">
            <w:pPr>
              <w:spacing w:after="60" w:before="60" w:lineRule="auto"/>
              <w:jc w:val="both"/>
              <w:rPr>
                <w:highlight w:val="yellow"/>
              </w:rPr>
            </w:pPr>
            <w:r w:rsidDel="00000000" w:rsidR="00000000" w:rsidRPr="00000000">
              <w:rPr>
                <w:rtl w:val="0"/>
              </w:rPr>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9">
            <w:pPr>
              <w:spacing w:after="60" w:before="60" w:lineRule="auto"/>
              <w:ind w:left="40" w:firstLine="0"/>
              <w:jc w:val="both"/>
              <w:rPr>
                <w:b w:val="1"/>
                <w:highlight w:val="white"/>
              </w:rPr>
            </w:pPr>
            <w:r w:rsidDel="00000000" w:rsidR="00000000" w:rsidRPr="00000000">
              <w:rPr>
                <w:b w:val="1"/>
                <w:highlight w:val="white"/>
                <w:rtl w:val="0"/>
              </w:rPr>
              <w:t xml:space="preserve">“Data Set”</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A">
            <w:pPr>
              <w:spacing w:after="60" w:before="60" w:lineRule="auto"/>
              <w:jc w:val="both"/>
              <w:rPr>
                <w:highlight w:val="white"/>
              </w:rPr>
            </w:pPr>
            <w:r w:rsidDel="00000000" w:rsidR="00000000" w:rsidRPr="00000000">
              <w:rPr>
                <w:highlight w:val="white"/>
                <w:rtl w:val="0"/>
              </w:rPr>
              <w:t xml:space="preserve">a collection of information on the Buyer’s travel requirements that is composed of separate elements;</w:t>
            </w:r>
          </w:p>
        </w:tc>
      </w:tr>
      <w:tr>
        <w:trPr>
          <w:cantSplit w:val="0"/>
          <w:trHeight w:val="75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B">
            <w:pPr>
              <w:spacing w:after="60" w:before="60" w:lineRule="auto"/>
              <w:ind w:left="40" w:firstLine="0"/>
              <w:jc w:val="both"/>
              <w:rPr>
                <w:b w:val="1"/>
                <w:highlight w:val="white"/>
              </w:rPr>
            </w:pPr>
            <w:r w:rsidDel="00000000" w:rsidR="00000000" w:rsidRPr="00000000">
              <w:rPr>
                <w:b w:val="1"/>
                <w:highlight w:val="white"/>
                <w:rtl w:val="0"/>
              </w:rPr>
              <w:t xml:space="preserve">“Delegate(s)”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C">
            <w:pPr>
              <w:spacing w:after="60" w:before="60" w:lineRule="auto"/>
              <w:jc w:val="both"/>
              <w:rPr>
                <w:highlight w:val="white"/>
              </w:rPr>
            </w:pPr>
            <w:r w:rsidDel="00000000" w:rsidR="00000000" w:rsidRPr="00000000">
              <w:rPr>
                <w:highlight w:val="white"/>
                <w:rtl w:val="0"/>
              </w:rPr>
              <w:t xml:space="preserve">a person sent or authorised to represent others, in particular an elected representative sent to an Event.</w:t>
            </w:r>
          </w:p>
        </w:tc>
      </w:tr>
      <w:tr>
        <w:trPr>
          <w:cantSplit w:val="0"/>
          <w:trHeight w:val="55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D">
            <w:pPr>
              <w:spacing w:after="60" w:before="60" w:lineRule="auto"/>
              <w:ind w:left="40" w:firstLine="0"/>
              <w:jc w:val="both"/>
              <w:rPr>
                <w:b w:val="1"/>
              </w:rPr>
            </w:pPr>
            <w:r w:rsidDel="00000000" w:rsidR="00000000" w:rsidRPr="00000000">
              <w:rPr>
                <w:b w:val="1"/>
                <w:rtl w:val="0"/>
              </w:rPr>
              <w:t xml:space="preserve">“Delivery Partner(s)”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4E">
            <w:pPr>
              <w:spacing w:before="120" w:lineRule="auto"/>
              <w:jc w:val="both"/>
              <w:rPr/>
            </w:pPr>
            <w:r w:rsidDel="00000000" w:rsidR="00000000" w:rsidRPr="00000000">
              <w:rPr>
                <w:rtl w:val="0"/>
              </w:rPr>
              <w:t xml:space="preserve">An organisation with which the Supplier has partnered to deliver the Services, including:</w:t>
            </w:r>
          </w:p>
          <w:p w:rsidR="00000000" w:rsidDel="00000000" w:rsidP="00000000" w:rsidRDefault="00000000" w:rsidRPr="00000000" w14:paraId="0000004F">
            <w:pPr>
              <w:numPr>
                <w:ilvl w:val="0"/>
                <w:numId w:val="5"/>
              </w:numPr>
              <w:spacing w:before="120" w:lineRule="auto"/>
              <w:ind w:left="720" w:hanging="360"/>
              <w:jc w:val="both"/>
              <w:rPr/>
            </w:pPr>
            <w:r w:rsidDel="00000000" w:rsidR="00000000" w:rsidRPr="00000000">
              <w:rPr>
                <w:rtl w:val="0"/>
              </w:rPr>
              <w:t xml:space="preserve">Subcontractors</w:t>
            </w:r>
          </w:p>
          <w:p w:rsidR="00000000" w:rsidDel="00000000" w:rsidP="00000000" w:rsidRDefault="00000000" w:rsidRPr="00000000" w14:paraId="00000050">
            <w:pPr>
              <w:numPr>
                <w:ilvl w:val="0"/>
                <w:numId w:val="5"/>
              </w:numPr>
              <w:ind w:left="720" w:hanging="360"/>
              <w:jc w:val="both"/>
              <w:rPr/>
            </w:pPr>
            <w:r w:rsidDel="00000000" w:rsidR="00000000" w:rsidRPr="00000000">
              <w:rPr>
                <w:rtl w:val="0"/>
              </w:rPr>
              <w:t xml:space="preserve">Third Party Providers</w:t>
            </w:r>
          </w:p>
          <w:p w:rsidR="00000000" w:rsidDel="00000000" w:rsidP="00000000" w:rsidRDefault="00000000" w:rsidRPr="00000000" w14:paraId="00000051">
            <w:pPr>
              <w:numPr>
                <w:ilvl w:val="0"/>
                <w:numId w:val="5"/>
              </w:numPr>
              <w:ind w:left="720" w:hanging="360"/>
              <w:jc w:val="both"/>
              <w:rPr/>
            </w:pPr>
            <w:r w:rsidDel="00000000" w:rsidR="00000000" w:rsidRPr="00000000">
              <w:rPr>
                <w:rtl w:val="0"/>
              </w:rPr>
              <w:t xml:space="preserve">Consortium Members</w:t>
            </w:r>
          </w:p>
          <w:p w:rsidR="00000000" w:rsidDel="00000000" w:rsidP="00000000" w:rsidRDefault="00000000" w:rsidRPr="00000000" w14:paraId="00000052">
            <w:pPr>
              <w:numPr>
                <w:ilvl w:val="0"/>
                <w:numId w:val="5"/>
              </w:numPr>
              <w:ind w:left="720" w:hanging="360"/>
              <w:jc w:val="both"/>
              <w:rPr/>
            </w:pPr>
            <w:r w:rsidDel="00000000" w:rsidR="00000000" w:rsidRPr="00000000">
              <w:rPr>
                <w:rtl w:val="0"/>
              </w:rPr>
              <w:t xml:space="preserve">End Service Providers</w:t>
            </w:r>
          </w:p>
        </w:tc>
      </w:tr>
      <w:tr>
        <w:trPr>
          <w:cantSplit w:val="0"/>
          <w:trHeight w:val="186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3">
            <w:pPr>
              <w:spacing w:after="60" w:before="60" w:lineRule="auto"/>
              <w:ind w:left="40" w:firstLine="0"/>
              <w:jc w:val="both"/>
              <w:rPr>
                <w:b w:val="1"/>
                <w:highlight w:val="white"/>
              </w:rPr>
            </w:pPr>
            <w:r w:rsidDel="00000000" w:rsidR="00000000" w:rsidRPr="00000000">
              <w:rPr>
                <w:b w:val="1"/>
                <w:highlight w:val="white"/>
                <w:rtl w:val="0"/>
              </w:rPr>
              <w:t xml:space="preserve">“Environmental Management System” or (“EMS”)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4">
            <w:pPr>
              <w:spacing w:after="60" w:before="60" w:lineRule="auto"/>
              <w:jc w:val="both"/>
              <w:rPr>
                <w:highlight w:val="white"/>
              </w:rPr>
            </w:pPr>
            <w:r w:rsidDel="00000000" w:rsidR="00000000" w:rsidRPr="00000000">
              <w:rPr>
                <w:highlight w:val="white"/>
                <w:rtl w:val="0"/>
              </w:rPr>
              <w:t xml:space="preserve">the management of an organisation’s environmental programs in a comprehensive, systematic, planned and documented manner. It includes the organisational structure, planning and resources for developing, implementing and maintaining policy for environmental protection.</w:t>
            </w:r>
          </w:p>
        </w:tc>
      </w:tr>
      <w:tr>
        <w:trPr>
          <w:cantSplit w:val="0"/>
          <w:trHeight w:val="186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5">
            <w:pPr>
              <w:spacing w:after="60" w:before="60" w:lineRule="auto"/>
              <w:ind w:left="40" w:firstLine="0"/>
              <w:jc w:val="both"/>
              <w:rPr>
                <w:b w:val="1"/>
                <w:highlight w:val="white"/>
              </w:rPr>
            </w:pPr>
            <w:r w:rsidDel="00000000" w:rsidR="00000000" w:rsidRPr="00000000">
              <w:rPr>
                <w:b w:val="1"/>
                <w:highlight w:val="white"/>
                <w:rtl w:val="0"/>
              </w:rPr>
              <w:t xml:space="preserve">“Event(s)”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6">
            <w:pPr>
              <w:spacing w:after="60" w:before="60" w:lineRule="auto"/>
              <w:jc w:val="both"/>
              <w:rPr>
                <w:highlight w:val="white"/>
              </w:rPr>
            </w:pPr>
            <w:r w:rsidDel="00000000" w:rsidR="00000000" w:rsidRPr="00000000">
              <w:rPr>
                <w:highlight w:val="white"/>
                <w:rtl w:val="0"/>
              </w:rPr>
              <w:t xml:space="preserve">Including but not limited to a meeting, conference, event, exhibition, interview, training, either on a residential or non-residential basis throughout the United Kingdom and Overseas and can be either face to face, virtual, digital, hybrid etc.</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7">
            <w:pPr>
              <w:spacing w:after="60" w:before="60" w:lineRule="auto"/>
              <w:ind w:left="40" w:firstLine="0"/>
              <w:jc w:val="both"/>
              <w:rPr>
                <w:b w:val="1"/>
                <w:highlight w:val="white"/>
              </w:rPr>
            </w:pPr>
            <w:r w:rsidDel="00000000" w:rsidR="00000000" w:rsidRPr="00000000">
              <w:rPr>
                <w:b w:val="1"/>
                <w:highlight w:val="white"/>
                <w:rtl w:val="0"/>
              </w:rPr>
              <w:t xml:space="preserve">“Event Staff”</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8">
            <w:pPr>
              <w:spacing w:after="60" w:before="60" w:lineRule="auto"/>
              <w:jc w:val="both"/>
              <w:rPr>
                <w:highlight w:val="yellow"/>
              </w:rPr>
            </w:pPr>
            <w:r w:rsidDel="00000000" w:rsidR="00000000" w:rsidRPr="00000000">
              <w:rPr>
                <w:highlight w:val="white"/>
                <w:rtl w:val="0"/>
              </w:rPr>
              <w:t xml:space="preserve">the staff employed to run and manage an event, meeting or conference.</w:t>
            </w:r>
            <w:r w:rsidDel="00000000" w:rsidR="00000000" w:rsidRPr="00000000">
              <w:rPr>
                <w:rtl w:val="0"/>
              </w:rPr>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9">
            <w:pPr>
              <w:spacing w:after="60" w:before="60" w:lineRule="auto"/>
              <w:ind w:left="40" w:firstLine="0"/>
              <w:jc w:val="both"/>
              <w:rPr>
                <w:b w:val="1"/>
                <w:highlight w:val="white"/>
              </w:rPr>
            </w:pPr>
            <w:r w:rsidDel="00000000" w:rsidR="00000000" w:rsidRPr="00000000">
              <w:rPr>
                <w:b w:val="1"/>
                <w:highlight w:val="white"/>
                <w:rtl w:val="0"/>
              </w:rPr>
              <w:t xml:space="preserve">“Executive Services”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A">
            <w:pPr>
              <w:spacing w:after="60" w:before="60" w:lineRule="auto"/>
              <w:jc w:val="both"/>
              <w:rPr>
                <w:highlight w:val="white"/>
              </w:rPr>
            </w:pPr>
            <w:r w:rsidDel="00000000" w:rsidR="00000000" w:rsidRPr="00000000">
              <w:rPr>
                <w:highlight w:val="white"/>
                <w:rtl w:val="0"/>
              </w:rPr>
              <w:t xml:space="preserve">means the Services set out in paragraphs Lot 1 paragraphs and 6.143 to 6.146.9 (inclusive) of this Schedule;</w:t>
            </w:r>
          </w:p>
        </w:tc>
      </w:tr>
      <w:tr>
        <w:trPr>
          <w:cantSplit w:val="0"/>
          <w:trHeight w:val="244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B">
            <w:pPr>
              <w:spacing w:after="60" w:before="60" w:lineRule="auto"/>
              <w:ind w:left="40" w:firstLine="0"/>
              <w:rPr>
                <w:b w:val="1"/>
                <w:highlight w:val="white"/>
              </w:rPr>
            </w:pPr>
            <w:r w:rsidDel="00000000" w:rsidR="00000000" w:rsidRPr="00000000">
              <w:rPr>
                <w:b w:val="1"/>
                <w:highlight w:val="white"/>
                <w:rtl w:val="0"/>
              </w:rPr>
              <w:t xml:space="preserve">“Global Distribution System (GDS)”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C">
            <w:pPr>
              <w:spacing w:after="60" w:before="60" w:lineRule="auto"/>
              <w:jc w:val="both"/>
              <w:rPr>
                <w:highlight w:val="white"/>
              </w:rPr>
            </w:pPr>
            <w:r w:rsidDel="00000000" w:rsidR="00000000" w:rsidRPr="00000000">
              <w:rPr>
                <w:highlight w:val="white"/>
                <w:rtl w:val="0"/>
              </w:rPr>
              <w:t xml:space="preserve">a network operated by a company that enables automated transactions between travel service providers (mainly airlines, hotels and car rental companies) and travel agencies in order to provide travel-related service e.g. booking airline tickets and hotel accommodation. Airlines, hotel chains, etc. use these systems to distribute their products: seat/room availability and prices, etc.;</w:t>
            </w:r>
          </w:p>
        </w:tc>
      </w:tr>
      <w:tr>
        <w:trPr>
          <w:cantSplit w:val="0"/>
          <w:trHeight w:val="192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D">
            <w:pPr>
              <w:spacing w:after="60" w:before="60" w:lineRule="auto"/>
              <w:ind w:left="40" w:firstLine="0"/>
              <w:jc w:val="both"/>
              <w:rPr>
                <w:b w:val="1"/>
                <w:highlight w:val="white"/>
              </w:rPr>
            </w:pPr>
            <w:r w:rsidDel="00000000" w:rsidR="00000000" w:rsidRPr="00000000">
              <w:rPr>
                <w:b w:val="1"/>
                <w:highlight w:val="white"/>
                <w:rtl w:val="0"/>
              </w:rPr>
              <w:t xml:space="preserve">“Go Live”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5E">
            <w:pPr>
              <w:spacing w:after="60" w:before="60" w:lineRule="auto"/>
              <w:jc w:val="both"/>
              <w:rPr>
                <w:highlight w:val="white"/>
              </w:rPr>
            </w:pPr>
            <w:r w:rsidDel="00000000" w:rsidR="00000000" w:rsidRPr="00000000">
              <w:rPr>
                <w:highlight w:val="white"/>
                <w:rtl w:val="0"/>
              </w:rPr>
              <w:t xml:space="preserve">the date from which the Supplier shall ensure that all discounted Commissionable Inventory and Non-Commissionable Inventory rates are available to book by the Buyer and which date shall be specified in either:</w:t>
            </w:r>
          </w:p>
          <w:p w:rsidR="00000000" w:rsidDel="00000000" w:rsidP="00000000" w:rsidRDefault="00000000" w:rsidRPr="00000000" w14:paraId="0000005F">
            <w:pPr>
              <w:spacing w:before="60" w:lineRule="auto"/>
              <w:ind w:left="1400" w:hanging="680"/>
              <w:jc w:val="both"/>
              <w:rPr>
                <w:highlight w:val="white"/>
              </w:rPr>
            </w:pPr>
            <w:r w:rsidDel="00000000" w:rsidR="00000000" w:rsidRPr="00000000">
              <w:rPr>
                <w:highlight w:val="white"/>
                <w:rtl w:val="0"/>
              </w:rPr>
              <w:t xml:space="preserve">(a)</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(where applicable) the Implementation Plan; or</w:t>
            </w:r>
          </w:p>
          <w:p w:rsidR="00000000" w:rsidDel="00000000" w:rsidP="00000000" w:rsidRDefault="00000000" w:rsidRPr="00000000" w14:paraId="00000060">
            <w:pPr>
              <w:spacing w:after="60" w:lineRule="auto"/>
              <w:ind w:left="1400" w:hanging="680"/>
              <w:jc w:val="both"/>
              <w:rPr>
                <w:highlight w:val="white"/>
              </w:rPr>
            </w:pPr>
            <w:r w:rsidDel="00000000" w:rsidR="00000000" w:rsidRPr="00000000">
              <w:rPr>
                <w:highlight w:val="white"/>
                <w:rtl w:val="0"/>
              </w:rPr>
              <w:t xml:space="preserve">(b)</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the Order Form;</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1">
            <w:pPr>
              <w:widowControl w:val="0"/>
              <w:spacing w:line="240" w:lineRule="auto"/>
              <w:rPr>
                <w:b w:val="1"/>
              </w:rPr>
            </w:pPr>
            <w:r w:rsidDel="00000000" w:rsidR="00000000" w:rsidRPr="00000000">
              <w:rPr>
                <w:b w:val="1"/>
                <w:rtl w:val="0"/>
              </w:rPr>
              <w:t xml:space="preserve">“Ground Transport”</w:t>
            </w:r>
          </w:p>
          <w:p w:rsidR="00000000" w:rsidDel="00000000" w:rsidP="00000000" w:rsidRDefault="00000000" w:rsidRPr="00000000" w14:paraId="00000062">
            <w:pPr>
              <w:widowControl w:val="0"/>
              <w:spacing w:line="240" w:lineRule="auto"/>
              <w:rPr>
                <w:b w:val="1"/>
              </w:rPr>
            </w:pPr>
            <w:r w:rsidDel="00000000" w:rsidR="00000000" w:rsidRPr="00000000">
              <w:rPr>
                <w:b w:val="1"/>
                <w:rtl w:val="0"/>
              </w:rPr>
              <w:t xml:space="preserve">“Ground Transportation”</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60" w:before="60" w:lineRule="auto"/>
              <w:jc w:val="both"/>
              <w:rPr>
                <w:highlight w:val="white"/>
              </w:rPr>
            </w:pPr>
            <w:r w:rsidDel="00000000" w:rsidR="00000000" w:rsidRPr="00000000">
              <w:rPr>
                <w:highlight w:val="white"/>
                <w:rtl w:val="0"/>
              </w:rPr>
              <w:t xml:space="preserve">Services to be provided to include but not be limited to:</w:t>
            </w:r>
          </w:p>
          <w:p w:rsidR="00000000" w:rsidDel="00000000" w:rsidP="00000000" w:rsidRDefault="00000000" w:rsidRPr="00000000" w14:paraId="00000064">
            <w:pPr>
              <w:numPr>
                <w:ilvl w:val="0"/>
                <w:numId w:val="6"/>
              </w:numPr>
              <w:pBdr>
                <w:top w:space="0" w:sz="0" w:val="nil"/>
                <w:left w:space="0" w:sz="0" w:val="nil"/>
                <w:bottom w:space="0" w:sz="0" w:val="nil"/>
                <w:right w:space="0" w:sz="0" w:val="nil"/>
                <w:between w:space="0" w:sz="0" w:val="nil"/>
              </w:pBdr>
              <w:spacing w:before="60" w:lineRule="auto"/>
              <w:ind w:left="720" w:hanging="360"/>
              <w:jc w:val="both"/>
              <w:rPr>
                <w:highlight w:val="white"/>
              </w:rPr>
            </w:pPr>
            <w:r w:rsidDel="00000000" w:rsidR="00000000" w:rsidRPr="00000000">
              <w:rPr>
                <w:highlight w:val="white"/>
                <w:rtl w:val="0"/>
              </w:rPr>
              <w:t xml:space="preserve">vehicle hire with/without driver</w:t>
            </w:r>
          </w:p>
          <w:p w:rsidR="00000000" w:rsidDel="00000000" w:rsidP="00000000" w:rsidRDefault="00000000" w:rsidRPr="00000000" w14:paraId="00000065">
            <w:pPr>
              <w:numPr>
                <w:ilvl w:val="0"/>
                <w:numId w:val="6"/>
              </w:numPr>
              <w:pBdr>
                <w:top w:space="0" w:sz="0" w:val="nil"/>
                <w:left w:space="0" w:sz="0" w:val="nil"/>
                <w:bottom w:space="0" w:sz="0" w:val="nil"/>
                <w:right w:space="0" w:sz="0" w:val="nil"/>
                <w:between w:space="0" w:sz="0" w:val="nil"/>
              </w:pBdr>
              <w:ind w:left="720" w:hanging="360"/>
              <w:jc w:val="both"/>
              <w:rPr>
                <w:highlight w:val="white"/>
              </w:rPr>
            </w:pPr>
            <w:r w:rsidDel="00000000" w:rsidR="00000000" w:rsidRPr="00000000">
              <w:rPr>
                <w:highlight w:val="white"/>
                <w:rtl w:val="0"/>
              </w:rPr>
              <w:t xml:space="preserve">ad-hoc coach, minibus, or other road vehicle service, with driver;</w:t>
            </w:r>
          </w:p>
          <w:p w:rsidR="00000000" w:rsidDel="00000000" w:rsidP="00000000" w:rsidRDefault="00000000" w:rsidRPr="00000000" w14:paraId="00000066">
            <w:pPr>
              <w:numPr>
                <w:ilvl w:val="0"/>
                <w:numId w:val="6"/>
              </w:numPr>
              <w:pBdr>
                <w:top w:space="0" w:sz="0" w:val="nil"/>
                <w:left w:space="0" w:sz="0" w:val="nil"/>
                <w:bottom w:space="0" w:sz="0" w:val="nil"/>
                <w:right w:space="0" w:sz="0" w:val="nil"/>
                <w:between w:space="0" w:sz="0" w:val="nil"/>
              </w:pBdr>
              <w:ind w:left="720" w:hanging="360"/>
              <w:jc w:val="both"/>
              <w:rPr>
                <w:highlight w:val="white"/>
              </w:rPr>
            </w:pPr>
            <w:r w:rsidDel="00000000" w:rsidR="00000000" w:rsidRPr="00000000">
              <w:rPr>
                <w:highlight w:val="white"/>
                <w:rtl w:val="0"/>
              </w:rPr>
              <w:t xml:space="preserve">regular bus, coach or other road vehicle service, with driver, including but not limited to the provision of rail replacement bus services;</w:t>
            </w:r>
          </w:p>
          <w:p w:rsidR="00000000" w:rsidDel="00000000" w:rsidP="00000000" w:rsidRDefault="00000000" w:rsidRPr="00000000" w14:paraId="00000067">
            <w:pPr>
              <w:numPr>
                <w:ilvl w:val="0"/>
                <w:numId w:val="6"/>
              </w:numPr>
              <w:pBdr>
                <w:top w:space="0" w:sz="0" w:val="nil"/>
                <w:left w:space="0" w:sz="0" w:val="nil"/>
                <w:bottom w:space="0" w:sz="0" w:val="nil"/>
                <w:right w:space="0" w:sz="0" w:val="nil"/>
                <w:between w:space="0" w:sz="0" w:val="nil"/>
              </w:pBdr>
              <w:ind w:left="720" w:hanging="360"/>
              <w:jc w:val="both"/>
              <w:rPr>
                <w:highlight w:val="white"/>
              </w:rPr>
            </w:pPr>
            <w:r w:rsidDel="00000000" w:rsidR="00000000" w:rsidRPr="00000000">
              <w:rPr>
                <w:highlight w:val="white"/>
                <w:rtl w:val="0"/>
              </w:rPr>
              <w:t xml:space="preserve">bulk booking of bus tickets</w:t>
            </w:r>
          </w:p>
          <w:p w:rsidR="00000000" w:rsidDel="00000000" w:rsidP="00000000" w:rsidRDefault="00000000" w:rsidRPr="00000000" w14:paraId="00000068">
            <w:pPr>
              <w:numPr>
                <w:ilvl w:val="0"/>
                <w:numId w:val="6"/>
              </w:numPr>
              <w:pBdr>
                <w:top w:space="0" w:sz="0" w:val="nil"/>
                <w:left w:space="0" w:sz="0" w:val="nil"/>
                <w:bottom w:space="0" w:sz="0" w:val="nil"/>
                <w:right w:space="0" w:sz="0" w:val="nil"/>
                <w:between w:space="0" w:sz="0" w:val="nil"/>
              </w:pBdr>
              <w:ind w:left="720" w:hanging="360"/>
              <w:jc w:val="both"/>
              <w:rPr>
                <w:highlight w:val="white"/>
              </w:rPr>
            </w:pPr>
            <w:r w:rsidDel="00000000" w:rsidR="00000000" w:rsidRPr="00000000">
              <w:rPr>
                <w:highlight w:val="white"/>
                <w:rtl w:val="0"/>
              </w:rPr>
              <w:t xml:space="preserve">booking of tickets for any regular or scheduled intercity coach service</w:t>
            </w:r>
          </w:p>
          <w:p w:rsidR="00000000" w:rsidDel="00000000" w:rsidP="00000000" w:rsidRDefault="00000000" w:rsidRPr="00000000" w14:paraId="00000069">
            <w:pPr>
              <w:numPr>
                <w:ilvl w:val="0"/>
                <w:numId w:val="6"/>
              </w:numPr>
              <w:pBdr>
                <w:top w:space="0" w:sz="0" w:val="nil"/>
                <w:left w:space="0" w:sz="0" w:val="nil"/>
                <w:bottom w:space="0" w:sz="0" w:val="nil"/>
                <w:right w:space="0" w:sz="0" w:val="nil"/>
                <w:between w:space="0" w:sz="0" w:val="nil"/>
              </w:pBdr>
              <w:ind w:left="720" w:hanging="360"/>
              <w:jc w:val="both"/>
              <w:rPr>
                <w:highlight w:val="white"/>
              </w:rPr>
            </w:pPr>
            <w:r w:rsidDel="00000000" w:rsidR="00000000" w:rsidRPr="00000000">
              <w:rPr>
                <w:highlight w:val="white"/>
                <w:rtl w:val="0"/>
              </w:rPr>
              <w:t xml:space="preserve">taxis / minicabs / chauffeured cars; and</w:t>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ind w:left="720" w:hanging="360"/>
              <w:jc w:val="both"/>
              <w:rPr>
                <w:highlight w:val="white"/>
              </w:rPr>
            </w:pPr>
            <w:r w:rsidDel="00000000" w:rsidR="00000000" w:rsidRPr="00000000">
              <w:rPr>
                <w:highlight w:val="white"/>
                <w:rtl w:val="0"/>
              </w:rPr>
              <w:t xml:space="preserve">Non-Emergency Patient Transport Service (NEPTS) with driver</w:t>
            </w:r>
          </w:p>
          <w:p w:rsidR="00000000" w:rsidDel="00000000" w:rsidP="00000000" w:rsidRDefault="00000000" w:rsidRPr="00000000" w14:paraId="0000006B">
            <w:pPr>
              <w:numPr>
                <w:ilvl w:val="0"/>
                <w:numId w:val="6"/>
              </w:numPr>
              <w:pBdr>
                <w:top w:space="0" w:sz="0" w:val="nil"/>
                <w:left w:space="0" w:sz="0" w:val="nil"/>
                <w:bottom w:space="0" w:sz="0" w:val="nil"/>
                <w:right w:space="0" w:sz="0" w:val="nil"/>
                <w:between w:space="0" w:sz="0" w:val="nil"/>
              </w:pBdr>
              <w:spacing w:after="60" w:lineRule="auto"/>
              <w:ind w:left="720" w:hanging="360"/>
              <w:jc w:val="both"/>
              <w:rPr>
                <w:highlight w:val="white"/>
              </w:rPr>
            </w:pPr>
            <w:r w:rsidDel="00000000" w:rsidR="00000000" w:rsidRPr="00000000">
              <w:rPr>
                <w:highlight w:val="white"/>
                <w:rtl w:val="0"/>
              </w:rPr>
              <w:t xml:space="preserve">customer transfer requirements</w:t>
            </w:r>
          </w:p>
          <w:p w:rsidR="00000000" w:rsidDel="00000000" w:rsidP="00000000" w:rsidRDefault="00000000" w:rsidRPr="00000000" w14:paraId="0000006C">
            <w:pPr>
              <w:spacing w:after="120" w:before="120" w:line="240" w:lineRule="auto"/>
              <w:jc w:val="both"/>
              <w:rPr>
                <w:highlight w:val="white"/>
              </w:rPr>
            </w:pPr>
            <w:r w:rsidDel="00000000" w:rsidR="00000000" w:rsidRPr="00000000">
              <w:rPr>
                <w:highlight w:val="white"/>
                <w:rtl w:val="0"/>
              </w:rPr>
              <w:t xml:space="preserve">And if required may include the need for  Accessible vehicles and associated accessibility aids; e.g. ramps</w:t>
            </w:r>
          </w:p>
          <w:p w:rsidR="00000000" w:rsidDel="00000000" w:rsidP="00000000" w:rsidRDefault="00000000" w:rsidRPr="00000000" w14:paraId="0000006D">
            <w:pPr>
              <w:spacing w:after="120" w:before="120" w:line="240" w:lineRule="auto"/>
              <w:jc w:val="both"/>
              <w:rPr>
                <w:highlight w:val="white"/>
              </w:rPr>
            </w:pPr>
            <w:r w:rsidDel="00000000" w:rsidR="00000000" w:rsidRPr="00000000">
              <w:rPr>
                <w:highlight w:val="white"/>
                <w:rtl w:val="0"/>
              </w:rPr>
              <w:t xml:space="preserve">Other vehicle specifications; e.g. number of seats, type of seat belts, emissions standards </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E">
            <w:pPr>
              <w:spacing w:after="60" w:before="60" w:lineRule="auto"/>
              <w:ind w:left="40" w:firstLine="0"/>
              <w:jc w:val="both"/>
              <w:rPr>
                <w:b w:val="1"/>
                <w:highlight w:val="white"/>
              </w:rPr>
            </w:pPr>
            <w:r w:rsidDel="00000000" w:rsidR="00000000" w:rsidRPr="00000000">
              <w:rPr>
                <w:b w:val="1"/>
                <w:highlight w:val="white"/>
                <w:rtl w:val="0"/>
              </w:rPr>
              <w:t xml:space="preserve">“Group Booking”</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6F">
            <w:pPr>
              <w:spacing w:after="60" w:before="60" w:lineRule="auto"/>
              <w:jc w:val="both"/>
              <w:rPr>
                <w:highlight w:val="white"/>
              </w:rPr>
            </w:pPr>
            <w:r w:rsidDel="00000000" w:rsidR="00000000" w:rsidRPr="00000000">
              <w:rPr>
                <w:highlight w:val="white"/>
                <w:rtl w:val="0"/>
              </w:rPr>
              <w:t xml:space="preserve">a booking made for nine (9) or more Travellers and/or delegates;</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0">
            <w:pPr>
              <w:spacing w:after="60" w:before="60" w:lineRule="auto"/>
              <w:ind w:left="40" w:firstLine="0"/>
              <w:jc w:val="both"/>
              <w:rPr>
                <w:b w:val="1"/>
                <w:highlight w:val="white"/>
              </w:rPr>
            </w:pPr>
            <w:r w:rsidDel="00000000" w:rsidR="00000000" w:rsidRPr="00000000">
              <w:rPr>
                <w:b w:val="1"/>
                <w:highlight w:val="white"/>
                <w:rtl w:val="0"/>
              </w:rPr>
              <w:t xml:space="preserve">“HEART”</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1">
            <w:pPr>
              <w:spacing w:line="240" w:lineRule="auto"/>
              <w:jc w:val="both"/>
              <w:rPr/>
            </w:pPr>
            <w:r w:rsidDel="00000000" w:rsidR="00000000" w:rsidRPr="00000000">
              <w:rPr>
                <w:rtl w:val="0"/>
              </w:rPr>
              <w:t xml:space="preserve">HEART (HMG Emergency Accommodation Request Tool) will be a digital platform used by CCS, our Buyers and our Suppliers to view, source, and report on Civilian and emergency Accommodation at pace. This will allow our Buyers and Suppliers to self-serve 24/7 to view their contracted Accommodation and related occupancy levels, as well as giving HMG better visibility of the cross-government estate.</w:t>
            </w:r>
          </w:p>
          <w:p w:rsidR="00000000" w:rsidDel="00000000" w:rsidP="00000000" w:rsidRDefault="00000000" w:rsidRPr="00000000" w14:paraId="00000072">
            <w:pPr>
              <w:spacing w:line="240" w:lineRule="auto"/>
              <w:jc w:val="both"/>
              <w:rPr/>
            </w:pPr>
            <w:r w:rsidDel="00000000" w:rsidR="00000000" w:rsidRPr="00000000">
              <w:rPr>
                <w:rtl w:val="0"/>
              </w:rPr>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3">
            <w:pPr>
              <w:spacing w:after="60" w:before="60" w:lineRule="auto"/>
              <w:ind w:left="40" w:firstLine="0"/>
              <w:jc w:val="both"/>
              <w:rPr>
                <w:b w:val="1"/>
                <w:highlight w:val="white"/>
              </w:rPr>
            </w:pPr>
            <w:r w:rsidDel="00000000" w:rsidR="00000000" w:rsidRPr="00000000">
              <w:rPr>
                <w:b w:val="1"/>
                <w:highlight w:val="white"/>
                <w:rtl w:val="0"/>
              </w:rPr>
              <w:t xml:space="preserve">“Implementation Period”</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4">
            <w:pPr>
              <w:spacing w:after="60" w:before="60" w:lineRule="auto"/>
              <w:jc w:val="both"/>
              <w:rPr>
                <w:highlight w:val="white"/>
              </w:rPr>
            </w:pPr>
            <w:r w:rsidDel="00000000" w:rsidR="00000000" w:rsidRPr="00000000">
              <w:rPr>
                <w:highlight w:val="white"/>
                <w:rtl w:val="0"/>
              </w:rPr>
              <w:t xml:space="preserve">(where applicable) has the meaning given in Call-Off Schedule 13 (Implementation Plan and Testing);</w:t>
            </w:r>
          </w:p>
          <w:p w:rsidR="00000000" w:rsidDel="00000000" w:rsidP="00000000" w:rsidRDefault="00000000" w:rsidRPr="00000000" w14:paraId="00000075">
            <w:pPr>
              <w:spacing w:after="60" w:before="60" w:lineRule="auto"/>
              <w:jc w:val="both"/>
              <w:rPr>
                <w:highlight w:val="white"/>
              </w:rPr>
            </w:pPr>
            <w:r w:rsidDel="00000000" w:rsidR="00000000" w:rsidRPr="00000000">
              <w:rPr>
                <w:rtl w:val="0"/>
              </w:rPr>
            </w:r>
          </w:p>
        </w:tc>
      </w:tr>
      <w:tr>
        <w:trPr>
          <w:cantSplit w:val="0"/>
          <w:trHeight w:val="129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6">
            <w:pPr>
              <w:spacing w:after="60" w:before="60" w:lineRule="auto"/>
              <w:ind w:left="40" w:firstLine="0"/>
              <w:jc w:val="both"/>
              <w:rPr>
                <w:b w:val="1"/>
                <w:highlight w:val="white"/>
              </w:rPr>
            </w:pPr>
            <w:r w:rsidDel="00000000" w:rsidR="00000000" w:rsidRPr="00000000">
              <w:rPr>
                <w:b w:val="1"/>
                <w:highlight w:val="white"/>
                <w:rtl w:val="0"/>
              </w:rPr>
              <w:t xml:space="preserve">“Inventory”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7">
            <w:pPr>
              <w:spacing w:after="60" w:before="60" w:lineRule="auto"/>
              <w:jc w:val="both"/>
              <w:rPr>
                <w:highlight w:val="white"/>
              </w:rPr>
            </w:pPr>
            <w:r w:rsidDel="00000000" w:rsidR="00000000" w:rsidRPr="00000000">
              <w:rPr>
                <w:highlight w:val="white"/>
                <w:rtl w:val="0"/>
              </w:rPr>
              <w:t xml:space="preserve">The complete list of fares and/or rates available to Buyers including open market rates (regardless of whether Commissionable or not), including all CCS Public Sector Negotiated Programme rates or Buyer/Supplier negotiated rates and fares.</w:t>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8">
            <w:pPr>
              <w:spacing w:after="60" w:before="60" w:lineRule="auto"/>
              <w:ind w:left="40" w:firstLine="0"/>
              <w:jc w:val="both"/>
              <w:rPr>
                <w:b w:val="1"/>
                <w:highlight w:val="white"/>
              </w:rPr>
            </w:pPr>
            <w:r w:rsidDel="00000000" w:rsidR="00000000" w:rsidRPr="00000000">
              <w:rPr>
                <w:b w:val="1"/>
                <w:highlight w:val="white"/>
                <w:rtl w:val="0"/>
              </w:rPr>
              <w:t xml:space="preserve">“LCC”</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9">
            <w:pPr>
              <w:spacing w:after="60" w:before="60" w:lineRule="auto"/>
              <w:jc w:val="both"/>
              <w:rPr>
                <w:highlight w:val="white"/>
              </w:rPr>
            </w:pPr>
            <w:r w:rsidDel="00000000" w:rsidR="00000000" w:rsidRPr="00000000">
              <w:rPr>
                <w:highlight w:val="white"/>
                <w:rtl w:val="0"/>
              </w:rPr>
              <w:t xml:space="preserve">low cost carrier e.g. airlines such as Easyjet, Ryanair;</w:t>
            </w:r>
          </w:p>
        </w:tc>
      </w:tr>
      <w:tr>
        <w:trPr>
          <w:cantSplit w:val="0"/>
          <w:trHeight w:val="186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A">
            <w:pPr>
              <w:spacing w:after="60" w:before="60" w:lineRule="auto"/>
              <w:ind w:left="40" w:firstLine="0"/>
              <w:jc w:val="both"/>
              <w:rPr>
                <w:b w:val="1"/>
                <w:highlight w:val="white"/>
              </w:rPr>
            </w:pPr>
            <w:r w:rsidDel="00000000" w:rsidR="00000000" w:rsidRPr="00000000">
              <w:rPr>
                <w:b w:val="1"/>
                <w:highlight w:val="white"/>
                <w:rtl w:val="0"/>
              </w:rPr>
              <w:t xml:space="preserve">“Level 3 Data”</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B">
            <w:pPr>
              <w:spacing w:after="60" w:before="60" w:lineRule="auto"/>
              <w:jc w:val="both"/>
              <w:rPr>
                <w:highlight w:val="white"/>
              </w:rPr>
            </w:pPr>
            <w:r w:rsidDel="00000000" w:rsidR="00000000" w:rsidRPr="00000000">
              <w:rPr>
                <w:highlight w:val="white"/>
                <w:rtl w:val="0"/>
              </w:rPr>
              <w:t xml:space="preserve">Level 3 processing requires the capture of specific line item data in credit card transactions. These additional data fields include merchant name and address, invoice number and tax amount, plus line item details such as item description, quantity and unit of measure, freight amount, and commodity and product codes;</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tcPr>
          <w:p w:rsidR="00000000" w:rsidDel="00000000" w:rsidP="00000000" w:rsidRDefault="00000000" w:rsidRPr="00000000" w14:paraId="0000007C">
            <w:pPr>
              <w:spacing w:after="60" w:before="60" w:lineRule="auto"/>
              <w:ind w:left="40" w:firstLine="0"/>
              <w:rPr>
                <w:b w:val="1"/>
              </w:rPr>
            </w:pPr>
            <w:r w:rsidDel="00000000" w:rsidR="00000000" w:rsidRPr="00000000">
              <w:rPr>
                <w:b w:val="1"/>
                <w:rtl w:val="0"/>
              </w:rPr>
              <w:t xml:space="preserve">“Managed Service”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D">
            <w:pPr>
              <w:spacing w:after="60" w:before="60" w:lineRule="auto"/>
              <w:rPr/>
            </w:pPr>
            <w:r w:rsidDel="00000000" w:rsidR="00000000" w:rsidRPr="00000000">
              <w:rPr>
                <w:rtl w:val="0"/>
              </w:rPr>
              <w:t xml:space="preserve">With respect to Lot 1 Part B and Lot 4, provision of accommodation to a civilian cohort which is fully managed by the Supplier as detailed in </w:t>
            </w:r>
            <w:r w:rsidDel="00000000" w:rsidR="00000000" w:rsidRPr="00000000">
              <w:rPr>
                <w:highlight w:val="white"/>
                <w:rtl w:val="0"/>
              </w:rPr>
              <w:t xml:space="preserve">Framework Schedule 1 Specification Paragraphs 9.98-9.136</w:t>
            </w:r>
            <w:r w:rsidDel="00000000" w:rsidR="00000000" w:rsidRPr="00000000">
              <w:rPr>
                <w:rtl w:val="0"/>
              </w:rPr>
              <w:t xml:space="preserve">, as opposed to just a booking service. </w:t>
            </w:r>
          </w:p>
        </w:tc>
      </w:tr>
      <w:tr>
        <w:trPr>
          <w:cantSplit w:val="0"/>
          <w:trHeight w:val="69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E">
            <w:pPr>
              <w:spacing w:after="60" w:before="60" w:lineRule="auto"/>
              <w:ind w:left="40" w:firstLine="0"/>
              <w:jc w:val="both"/>
              <w:rPr>
                <w:b w:val="1"/>
                <w:highlight w:val="white"/>
              </w:rPr>
            </w:pPr>
            <w:r w:rsidDel="00000000" w:rsidR="00000000" w:rsidRPr="00000000">
              <w:rPr>
                <w:b w:val="1"/>
                <w:highlight w:val="white"/>
                <w:rtl w:val="0"/>
              </w:rPr>
              <w:t xml:space="preserve">“Multi Modal Booking”</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7F">
            <w:pPr>
              <w:spacing w:after="60" w:before="60" w:lineRule="auto"/>
              <w:jc w:val="both"/>
              <w:rPr>
                <w:highlight w:val="white"/>
              </w:rPr>
            </w:pPr>
            <w:r w:rsidDel="00000000" w:rsidR="00000000" w:rsidRPr="00000000">
              <w:rPr>
                <w:highlight w:val="white"/>
                <w:rtl w:val="0"/>
              </w:rPr>
              <w:t xml:space="preserve">a booking for a journey combining two or more modes of travel e.g. air + rail or rail + ferry;</w:t>
            </w:r>
          </w:p>
        </w:tc>
      </w:tr>
      <w:tr>
        <w:trPr>
          <w:cantSplit w:val="0"/>
          <w:trHeight w:val="196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0">
            <w:pPr>
              <w:spacing w:after="60" w:before="60" w:lineRule="auto"/>
              <w:ind w:left="40" w:firstLine="0"/>
              <w:jc w:val="both"/>
              <w:rPr>
                <w:b w:val="1"/>
                <w:highlight w:val="white"/>
              </w:rPr>
            </w:pPr>
            <w:r w:rsidDel="00000000" w:rsidR="00000000" w:rsidRPr="00000000">
              <w:rPr>
                <w:b w:val="1"/>
                <w:highlight w:val="white"/>
                <w:rtl w:val="0"/>
              </w:rPr>
              <w:t xml:space="preserve">“Multi-City Flight”</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1">
            <w:pPr>
              <w:spacing w:after="60" w:before="60" w:lineRule="auto"/>
              <w:jc w:val="both"/>
              <w:rPr>
                <w:highlight w:val="white"/>
              </w:rPr>
            </w:pPr>
            <w:r w:rsidDel="00000000" w:rsidR="00000000" w:rsidRPr="00000000">
              <w:rPr>
                <w:highlight w:val="white"/>
                <w:rtl w:val="0"/>
              </w:rPr>
              <w:t xml:space="preserve">an itinerary that doesn’t follow a typical there-and-back pattern, but instead goes from Point A to Point B and on to Point C (and possibly Point D, etc.). A multi-city itinerary can be used to create a layover, visit several cities in one trip, or fly back to a different airport than where you started. The flights do not need to be with the same airline;</w:t>
            </w:r>
          </w:p>
        </w:tc>
      </w:tr>
      <w:tr>
        <w:trPr>
          <w:cantSplit w:val="0"/>
          <w:trHeight w:val="169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2">
            <w:pPr>
              <w:spacing w:after="60" w:before="60" w:lineRule="auto"/>
              <w:ind w:left="40" w:firstLine="0"/>
              <w:rPr>
                <w:b w:val="1"/>
                <w:highlight w:val="white"/>
              </w:rPr>
            </w:pPr>
            <w:r w:rsidDel="00000000" w:rsidR="00000000" w:rsidRPr="00000000">
              <w:rPr>
                <w:b w:val="1"/>
                <w:highlight w:val="white"/>
                <w:rtl w:val="0"/>
              </w:rPr>
              <w:t xml:space="preserve">“New Distribution Capability” (“NDC”)</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3">
            <w:pPr>
              <w:spacing w:after="60" w:before="60" w:lineRule="auto"/>
              <w:jc w:val="both"/>
              <w:rPr>
                <w:highlight w:val="white"/>
              </w:rPr>
            </w:pPr>
            <w:r w:rsidDel="00000000" w:rsidR="00000000" w:rsidRPr="00000000">
              <w:rPr>
                <w:highlight w:val="white"/>
                <w:rtl w:val="0"/>
              </w:rPr>
              <w:t xml:space="preserve">the travel industry-supported program (NDC Program) launched by IATA for the development and market adoption of a new, XML-based data transmission standard (NDC Standard). The NDC Standard enhances the capability of communications between airlines and travel agents;</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4">
            <w:pPr>
              <w:spacing w:after="60" w:before="60" w:lineRule="auto"/>
              <w:ind w:left="40" w:firstLine="0"/>
              <w:jc w:val="both"/>
              <w:rPr>
                <w:b w:val="1"/>
                <w:highlight w:val="white"/>
              </w:rPr>
            </w:pPr>
            <w:r w:rsidDel="00000000" w:rsidR="00000000" w:rsidRPr="00000000">
              <w:rPr>
                <w:b w:val="1"/>
                <w:highlight w:val="white"/>
                <w:rtl w:val="0"/>
              </w:rPr>
              <w:t xml:space="preserve">“Non-Commissionable Inventory”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5">
            <w:pPr>
              <w:spacing w:after="60" w:before="60" w:lineRule="auto"/>
              <w:jc w:val="both"/>
              <w:rPr>
                <w:highlight w:val="white"/>
              </w:rPr>
            </w:pPr>
            <w:r w:rsidDel="00000000" w:rsidR="00000000" w:rsidRPr="00000000">
              <w:rPr>
                <w:highlight w:val="white"/>
                <w:rtl w:val="0"/>
              </w:rPr>
              <w:t xml:space="preserve">the Inventory which does not earn Commissions;</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6">
            <w:pPr>
              <w:spacing w:after="60" w:before="60" w:lineRule="auto"/>
              <w:ind w:left="40" w:firstLine="0"/>
              <w:jc w:val="both"/>
              <w:rPr>
                <w:b w:val="1"/>
                <w:highlight w:val="white"/>
              </w:rPr>
            </w:pPr>
            <w:r w:rsidDel="00000000" w:rsidR="00000000" w:rsidRPr="00000000">
              <w:rPr>
                <w:b w:val="1"/>
                <w:highlight w:val="white"/>
                <w:rtl w:val="0"/>
              </w:rPr>
              <w:t xml:space="preserve">“Non-Commissionable”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7">
            <w:pPr>
              <w:spacing w:after="60" w:before="60" w:lineRule="auto"/>
              <w:jc w:val="both"/>
              <w:rPr>
                <w:highlight w:val="white"/>
              </w:rPr>
            </w:pPr>
            <w:r w:rsidDel="00000000" w:rsidR="00000000" w:rsidRPr="00000000">
              <w:rPr>
                <w:highlight w:val="white"/>
                <w:rtl w:val="0"/>
              </w:rPr>
              <w:t xml:space="preserve">not capable of earning Commissions;</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8">
            <w:pPr>
              <w:spacing w:after="60" w:before="60" w:lineRule="auto"/>
              <w:ind w:left="40" w:firstLine="0"/>
              <w:jc w:val="both"/>
              <w:rPr>
                <w:b w:val="1"/>
                <w:highlight w:val="white"/>
              </w:rPr>
            </w:pPr>
            <w:r w:rsidDel="00000000" w:rsidR="00000000" w:rsidRPr="00000000">
              <w:rPr>
                <w:b w:val="1"/>
                <w:highlight w:val="white"/>
                <w:rtl w:val="0"/>
              </w:rPr>
              <w:t xml:space="preserve">“Non-Emergency Patient Transport Service”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9">
            <w:pPr>
              <w:spacing w:after="60" w:before="60" w:lineRule="auto"/>
              <w:jc w:val="both"/>
              <w:rPr>
                <w:highlight w:val="white"/>
              </w:rPr>
            </w:pPr>
            <w:r w:rsidDel="00000000" w:rsidR="00000000" w:rsidRPr="00000000">
              <w:rPr>
                <w:highlight w:val="white"/>
                <w:rtl w:val="0"/>
              </w:rPr>
              <w:t xml:space="preserve">Non-emergency patient transport services (NEPTS) are for people who need to travel to or from hospital or a medical appointment but are unable to travel without specialist support.</w:t>
            </w:r>
          </w:p>
          <w:p w:rsidR="00000000" w:rsidDel="00000000" w:rsidP="00000000" w:rsidRDefault="00000000" w:rsidRPr="00000000" w14:paraId="0000008A">
            <w:pPr>
              <w:spacing w:after="60" w:before="60" w:lineRule="auto"/>
              <w:jc w:val="both"/>
              <w:rPr>
                <w:highlight w:val="white"/>
              </w:rPr>
            </w:pPr>
            <w:r w:rsidDel="00000000" w:rsidR="00000000" w:rsidRPr="00000000">
              <w:rPr>
                <w:highlight w:val="white"/>
                <w:rtl w:val="0"/>
              </w:rPr>
              <w:t xml:space="preserve">Vehicles can be defined as but not limited to- carry four seated people, have a stretcher and capacity to support patients who are required to travel in a wheelchair.</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B">
            <w:pPr>
              <w:spacing w:after="60" w:before="60" w:lineRule="auto"/>
              <w:ind w:left="40" w:firstLine="0"/>
              <w:rPr>
                <w:b w:val="1"/>
                <w:highlight w:val="white"/>
              </w:rPr>
            </w:pPr>
            <w:r w:rsidDel="00000000" w:rsidR="00000000" w:rsidRPr="00000000">
              <w:rPr>
                <w:b w:val="1"/>
                <w:highlight w:val="white"/>
                <w:rtl w:val="0"/>
              </w:rPr>
              <w:t xml:space="preserve">“Offline Booking Solution”</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C">
            <w:pPr>
              <w:spacing w:after="60" w:before="60" w:lineRule="auto"/>
              <w:jc w:val="both"/>
              <w:rPr>
                <w:highlight w:val="white"/>
              </w:rPr>
            </w:pPr>
            <w:r w:rsidDel="00000000" w:rsidR="00000000" w:rsidRPr="00000000">
              <w:rPr>
                <w:highlight w:val="white"/>
                <w:rtl w:val="0"/>
              </w:rPr>
              <w:t xml:space="preserve">has the meaning set out in Joint Schedule 1 (Definitions);</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D">
            <w:pPr>
              <w:spacing w:after="60" w:before="60" w:lineRule="auto"/>
              <w:ind w:left="40" w:firstLine="0"/>
              <w:rPr>
                <w:b w:val="1"/>
                <w:highlight w:val="white"/>
              </w:rPr>
            </w:pPr>
            <w:r w:rsidDel="00000000" w:rsidR="00000000" w:rsidRPr="00000000">
              <w:rPr>
                <w:b w:val="1"/>
                <w:highlight w:val="white"/>
                <w:rtl w:val="0"/>
              </w:rPr>
              <w:t xml:space="preserve">“Online Booking Solution”</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E">
            <w:pPr>
              <w:spacing w:after="60" w:before="60" w:lineRule="auto"/>
              <w:jc w:val="both"/>
              <w:rPr>
                <w:highlight w:val="white"/>
              </w:rPr>
            </w:pPr>
            <w:r w:rsidDel="00000000" w:rsidR="00000000" w:rsidRPr="00000000">
              <w:rPr>
                <w:highlight w:val="white"/>
                <w:rtl w:val="0"/>
              </w:rPr>
              <w:t xml:space="preserve">has the meaning set out in Joint Schedule 1 (Definitions);</w:t>
            </w:r>
          </w:p>
        </w:tc>
      </w:tr>
      <w:tr>
        <w:trPr>
          <w:cantSplit w:val="0"/>
          <w:trHeight w:val="199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8F">
            <w:pPr>
              <w:spacing w:after="60" w:before="60" w:lineRule="auto"/>
              <w:ind w:left="40" w:firstLine="0"/>
              <w:rPr>
                <w:b w:val="1"/>
                <w:highlight w:val="white"/>
              </w:rPr>
            </w:pPr>
            <w:r w:rsidDel="00000000" w:rsidR="00000000" w:rsidRPr="00000000">
              <w:rPr>
                <w:b w:val="1"/>
                <w:highlight w:val="white"/>
                <w:rtl w:val="0"/>
              </w:rPr>
              <w:t xml:space="preserve">“Online Booking System”</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0">
            <w:pPr>
              <w:spacing w:after="60" w:before="60" w:lineRule="auto"/>
              <w:jc w:val="both"/>
              <w:rPr>
                <w:highlight w:val="white"/>
              </w:rPr>
            </w:pPr>
            <w:r w:rsidDel="00000000" w:rsidR="00000000" w:rsidRPr="00000000">
              <w:rPr>
                <w:highlight w:val="white"/>
                <w:rtl w:val="0"/>
              </w:rPr>
              <w:t xml:space="preserve">the Supplier’s information and communications technology system (including any hardware, software, programs and databases, whether belonging to the Supplier or a third party, that are required to enable Bookers and Travellers to make bookings in accordance with this Contract) used for the provision of the Online Booking Solution;</w:t>
            </w:r>
          </w:p>
        </w:tc>
      </w:tr>
      <w:tr>
        <w:trPr>
          <w:cantSplit w:val="0"/>
          <w:trHeight w:val="73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1">
            <w:pPr>
              <w:spacing w:before="120" w:lineRule="auto"/>
              <w:jc w:val="both"/>
              <w:rPr>
                <w:b w:val="1"/>
                <w:highlight w:val="white"/>
              </w:rPr>
            </w:pPr>
            <w:r w:rsidDel="00000000" w:rsidR="00000000" w:rsidRPr="00000000">
              <w:rPr>
                <w:b w:val="1"/>
                <w:highlight w:val="white"/>
                <w:rtl w:val="0"/>
              </w:rPr>
              <w:t xml:space="preserve">“Overseas Point of Sale”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2">
            <w:pPr>
              <w:spacing w:before="120" w:lineRule="auto"/>
              <w:jc w:val="both"/>
              <w:rPr/>
            </w:pPr>
            <w:r w:rsidDel="00000000" w:rsidR="00000000" w:rsidRPr="00000000">
              <w:rPr>
                <w:rtl w:val="0"/>
              </w:rPr>
              <w:t xml:space="preserve">a transaction that takes please in a country that is not the UK</w:t>
            </w:r>
          </w:p>
        </w:tc>
      </w:tr>
      <w:tr>
        <w:trPr>
          <w:cantSplit w:val="0"/>
          <w:trHeight w:val="181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3">
            <w:pPr>
              <w:spacing w:before="120" w:lineRule="auto"/>
              <w:rPr>
                <w:b w:val="1"/>
                <w:highlight w:val="white"/>
              </w:rPr>
            </w:pPr>
            <w:r w:rsidDel="00000000" w:rsidR="00000000" w:rsidRPr="00000000">
              <w:rPr>
                <w:b w:val="1"/>
                <w:highlight w:val="white"/>
                <w:rtl w:val="0"/>
              </w:rPr>
              <w:t xml:space="preserve">“Pre-Sourced Venue Bookings”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4">
            <w:pPr>
              <w:spacing w:before="120" w:lineRule="auto"/>
              <w:jc w:val="both"/>
              <w:rPr>
                <w:highlight w:val="white"/>
              </w:rPr>
            </w:pPr>
            <w:r w:rsidDel="00000000" w:rsidR="00000000" w:rsidRPr="00000000">
              <w:rPr>
                <w:rtl w:val="0"/>
              </w:rPr>
              <w:t xml:space="preserve">Where Buyers have already Sourced and agreed most of the elements of their venue booking themselves, prior to engaging with their chosen Supplier,  will have the costs applied as outlined in the pricing matrix for that lot and Supplier.</w:t>
            </w:r>
            <w:r w:rsidDel="00000000" w:rsidR="00000000" w:rsidRPr="00000000">
              <w:rPr>
                <w:rtl w:val="0"/>
              </w:rPr>
            </w:r>
          </w:p>
        </w:tc>
      </w:tr>
      <w:tr>
        <w:trPr>
          <w:cantSplit w:val="0"/>
          <w:trHeight w:val="544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5">
            <w:pPr>
              <w:spacing w:after="60" w:before="60" w:lineRule="auto"/>
              <w:ind w:left="40" w:firstLine="0"/>
              <w:jc w:val="both"/>
              <w:rPr>
                <w:b w:val="1"/>
                <w:highlight w:val="white"/>
              </w:rPr>
            </w:pPr>
            <w:r w:rsidDel="00000000" w:rsidR="00000000" w:rsidRPr="00000000">
              <w:rPr>
                <w:b w:val="1"/>
                <w:highlight w:val="white"/>
                <w:rtl w:val="0"/>
              </w:rPr>
              <w:t xml:space="preserve">“Price Match”</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6">
            <w:pPr>
              <w:spacing w:after="60" w:before="60" w:lineRule="auto"/>
              <w:jc w:val="both"/>
              <w:rPr>
                <w:highlight w:val="white"/>
              </w:rPr>
            </w:pPr>
            <w:r w:rsidDel="00000000" w:rsidR="00000000" w:rsidRPr="00000000">
              <w:rPr>
                <w:highlight w:val="white"/>
                <w:rtl w:val="0"/>
              </w:rPr>
              <w:t xml:space="preserve">a mechanism where the Supplier shall be given the opportunity to match the cheaper fare/rate via secure channels using secure/approved payment means in UK Sterling only, within realistic timelines. If the Supplier cannot match the price, then the Supplier shall refund the difference in fare or rate to the Buyer. For the purposes of Price Match:</w:t>
            </w:r>
          </w:p>
          <w:p w:rsidR="00000000" w:rsidDel="00000000" w:rsidP="00000000" w:rsidRDefault="00000000" w:rsidRPr="00000000" w14:paraId="00000097">
            <w:pPr>
              <w:spacing w:after="60" w:before="60" w:lineRule="auto"/>
              <w:ind w:left="1480" w:hanging="740"/>
              <w:jc w:val="both"/>
              <w:rPr>
                <w:highlight w:val="white"/>
              </w:rPr>
            </w:pPr>
            <w:r w:rsidDel="00000000" w:rsidR="00000000" w:rsidRPr="00000000">
              <w:rPr>
                <w:highlight w:val="white"/>
                <w:rtl w:val="0"/>
              </w:rPr>
              <w:t xml:space="preserve">a)     </w:t>
              <w:tab/>
              <w:t xml:space="preserve">the airfare or rail ticket needs to be ‘like for like’ (exact origin, destination and routing) in the same class, at the exact same times and dates of travel and with the same ticketing restrictions and penalties, and include any ancillary fees and taxes; and</w:t>
            </w:r>
          </w:p>
          <w:p w:rsidR="00000000" w:rsidDel="00000000" w:rsidP="00000000" w:rsidRDefault="00000000" w:rsidRPr="00000000" w14:paraId="00000098">
            <w:pPr>
              <w:spacing w:after="60" w:before="60" w:lineRule="auto"/>
              <w:ind w:left="1480" w:hanging="740"/>
              <w:jc w:val="both"/>
              <w:rPr>
                <w:highlight w:val="white"/>
              </w:rPr>
            </w:pPr>
            <w:r w:rsidDel="00000000" w:rsidR="00000000" w:rsidRPr="00000000">
              <w:rPr>
                <w:highlight w:val="white"/>
                <w:rtl w:val="0"/>
              </w:rPr>
              <w:t xml:space="preserve">b)     </w:t>
              <w:tab/>
              <w:t xml:space="preserve">the accommodation, booking terms and conditions must be the same; including, but not limited to, cancellation policy, payment terms, room type, meal plan, VAT or local taxes, credit card fees;</w:t>
            </w:r>
          </w:p>
        </w:tc>
      </w:tr>
      <w:tr>
        <w:trPr>
          <w:cantSplit w:val="0"/>
          <w:trHeight w:val="145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9">
            <w:pPr>
              <w:spacing w:after="60" w:before="60" w:lineRule="auto"/>
              <w:ind w:left="40" w:firstLine="0"/>
              <w:jc w:val="both"/>
              <w:rPr>
                <w:b w:val="1"/>
                <w:highlight w:val="white"/>
              </w:rPr>
            </w:pPr>
            <w:r w:rsidDel="00000000" w:rsidR="00000000" w:rsidRPr="00000000">
              <w:rPr>
                <w:b w:val="1"/>
                <w:highlight w:val="white"/>
                <w:rtl w:val="0"/>
              </w:rPr>
              <w:t xml:space="preserve">“Principal”</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9A">
            <w:pPr>
              <w:spacing w:after="60" w:before="60" w:lineRule="auto"/>
              <w:jc w:val="both"/>
              <w:rPr>
                <w:highlight w:val="white"/>
              </w:rPr>
            </w:pPr>
            <w:r w:rsidDel="00000000" w:rsidR="00000000" w:rsidRPr="00000000">
              <w:rPr>
                <w:highlight w:val="white"/>
                <w:rtl w:val="0"/>
              </w:rPr>
              <w:t xml:space="preserve">A role played by the Supplier in relation to ownership of the services delivered under this framework.</w:t>
            </w:r>
          </w:p>
          <w:p w:rsidR="00000000" w:rsidDel="00000000" w:rsidP="00000000" w:rsidRDefault="00000000" w:rsidRPr="00000000" w14:paraId="0000009B">
            <w:pPr>
              <w:spacing w:after="60" w:before="60" w:lineRule="auto"/>
              <w:jc w:val="both"/>
              <w:rPr>
                <w:highlight w:val="white"/>
              </w:rPr>
            </w:pPr>
            <w:r w:rsidDel="00000000" w:rsidR="00000000" w:rsidRPr="00000000">
              <w:rPr>
                <w:highlight w:val="white"/>
                <w:rtl w:val="0"/>
              </w:rPr>
              <w:t xml:space="preserve">As Principal in this framework, the Supplier has responsibility for:</w:t>
            </w:r>
          </w:p>
          <w:p w:rsidR="00000000" w:rsidDel="00000000" w:rsidP="00000000" w:rsidRDefault="00000000" w:rsidRPr="00000000" w14:paraId="0000009C">
            <w:pPr>
              <w:numPr>
                <w:ilvl w:val="0"/>
                <w:numId w:val="3"/>
              </w:numPr>
              <w:spacing w:before="60" w:lineRule="auto"/>
              <w:ind w:left="720" w:hanging="360"/>
              <w:jc w:val="both"/>
              <w:rPr>
                <w:highlight w:val="white"/>
              </w:rPr>
            </w:pPr>
            <w:r w:rsidDel="00000000" w:rsidR="00000000" w:rsidRPr="00000000">
              <w:rPr>
                <w:highlight w:val="white"/>
                <w:rtl w:val="0"/>
              </w:rPr>
              <w:t xml:space="preserve">Ultimate delivery of the end services to the Buyer</w:t>
            </w:r>
          </w:p>
          <w:p w:rsidR="00000000" w:rsidDel="00000000" w:rsidP="00000000" w:rsidRDefault="00000000" w:rsidRPr="00000000" w14:paraId="0000009D">
            <w:pPr>
              <w:numPr>
                <w:ilvl w:val="0"/>
                <w:numId w:val="3"/>
              </w:numPr>
              <w:ind w:left="720" w:hanging="360"/>
              <w:jc w:val="both"/>
              <w:rPr>
                <w:highlight w:val="white"/>
              </w:rPr>
            </w:pPr>
            <w:r w:rsidDel="00000000" w:rsidR="00000000" w:rsidRPr="00000000">
              <w:rPr>
                <w:highlight w:val="white"/>
                <w:rtl w:val="0"/>
              </w:rPr>
              <w:t xml:space="preserve">Assuming liability for resolving damage claims to Accommodation Solutions and Venues by Service Users</w:t>
            </w:r>
          </w:p>
          <w:p w:rsidR="00000000" w:rsidDel="00000000" w:rsidP="00000000" w:rsidRDefault="00000000" w:rsidRPr="00000000" w14:paraId="0000009E">
            <w:pPr>
              <w:numPr>
                <w:ilvl w:val="0"/>
                <w:numId w:val="3"/>
              </w:numPr>
              <w:spacing w:after="60" w:lineRule="auto"/>
              <w:ind w:left="720" w:hanging="360"/>
              <w:jc w:val="both"/>
              <w:rPr>
                <w:highlight w:val="white"/>
              </w:rPr>
            </w:pPr>
            <w:r w:rsidDel="00000000" w:rsidR="00000000" w:rsidRPr="00000000">
              <w:rPr>
                <w:highlight w:val="white"/>
                <w:rtl w:val="0"/>
              </w:rPr>
              <w:t xml:space="preserve">Defending legal challenges made by third parties against the use of the venue for the requested purpose</w:t>
            </w:r>
          </w:p>
          <w:p w:rsidR="00000000" w:rsidDel="00000000" w:rsidP="00000000" w:rsidRDefault="00000000" w:rsidRPr="00000000" w14:paraId="0000009F">
            <w:pPr>
              <w:spacing w:after="60" w:before="60" w:lineRule="auto"/>
              <w:jc w:val="both"/>
              <w:rPr>
                <w:highlight w:val="white"/>
              </w:rPr>
            </w:pPr>
            <w:r w:rsidDel="00000000" w:rsidR="00000000" w:rsidRPr="00000000">
              <w:rPr>
                <w:highlight w:val="white"/>
                <w:rtl w:val="0"/>
              </w:rPr>
              <w:t xml:space="preserve">In this framework, unless specifically agreed in writing with the Buyer for services delivered in Lot 1 Part B and Lot 4, the Supplier will act as Agent (rather than Principal) in all matters relating to the delivery of these services</w:t>
            </w:r>
          </w:p>
        </w:tc>
      </w:tr>
      <w:tr>
        <w:trPr>
          <w:cantSplit w:val="0"/>
          <w:trHeight w:val="10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A0">
            <w:pPr>
              <w:spacing w:after="60" w:before="60" w:lineRule="auto"/>
              <w:ind w:left="40" w:firstLine="0"/>
              <w:jc w:val="both"/>
              <w:rPr>
                <w:b w:val="1"/>
                <w:highlight w:val="white"/>
              </w:rPr>
            </w:pPr>
            <w:r w:rsidDel="00000000" w:rsidR="00000000" w:rsidRPr="00000000">
              <w:rPr>
                <w:b w:val="1"/>
                <w:highlight w:val="white"/>
                <w:rtl w:val="0"/>
              </w:rPr>
              <w:t xml:space="preserve">“Protected Characteristics”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A1">
            <w:pPr>
              <w:spacing w:after="60" w:before="60" w:lineRule="auto"/>
              <w:jc w:val="both"/>
              <w:rPr>
                <w:highlight w:val="white"/>
              </w:rPr>
            </w:pPr>
            <w:r w:rsidDel="00000000" w:rsidR="00000000" w:rsidRPr="00000000">
              <w:rPr>
                <w:highlight w:val="white"/>
                <w:rtl w:val="0"/>
              </w:rPr>
              <w:t xml:space="preserve">As defined under the Equality Act 2010 - age, disability, gender reassignment; marriage and civil partnership; pregnancy and maternity, race, religion or belief, sex, and sexual orientation.</w:t>
            </w:r>
          </w:p>
        </w:tc>
      </w:tr>
      <w:tr>
        <w:trPr>
          <w:cantSplit w:val="0"/>
          <w:trHeight w:val="186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A2">
            <w:pPr>
              <w:spacing w:after="60" w:before="60" w:lineRule="auto"/>
              <w:ind w:left="40" w:firstLine="0"/>
              <w:jc w:val="both"/>
              <w:rPr>
                <w:b w:val="1"/>
                <w:highlight w:val="white"/>
              </w:rPr>
            </w:pPr>
            <w:r w:rsidDel="00000000" w:rsidR="00000000" w:rsidRPr="00000000">
              <w:rPr>
                <w:b w:val="1"/>
                <w:highlight w:val="white"/>
                <w:rtl w:val="0"/>
              </w:rPr>
              <w:t xml:space="preserve">“Quality Management System” (QMS)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A3">
            <w:pPr>
              <w:spacing w:after="60" w:before="60" w:lineRule="auto"/>
              <w:jc w:val="both"/>
              <w:rPr>
                <w:highlight w:val="white"/>
              </w:rPr>
            </w:pPr>
            <w:r w:rsidDel="00000000" w:rsidR="00000000" w:rsidRPr="00000000">
              <w:rPr>
                <w:highlight w:val="white"/>
                <w:rtl w:val="0"/>
              </w:rPr>
              <w:t xml:space="preserve">a collection of business processes focused on achieving quality policy and quality objectives to meet the Buyer’s requirements. It is expressed as the organisational structure, policies, procedures, processes and resources needed to implement quality management;</w:t>
            </w:r>
          </w:p>
        </w:tc>
      </w:tr>
      <w:tr>
        <w:trPr>
          <w:cantSplit w:val="0"/>
          <w:trHeight w:val="10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A4">
            <w:pPr>
              <w:spacing w:after="60" w:before="60" w:lineRule="auto"/>
              <w:ind w:left="40" w:firstLine="0"/>
              <w:rPr>
                <w:b w:val="1"/>
                <w:highlight w:val="white"/>
              </w:rPr>
            </w:pPr>
            <w:r w:rsidDel="00000000" w:rsidR="00000000" w:rsidRPr="00000000">
              <w:rPr>
                <w:b w:val="1"/>
                <w:highlight w:val="white"/>
                <w:rtl w:val="0"/>
              </w:rPr>
              <w:t xml:space="preserve">“Reason for Travel Codes” (RFT)</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A5">
            <w:pPr>
              <w:spacing w:after="60" w:before="60" w:lineRule="auto"/>
              <w:jc w:val="both"/>
              <w:rPr>
                <w:highlight w:val="white"/>
              </w:rPr>
            </w:pPr>
            <w:r w:rsidDel="00000000" w:rsidR="00000000" w:rsidRPr="00000000">
              <w:rPr>
                <w:highlight w:val="white"/>
                <w:rtl w:val="0"/>
              </w:rPr>
              <w:t xml:space="preserve">a code to capture Travellers’ business reasons for travel or nature of the business benefit derived or expected to be derived as a result of travel;</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A6">
            <w:pPr>
              <w:spacing w:after="60" w:before="60" w:lineRule="auto"/>
              <w:ind w:left="40" w:firstLine="0"/>
              <w:jc w:val="both"/>
              <w:rPr>
                <w:b w:val="1"/>
                <w:highlight w:val="white"/>
              </w:rPr>
            </w:pPr>
            <w:r w:rsidDel="00000000" w:rsidR="00000000" w:rsidRPr="00000000">
              <w:rPr>
                <w:b w:val="1"/>
                <w:highlight w:val="white"/>
                <w:rtl w:val="0"/>
              </w:rPr>
              <w:t xml:space="preserve">“Reasons”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A7">
            <w:pPr>
              <w:spacing w:after="60" w:before="60" w:lineRule="auto"/>
              <w:jc w:val="both"/>
              <w:rPr>
                <w:highlight w:val="white"/>
              </w:rPr>
            </w:pPr>
            <w:r w:rsidDel="00000000" w:rsidR="00000000" w:rsidRPr="00000000">
              <w:rPr>
                <w:highlight w:val="white"/>
                <w:rtl w:val="0"/>
              </w:rPr>
              <w:t xml:space="preserve">a cause, explanation, or justification for selecting a specific journey and/or accommodation;</w:t>
            </w:r>
          </w:p>
        </w:tc>
      </w:tr>
      <w:tr>
        <w:trPr>
          <w:cantSplit w:val="0"/>
          <w:trHeight w:val="274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A8">
            <w:pPr>
              <w:spacing w:after="60" w:before="60" w:lineRule="auto"/>
              <w:ind w:left="40" w:firstLine="0"/>
              <w:jc w:val="both"/>
              <w:rPr>
                <w:b w:val="1"/>
                <w:highlight w:val="white"/>
              </w:rPr>
            </w:pPr>
            <w:r w:rsidDel="00000000" w:rsidR="00000000" w:rsidRPr="00000000">
              <w:rPr>
                <w:b w:val="1"/>
                <w:highlight w:val="white"/>
                <w:rtl w:val="0"/>
              </w:rPr>
              <w:t xml:space="preserve">“Security Requirements”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A9">
            <w:pPr>
              <w:spacing w:after="60" w:before="60" w:line="240" w:lineRule="auto"/>
              <w:jc w:val="both"/>
              <w:rPr>
                <w:highlight w:val="white"/>
              </w:rPr>
            </w:pPr>
            <w:r w:rsidDel="00000000" w:rsidR="00000000" w:rsidRPr="00000000">
              <w:rPr>
                <w:highlight w:val="white"/>
                <w:rtl w:val="0"/>
              </w:rPr>
              <w:t xml:space="preserve">means the security requirements set out or referred to in:</w:t>
            </w:r>
          </w:p>
          <w:p w:rsidR="00000000" w:rsidDel="00000000" w:rsidP="00000000" w:rsidRDefault="00000000" w:rsidRPr="00000000" w14:paraId="000000AA">
            <w:pPr>
              <w:spacing w:after="60" w:before="60" w:line="240" w:lineRule="auto"/>
              <w:ind w:left="1400" w:hanging="680"/>
              <w:rPr>
                <w:highlight w:val="white"/>
              </w:rPr>
            </w:pPr>
            <w:r w:rsidDel="00000000" w:rsidR="00000000" w:rsidRPr="00000000">
              <w:rPr>
                <w:highlight w:val="white"/>
                <w:rtl w:val="0"/>
              </w:rPr>
              <w:t xml:space="preserve">a)</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this Schedule (as applicable to the relevant Lot in question);</w:t>
            </w:r>
          </w:p>
          <w:p w:rsidR="00000000" w:rsidDel="00000000" w:rsidP="00000000" w:rsidRDefault="00000000" w:rsidRPr="00000000" w14:paraId="000000AB">
            <w:pPr>
              <w:spacing w:after="60" w:before="60" w:line="240" w:lineRule="auto"/>
              <w:ind w:left="1400" w:hanging="680"/>
              <w:rPr>
                <w:highlight w:val="white"/>
              </w:rPr>
            </w:pPr>
            <w:r w:rsidDel="00000000" w:rsidR="00000000" w:rsidRPr="00000000">
              <w:rPr>
                <w:highlight w:val="white"/>
                <w:rtl w:val="0"/>
              </w:rPr>
              <w:t xml:space="preserve">b)        Framework Schedule 9 (Cyber Essentials Scheme);</w:t>
            </w:r>
          </w:p>
          <w:p w:rsidR="00000000" w:rsidDel="00000000" w:rsidP="00000000" w:rsidRDefault="00000000" w:rsidRPr="00000000" w14:paraId="000000AC">
            <w:pPr>
              <w:spacing w:after="60" w:before="60" w:line="240" w:lineRule="auto"/>
              <w:ind w:left="1400" w:hanging="680"/>
              <w:rPr>
                <w:highlight w:val="white"/>
              </w:rPr>
            </w:pPr>
            <w:r w:rsidDel="00000000" w:rsidR="00000000" w:rsidRPr="00000000">
              <w:rPr>
                <w:highlight w:val="white"/>
                <w:rtl w:val="0"/>
              </w:rPr>
              <w:t xml:space="preserve">c)</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Call-Off Schedule 9A (Security) or Call-Off Schedule 9B (MOD Security) (as applicable); and</w:t>
            </w:r>
          </w:p>
          <w:p w:rsidR="00000000" w:rsidDel="00000000" w:rsidP="00000000" w:rsidRDefault="00000000" w:rsidRPr="00000000" w14:paraId="000000AD">
            <w:pPr>
              <w:spacing w:after="60" w:before="60" w:line="240" w:lineRule="auto"/>
              <w:ind w:left="1400" w:hanging="680"/>
              <w:rPr>
                <w:highlight w:val="white"/>
              </w:rPr>
            </w:pPr>
            <w:r w:rsidDel="00000000" w:rsidR="00000000" w:rsidRPr="00000000">
              <w:rPr>
                <w:highlight w:val="white"/>
                <w:rtl w:val="0"/>
              </w:rPr>
              <w:t xml:space="preserve">d)</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highlight w:val="white"/>
                <w:rtl w:val="0"/>
              </w:rPr>
              <w:t xml:space="preserve">any Security Management Plan;</w:t>
            </w:r>
          </w:p>
        </w:tc>
      </w:tr>
      <w:tr>
        <w:trPr>
          <w:cantSplit w:val="0"/>
          <w:trHeight w:val="10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AE">
            <w:pPr>
              <w:spacing w:after="60" w:before="60" w:lineRule="auto"/>
              <w:ind w:left="40" w:firstLine="0"/>
              <w:jc w:val="both"/>
              <w:rPr>
                <w:b w:val="1"/>
                <w:highlight w:val="white"/>
              </w:rPr>
            </w:pPr>
            <w:r w:rsidDel="00000000" w:rsidR="00000000" w:rsidRPr="00000000">
              <w:rPr>
                <w:b w:val="1"/>
                <w:highlight w:val="white"/>
                <w:rtl w:val="0"/>
              </w:rPr>
              <w:t xml:space="preserve">“Services”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AF">
            <w:pPr>
              <w:spacing w:after="60" w:before="60" w:line="240" w:lineRule="auto"/>
              <w:ind w:right="144"/>
              <w:jc w:val="both"/>
              <w:rPr>
                <w:highlight w:val="white"/>
              </w:rPr>
            </w:pPr>
            <w:r w:rsidDel="00000000" w:rsidR="00000000" w:rsidRPr="00000000">
              <w:rPr>
                <w:highlight w:val="white"/>
                <w:rtl w:val="0"/>
              </w:rPr>
              <w:t xml:space="preserve">services made available by the Supplier as specified in Framework Schedule 1 (Specification) and in relation to a Call-Off Contract as specified in the Order Form;</w:t>
            </w:r>
          </w:p>
        </w:tc>
      </w:tr>
      <w:tr>
        <w:trPr>
          <w:cantSplit w:val="0"/>
          <w:trHeight w:val="61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B0">
            <w:pPr>
              <w:spacing w:after="60" w:before="60" w:lineRule="auto"/>
              <w:ind w:left="40" w:firstLine="0"/>
              <w:jc w:val="both"/>
              <w:rPr>
                <w:b w:val="1"/>
                <w:highlight w:val="white"/>
              </w:rPr>
            </w:pPr>
            <w:r w:rsidDel="00000000" w:rsidR="00000000" w:rsidRPr="00000000">
              <w:rPr>
                <w:b w:val="1"/>
                <w:highlight w:val="white"/>
                <w:rtl w:val="0"/>
              </w:rPr>
              <w:t xml:space="preserve">“Service Provider”</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B1">
            <w:pPr>
              <w:spacing w:after="60" w:before="60" w:lineRule="auto"/>
              <w:jc w:val="both"/>
              <w:rPr>
                <w:highlight w:val="white"/>
              </w:rPr>
            </w:pPr>
            <w:r w:rsidDel="00000000" w:rsidR="00000000" w:rsidRPr="00000000">
              <w:rPr>
                <w:highlight w:val="white"/>
                <w:rtl w:val="0"/>
              </w:rPr>
              <w:t xml:space="preserve">Organisation that provides a service</w:t>
            </w:r>
          </w:p>
        </w:tc>
      </w:tr>
      <w:tr>
        <w:trPr>
          <w:cantSplit w:val="0"/>
          <w:trHeight w:val="132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B2">
            <w:pPr>
              <w:spacing w:after="60" w:before="60" w:lineRule="auto"/>
              <w:ind w:left="40" w:firstLine="0"/>
              <w:jc w:val="both"/>
              <w:rPr>
                <w:b w:val="1"/>
                <w:highlight w:val="white"/>
              </w:rPr>
            </w:pPr>
            <w:r w:rsidDel="00000000" w:rsidR="00000000" w:rsidRPr="00000000">
              <w:rPr>
                <w:b w:val="1"/>
                <w:highlight w:val="white"/>
                <w:rtl w:val="0"/>
              </w:rPr>
              <w:t xml:space="preserve">“Service User(s)”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B3">
            <w:pPr>
              <w:spacing w:after="60" w:before="60" w:lineRule="auto"/>
              <w:jc w:val="both"/>
              <w:rPr>
                <w:highlight w:val="white"/>
              </w:rPr>
            </w:pPr>
            <w:r w:rsidDel="00000000" w:rsidR="00000000" w:rsidRPr="00000000">
              <w:rPr>
                <w:highlight w:val="white"/>
                <w:rtl w:val="0"/>
              </w:rPr>
              <w:t xml:space="preserve">The individual(s) for whom the Call Off Order for Accommodation and / or additional service(s) is being made. They are the users / recipients of that Accommodation and / or additional service(s) </w:t>
            </w:r>
          </w:p>
        </w:tc>
      </w:tr>
      <w:tr>
        <w:trPr>
          <w:cantSplit w:val="0"/>
          <w:trHeight w:val="151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B4">
            <w:pPr>
              <w:spacing w:after="60" w:before="60" w:lineRule="auto"/>
              <w:ind w:left="40" w:firstLine="0"/>
              <w:rPr>
                <w:b w:val="1"/>
                <w:highlight w:val="white"/>
              </w:rPr>
            </w:pPr>
            <w:r w:rsidDel="00000000" w:rsidR="00000000" w:rsidRPr="00000000">
              <w:rPr>
                <w:b w:val="1"/>
                <w:highlight w:val="white"/>
                <w:rtl w:val="0"/>
              </w:rPr>
              <w:t xml:space="preserve">“Shared Facilities Register”</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B5">
            <w:pPr>
              <w:spacing w:after="60" w:before="60" w:lineRule="auto"/>
              <w:jc w:val="both"/>
              <w:rPr>
                <w:highlight w:val="white"/>
              </w:rPr>
            </w:pPr>
            <w:r w:rsidDel="00000000" w:rsidR="00000000" w:rsidRPr="00000000">
              <w:rPr>
                <w:highlight w:val="white"/>
                <w:rtl w:val="0"/>
              </w:rPr>
              <w:t xml:space="preserve">a list of meeting spaces across the Government estate which can be used without charge. In the future there may be  emerging alternative solutions / technology for this that may include reduced or discounted cost option</w:t>
            </w:r>
            <w:r w:rsidDel="00000000" w:rsidR="00000000" w:rsidRPr="00000000">
              <w:rPr>
                <w:sz w:val="20"/>
                <w:szCs w:val="20"/>
                <w:highlight w:val="white"/>
                <w:rtl w:val="0"/>
              </w:rPr>
              <w:t xml:space="preserve">s.</w:t>
            </w:r>
            <w:r w:rsidDel="00000000" w:rsidR="00000000" w:rsidRPr="00000000">
              <w:rPr>
                <w:rtl w:val="0"/>
              </w:rPr>
            </w:r>
          </w:p>
        </w:tc>
      </w:tr>
      <w:tr>
        <w:trPr>
          <w:cantSplit w:val="0"/>
          <w:trHeight w:val="67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B6">
            <w:pPr>
              <w:spacing w:after="160" w:line="259" w:lineRule="auto"/>
              <w:rPr>
                <w:b w:val="1"/>
                <w:highlight w:val="white"/>
              </w:rPr>
            </w:pPr>
            <w:r w:rsidDel="00000000" w:rsidR="00000000" w:rsidRPr="00000000">
              <w:rPr>
                <w:b w:val="1"/>
                <w:highlight w:val="white"/>
                <w:rtl w:val="0"/>
              </w:rPr>
              <w:t xml:space="preserve">“Sites”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B7">
            <w:pPr>
              <w:spacing w:after="60" w:before="60" w:lineRule="auto"/>
              <w:jc w:val="both"/>
              <w:rPr>
                <w:highlight w:val="white"/>
              </w:rPr>
            </w:pPr>
            <w:r w:rsidDel="00000000" w:rsidR="00000000" w:rsidRPr="00000000">
              <w:rPr>
                <w:highlight w:val="white"/>
                <w:rtl w:val="0"/>
              </w:rPr>
              <w:t xml:space="preserve">has the meaning set out in Joint Schedule 1 (Definitions);</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B8">
            <w:pPr>
              <w:spacing w:after="160" w:line="259" w:lineRule="auto"/>
              <w:rPr>
                <w:b w:val="1"/>
                <w:highlight w:val="white"/>
              </w:rPr>
            </w:pPr>
            <w:r w:rsidDel="00000000" w:rsidR="00000000" w:rsidRPr="00000000">
              <w:rPr>
                <w:b w:val="1"/>
                <w:highlight w:val="white"/>
                <w:rtl w:val="0"/>
              </w:rPr>
              <w:t xml:space="preserve">“Site Visit”</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B9">
            <w:pPr>
              <w:spacing w:after="60" w:before="60" w:lineRule="auto"/>
              <w:jc w:val="both"/>
              <w:rPr>
                <w:highlight w:val="white"/>
              </w:rPr>
            </w:pPr>
            <w:r w:rsidDel="00000000" w:rsidR="00000000" w:rsidRPr="00000000">
              <w:rPr>
                <w:highlight w:val="white"/>
                <w:rtl w:val="0"/>
              </w:rPr>
              <w:t xml:space="preserve">In respect to Lot 1 Part B and Lot 4, a scheduled attendance to a proposed or contracted Venue by the Supplier for inspection</w:t>
            </w:r>
            <w:r w:rsidDel="00000000" w:rsidR="00000000" w:rsidRPr="00000000">
              <w:rPr>
                <w:rtl w:val="0"/>
              </w:rPr>
              <w:t xml:space="preserve">.</w:t>
            </w:r>
            <w:r w:rsidDel="00000000" w:rsidR="00000000" w:rsidRPr="00000000">
              <w:rPr>
                <w:rtl w:val="0"/>
              </w:rPr>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BA">
            <w:pPr>
              <w:spacing w:after="60" w:before="60" w:lineRule="auto"/>
              <w:ind w:left="40" w:firstLine="0"/>
              <w:jc w:val="both"/>
              <w:rPr>
                <w:b w:val="1"/>
                <w:highlight w:val="white"/>
              </w:rPr>
            </w:pPr>
            <w:r w:rsidDel="00000000" w:rsidR="00000000" w:rsidRPr="00000000">
              <w:rPr>
                <w:b w:val="1"/>
                <w:highlight w:val="white"/>
                <w:rtl w:val="0"/>
              </w:rPr>
              <w:t xml:space="preserve">“Source”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BB">
            <w:pPr>
              <w:spacing w:after="60" w:before="60" w:lineRule="auto"/>
              <w:jc w:val="both"/>
              <w:rPr>
                <w:color w:val="4d5156"/>
                <w:sz w:val="24"/>
                <w:szCs w:val="24"/>
                <w:highlight w:val="white"/>
              </w:rPr>
            </w:pPr>
            <w:r w:rsidDel="00000000" w:rsidR="00000000" w:rsidRPr="00000000">
              <w:rPr>
                <w:color w:val="4d5156"/>
                <w:sz w:val="24"/>
                <w:szCs w:val="24"/>
                <w:highlight w:val="white"/>
                <w:rtl w:val="0"/>
              </w:rPr>
              <w:t xml:space="preserve">The process by which a Supplier will investigate, identify, assess and select the most appropriate third party supplier for a Customers specific need</w:t>
            </w:r>
          </w:p>
        </w:tc>
      </w:tr>
      <w:tr>
        <w:trPr>
          <w:cantSplit w:val="0"/>
          <w:trHeight w:val="102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BC">
            <w:pPr>
              <w:spacing w:after="60" w:before="60" w:line="240" w:lineRule="auto"/>
              <w:ind w:right="278"/>
              <w:rPr>
                <w:b w:val="1"/>
                <w:highlight w:val="white"/>
              </w:rPr>
            </w:pPr>
            <w:r w:rsidDel="00000000" w:rsidR="00000000" w:rsidRPr="00000000">
              <w:rPr>
                <w:b w:val="1"/>
                <w:rtl w:val="0"/>
              </w:rPr>
              <w:t xml:space="preserve">“Sub-Contract”</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BD">
            <w:pPr>
              <w:tabs>
                <w:tab w:val="left" w:leader="none" w:pos="-179"/>
                <w:tab w:val="left" w:leader="none" w:pos="-9"/>
              </w:tabs>
              <w:spacing w:after="60" w:before="60" w:line="240" w:lineRule="auto"/>
              <w:ind w:left="170" w:right="144" w:firstLine="0"/>
              <w:jc w:val="both"/>
              <w:rPr/>
            </w:pPr>
            <w:r w:rsidDel="00000000" w:rsidR="00000000" w:rsidRPr="00000000">
              <w:rPr>
                <w:rtl w:val="0"/>
              </w:rPr>
              <w:t xml:space="preserve">any contract or agreement (or proposed contract or agreement), other than a Call-Off Contract or the Framework Contract, pursuant to which a third party:</w:t>
            </w:r>
          </w:p>
          <w:p w:rsidR="00000000" w:rsidDel="00000000" w:rsidP="00000000" w:rsidRDefault="00000000" w:rsidRPr="00000000" w14:paraId="000000BE">
            <w:pPr>
              <w:numPr>
                <w:ilvl w:val="1"/>
                <w:numId w:val="2"/>
              </w:numPr>
              <w:tabs>
                <w:tab w:val="left" w:leader="none" w:pos="-576"/>
              </w:tabs>
              <w:spacing w:after="60" w:before="60" w:line="240" w:lineRule="auto"/>
              <w:ind w:left="565" w:right="144" w:hanging="391"/>
              <w:jc w:val="both"/>
              <w:rPr/>
            </w:pPr>
            <w:r w:rsidDel="00000000" w:rsidR="00000000" w:rsidRPr="00000000">
              <w:rPr>
                <w:rtl w:val="0"/>
              </w:rPr>
              <w:t xml:space="preserve">provides the Deliverables (or any part of them);</w:t>
            </w:r>
          </w:p>
          <w:p w:rsidR="00000000" w:rsidDel="00000000" w:rsidP="00000000" w:rsidRDefault="00000000" w:rsidRPr="00000000" w14:paraId="000000BF">
            <w:pPr>
              <w:numPr>
                <w:ilvl w:val="1"/>
                <w:numId w:val="2"/>
              </w:numPr>
              <w:tabs>
                <w:tab w:val="left" w:leader="none" w:pos="-576"/>
              </w:tabs>
              <w:spacing w:after="60" w:before="60" w:line="240" w:lineRule="auto"/>
              <w:ind w:left="565" w:right="144" w:hanging="391"/>
              <w:jc w:val="both"/>
              <w:rPr/>
            </w:pPr>
            <w:r w:rsidDel="00000000" w:rsidR="00000000" w:rsidRPr="00000000">
              <w:rPr>
                <w:rtl w:val="0"/>
              </w:rPr>
              <w:t xml:space="preserve">provides facilities or services necessary for the provision of the Deliverables (or any part of them); and/or</w:t>
            </w:r>
          </w:p>
          <w:p w:rsidR="00000000" w:rsidDel="00000000" w:rsidP="00000000" w:rsidRDefault="00000000" w:rsidRPr="00000000" w14:paraId="000000C0">
            <w:pPr>
              <w:numPr>
                <w:ilvl w:val="1"/>
                <w:numId w:val="2"/>
              </w:numPr>
              <w:tabs>
                <w:tab w:val="left" w:leader="none" w:pos="-576"/>
              </w:tabs>
              <w:spacing w:after="60" w:before="60" w:line="240" w:lineRule="auto"/>
              <w:ind w:left="565" w:right="144" w:hanging="391"/>
              <w:jc w:val="both"/>
              <w:rPr/>
            </w:pPr>
            <w:r w:rsidDel="00000000" w:rsidR="00000000" w:rsidRPr="00000000">
              <w:rPr>
                <w:rtl w:val="0"/>
              </w:rPr>
              <w:t xml:space="preserve">is responsible for the management, direction or control of the provision of the Deliverables (or any part of them);</w:t>
            </w:r>
          </w:p>
        </w:tc>
      </w:tr>
      <w:tr>
        <w:trPr>
          <w:cantSplit w:val="0"/>
          <w:trHeight w:val="10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1">
            <w:pPr>
              <w:spacing w:after="60" w:before="60" w:lineRule="auto"/>
              <w:ind w:left="40" w:firstLine="0"/>
              <w:jc w:val="both"/>
              <w:rPr>
                <w:b w:val="1"/>
                <w:highlight w:val="white"/>
              </w:rPr>
            </w:pPr>
            <w:r w:rsidDel="00000000" w:rsidR="00000000" w:rsidRPr="00000000">
              <w:rPr>
                <w:b w:val="1"/>
                <w:highlight w:val="white"/>
                <w:rtl w:val="0"/>
              </w:rPr>
              <w:t xml:space="preserve">“Split-ticketing”</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2">
            <w:pPr>
              <w:spacing w:after="60" w:before="60" w:lineRule="auto"/>
              <w:jc w:val="both"/>
              <w:rPr>
                <w:highlight w:val="white"/>
              </w:rPr>
            </w:pPr>
            <w:r w:rsidDel="00000000" w:rsidR="00000000" w:rsidRPr="00000000">
              <w:rPr>
                <w:highlight w:val="white"/>
                <w:rtl w:val="0"/>
              </w:rPr>
              <w:t xml:space="preserve">combination of rail tickets which allows passengers to save money on their end to end journey without actually changing trains</w:t>
            </w:r>
          </w:p>
        </w:tc>
      </w:tr>
      <w:tr>
        <w:trPr>
          <w:cantSplit w:val="0"/>
          <w:trHeight w:val="10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3">
            <w:pPr>
              <w:spacing w:after="60" w:before="60" w:lineRule="auto"/>
              <w:ind w:left="40" w:firstLine="0"/>
              <w:jc w:val="both"/>
              <w:rPr>
                <w:b w:val="1"/>
                <w:highlight w:val="white"/>
              </w:rPr>
            </w:pPr>
            <w:r w:rsidDel="00000000" w:rsidR="00000000" w:rsidRPr="00000000">
              <w:rPr>
                <w:b w:val="1"/>
                <w:highlight w:val="white"/>
                <w:rtl w:val="0"/>
              </w:rPr>
              <w:t xml:space="preserve">“Third Party Provider”</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4">
            <w:pPr>
              <w:spacing w:after="60" w:before="60" w:lineRule="auto"/>
              <w:jc w:val="both"/>
              <w:rPr>
                <w:highlight w:val="white"/>
              </w:rPr>
            </w:pPr>
            <w:r w:rsidDel="00000000" w:rsidR="00000000" w:rsidRPr="00000000">
              <w:rPr>
                <w:highlight w:val="white"/>
                <w:rtl w:val="0"/>
              </w:rPr>
              <w:t xml:space="preserve">the end provider of the travel and/or venue services that has a direct contract with the Buyer (for example: a Train Operating Company (TOC), a hotel, an airline);</w:t>
            </w:r>
          </w:p>
        </w:tc>
      </w:tr>
      <w:tr>
        <w:trPr>
          <w:cantSplit w:val="0"/>
          <w:trHeight w:val="7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5">
            <w:pPr>
              <w:spacing w:after="60" w:before="60" w:lineRule="auto"/>
              <w:ind w:left="40" w:firstLine="0"/>
              <w:jc w:val="both"/>
              <w:rPr>
                <w:b w:val="1"/>
                <w:highlight w:val="white"/>
              </w:rPr>
            </w:pPr>
            <w:r w:rsidDel="00000000" w:rsidR="00000000" w:rsidRPr="00000000">
              <w:rPr>
                <w:b w:val="1"/>
                <w:highlight w:val="white"/>
                <w:rtl w:val="0"/>
              </w:rPr>
              <w:t xml:space="preserve">“Ticket on Departure” “(TOD)”</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6">
            <w:pPr>
              <w:spacing w:after="60" w:before="60" w:lineRule="auto"/>
              <w:jc w:val="both"/>
              <w:rPr>
                <w:highlight w:val="white"/>
              </w:rPr>
            </w:pPr>
            <w:r w:rsidDel="00000000" w:rsidR="00000000" w:rsidRPr="00000000">
              <w:rPr>
                <w:highlight w:val="white"/>
                <w:rtl w:val="0"/>
              </w:rPr>
              <w:t xml:space="preserve">collection of tickets at the train station;</w:t>
            </w:r>
          </w:p>
        </w:tc>
      </w:tr>
      <w:tr>
        <w:trPr>
          <w:cantSplit w:val="0"/>
          <w:trHeight w:val="186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7">
            <w:pPr>
              <w:spacing w:after="60" w:before="60" w:lineRule="auto"/>
              <w:ind w:left="40" w:firstLine="0"/>
              <w:rPr>
                <w:b w:val="1"/>
                <w:highlight w:val="white"/>
              </w:rPr>
            </w:pPr>
            <w:r w:rsidDel="00000000" w:rsidR="00000000" w:rsidRPr="00000000">
              <w:rPr>
                <w:b w:val="1"/>
                <w:highlight w:val="white"/>
                <w:rtl w:val="0"/>
              </w:rPr>
              <w:t xml:space="preserve">“Travel/ Events/ Expenses Policy”</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8">
            <w:pPr>
              <w:spacing w:after="60" w:before="60" w:lineRule="auto"/>
              <w:jc w:val="both"/>
              <w:rPr>
                <w:highlight w:val="white"/>
              </w:rPr>
            </w:pPr>
            <w:r w:rsidDel="00000000" w:rsidR="00000000" w:rsidRPr="00000000">
              <w:rPr>
                <w:highlight w:val="white"/>
                <w:rtl w:val="0"/>
              </w:rPr>
              <w:t xml:space="preserve">the Buyer’s policy or policies, which clarifies its position on business travel, expenses and meetings or events and defines the procedures to be followed by employees, agents or representatives of the Buyer for authorised business travel and tells them what they can and can't spend on travel, expenses and meetings or events; For the purposes of this framework this would also include, where applicable, the Buyer’s policy that clarifies its position and approach to and procedures for the Supplier to follow in relation to Approved Civilian Programmes</w:t>
            </w:r>
          </w:p>
        </w:tc>
      </w:tr>
      <w:tr>
        <w:trPr>
          <w:cantSplit w:val="0"/>
          <w:trHeight w:val="87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9">
            <w:pPr>
              <w:spacing w:after="60" w:before="60" w:lineRule="auto"/>
              <w:ind w:left="40" w:firstLine="0"/>
              <w:jc w:val="both"/>
              <w:rPr>
                <w:b w:val="1"/>
                <w:highlight w:val="white"/>
              </w:rPr>
            </w:pPr>
            <w:r w:rsidDel="00000000" w:rsidR="00000000" w:rsidRPr="00000000">
              <w:rPr>
                <w:b w:val="1"/>
                <w:highlight w:val="white"/>
                <w:rtl w:val="0"/>
              </w:rPr>
              <w:t xml:space="preserve">“UK Point of Sale”</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A">
            <w:pPr>
              <w:spacing w:before="120" w:lineRule="auto"/>
              <w:jc w:val="both"/>
              <w:rPr>
                <w:highlight w:val="white"/>
              </w:rPr>
            </w:pPr>
            <w:r w:rsidDel="00000000" w:rsidR="00000000" w:rsidRPr="00000000">
              <w:rPr>
                <w:rtl w:val="0"/>
              </w:rPr>
              <w:t xml:space="preserve">transaction(s) that takes please in the UK</w:t>
            </w:r>
            <w:r w:rsidDel="00000000" w:rsidR="00000000" w:rsidRPr="00000000">
              <w:rPr>
                <w:rtl w:val="0"/>
              </w:rPr>
            </w:r>
          </w:p>
        </w:tc>
      </w:tr>
      <w:tr>
        <w:trPr>
          <w:cantSplit w:val="0"/>
          <w:trHeight w:val="87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B">
            <w:pPr>
              <w:spacing w:after="60" w:before="60" w:lineRule="auto"/>
              <w:ind w:left="40" w:firstLine="0"/>
              <w:jc w:val="both"/>
              <w:rPr>
                <w:b w:val="1"/>
                <w:highlight w:val="white"/>
              </w:rPr>
            </w:pPr>
            <w:r w:rsidDel="00000000" w:rsidR="00000000" w:rsidRPr="00000000">
              <w:rPr>
                <w:b w:val="1"/>
                <w:highlight w:val="white"/>
                <w:rtl w:val="0"/>
              </w:rPr>
              <w:t xml:space="preserve">“Unit Identification Number” or “UIN”</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C">
            <w:pPr>
              <w:spacing w:after="60" w:before="60" w:lineRule="auto"/>
              <w:jc w:val="both"/>
              <w:rPr>
                <w:highlight w:val="white"/>
              </w:rPr>
            </w:pPr>
            <w:r w:rsidDel="00000000" w:rsidR="00000000" w:rsidRPr="00000000">
              <w:rPr>
                <w:highlight w:val="white"/>
                <w:rtl w:val="0"/>
              </w:rPr>
              <w:t xml:space="preserve">a common ‘data item’ to identify units, sub-units, organisations or groupings of organisations within the Buyer organisation.</w:t>
            </w:r>
          </w:p>
        </w:tc>
      </w:tr>
      <w:tr>
        <w:trPr>
          <w:cantSplit w:val="0"/>
          <w:trHeight w:val="100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60" w:before="60" w:lineRule="auto"/>
              <w:jc w:val="both"/>
              <w:rPr>
                <w:b w:val="1"/>
                <w:highlight w:val="white"/>
              </w:rPr>
            </w:pPr>
            <w:r w:rsidDel="00000000" w:rsidR="00000000" w:rsidRPr="00000000">
              <w:rPr>
                <w:b w:val="1"/>
                <w:highlight w:val="white"/>
                <w:rtl w:val="0"/>
              </w:rPr>
              <w:t xml:space="preserve">“Venue Find” and “Venue Find Services”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E">
            <w:pPr>
              <w:spacing w:after="120" w:before="120" w:line="240" w:lineRule="auto"/>
              <w:jc w:val="both"/>
              <w:rPr>
                <w:highlight w:val="white"/>
              </w:rPr>
            </w:pPr>
            <w:r w:rsidDel="00000000" w:rsidR="00000000" w:rsidRPr="00000000">
              <w:rPr>
                <w:highlight w:val="white"/>
                <w:rtl w:val="0"/>
              </w:rPr>
              <w:t xml:space="preserve">Venue Find is a term that means to find a venue to hold and host Events. A venue could include and not be limited to a physical building, a vessel, a marquee or similar. Events include but are not limited to a meeting, conference, event, exhibition, interview, training, either on a residential or non-residential basis throughout the United Kingdom and overseas and can be either face to face, virtual, digital, hybrid etc</w:t>
            </w:r>
          </w:p>
        </w:tc>
      </w:tr>
      <w:tr>
        <w:trPr>
          <w:cantSplit w:val="0"/>
          <w:trHeight w:val="118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CF">
            <w:pPr>
              <w:spacing w:after="60" w:before="60" w:lineRule="auto"/>
              <w:ind w:left="40" w:firstLine="0"/>
              <w:rPr>
                <w:b w:val="1"/>
              </w:rPr>
            </w:pPr>
            <w:r w:rsidDel="00000000" w:rsidR="00000000" w:rsidRPr="00000000">
              <w:rPr>
                <w:b w:val="1"/>
                <w:rtl w:val="0"/>
              </w:rPr>
              <w:t xml:space="preserve">“Venue Provided service(s)”</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tcPr>
          <w:p w:rsidR="00000000" w:rsidDel="00000000" w:rsidP="00000000" w:rsidRDefault="00000000" w:rsidRPr="00000000" w14:paraId="000000D0">
            <w:pPr>
              <w:spacing w:after="120" w:before="120" w:line="240" w:lineRule="auto"/>
              <w:jc w:val="both"/>
              <w:rPr>
                <w:highlight w:val="white"/>
              </w:rPr>
            </w:pPr>
            <w:r w:rsidDel="00000000" w:rsidR="00000000" w:rsidRPr="00000000">
              <w:rPr>
                <w:highlight w:val="white"/>
                <w:rtl w:val="0"/>
              </w:rPr>
              <w:t xml:space="preserve">Venue Provided Services that are provided/arranged by the Venue/ Accommodation Provider, which can include but, not limited to copying, printing,staging, break out rooms, and any Delegate management and Delegate registration services not being undertaken by the Supplier</w:t>
            </w:r>
          </w:p>
        </w:tc>
      </w:tr>
    </w:tbl>
    <w:p w:rsidR="00000000" w:rsidDel="00000000" w:rsidP="00000000" w:rsidRDefault="00000000" w:rsidRPr="00000000" w14:paraId="000000D1">
      <w:pPr>
        <w:spacing w:before="120" w:lineRule="auto"/>
        <w:ind w:left="-566" w:firstLine="0"/>
        <w:jc w:val="both"/>
        <w:rPr>
          <w:color w:val="ff0000"/>
          <w:highlight w:val="white"/>
        </w:rPr>
      </w:pPr>
      <w:r w:rsidDel="00000000" w:rsidR="00000000" w:rsidRPr="00000000">
        <w:rPr>
          <w:rtl w:val="0"/>
        </w:rPr>
      </w:r>
    </w:p>
    <w:p w:rsidR="00000000" w:rsidDel="00000000" w:rsidP="00000000" w:rsidRDefault="00000000" w:rsidRPr="00000000" w14:paraId="000000D2">
      <w:pPr>
        <w:spacing w:before="120" w:lineRule="auto"/>
        <w:ind w:left="-566" w:firstLine="0"/>
        <w:jc w:val="both"/>
        <w:rPr>
          <w:color w:val="ff0000"/>
          <w:highlight w:val="white"/>
        </w:rPr>
      </w:pPr>
      <w:r w:rsidDel="00000000" w:rsidR="00000000" w:rsidRPr="00000000">
        <w:rPr>
          <w:rtl w:val="0"/>
        </w:rPr>
      </w:r>
    </w:p>
    <w:p w:rsidR="00000000" w:rsidDel="00000000" w:rsidP="00000000" w:rsidRDefault="00000000" w:rsidRPr="00000000" w14:paraId="000000D3">
      <w:pPr>
        <w:spacing w:before="120" w:lineRule="auto"/>
        <w:ind w:left="-566" w:firstLine="0"/>
        <w:jc w:val="both"/>
        <w:rPr>
          <w:color w:val="ff0000"/>
          <w:highlight w:val="white"/>
        </w:rPr>
      </w:pPr>
      <w:r w:rsidDel="00000000" w:rsidR="00000000" w:rsidRPr="00000000">
        <w:rPr>
          <w:rtl w:val="0"/>
        </w:rPr>
      </w:r>
    </w:p>
    <w:sectPr>
      <w:headerReference r:id="rId6" w:type="default"/>
      <w:footerReference r:id="rId7" w:type="default"/>
      <w:footerReference r:id="rId8"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rPr>
        <w:color w:val="b7b7b7"/>
        <w:sz w:val="16"/>
        <w:szCs w:val="16"/>
      </w:rPr>
    </w:pPr>
    <w:r w:rsidDel="00000000" w:rsidR="00000000" w:rsidRPr="00000000">
      <w:rPr>
        <w:color w:val="b7b7b7"/>
        <w:sz w:val="16"/>
        <w:szCs w:val="16"/>
        <w:rtl w:val="0"/>
      </w:rPr>
      <w:t xml:space="preserve">Travel, Transport, Accommodation and Venue Solutions RM6342</w:t>
    </w:r>
  </w:p>
  <w:p w:rsidR="00000000" w:rsidDel="00000000" w:rsidP="00000000" w:rsidRDefault="00000000" w:rsidRPr="00000000" w14:paraId="000000D5">
    <w:pPr>
      <w:rPr>
        <w:color w:val="b7b7b7"/>
        <w:sz w:val="16"/>
        <w:szCs w:val="16"/>
      </w:rPr>
    </w:pPr>
    <w:r w:rsidDel="00000000" w:rsidR="00000000" w:rsidRPr="00000000">
      <w:rPr>
        <w:color w:val="b7b7b7"/>
        <w:sz w:val="16"/>
        <w:szCs w:val="16"/>
        <w:rtl w:val="0"/>
      </w:rPr>
      <w:t xml:space="preserve">Framework Schedule 1 (Specification)</w:t>
    </w:r>
  </w:p>
  <w:p w:rsidR="00000000" w:rsidDel="00000000" w:rsidP="00000000" w:rsidRDefault="00000000" w:rsidRPr="00000000" w14:paraId="000000D6">
    <w:pPr>
      <w:rPr>
        <w:color w:val="b7b7b7"/>
        <w:sz w:val="16"/>
        <w:szCs w:val="16"/>
      </w:rPr>
    </w:pPr>
    <w:r w:rsidDel="00000000" w:rsidR="00000000" w:rsidRPr="00000000">
      <w:rPr>
        <w:color w:val="b7b7b7"/>
        <w:sz w:val="16"/>
        <w:szCs w:val="16"/>
        <w:rtl w:val="0"/>
      </w:rPr>
      <w:t xml:space="preserve">© Crown copyright 2024</w:t>
    </w:r>
  </w:p>
  <w:p w:rsidR="00000000" w:rsidDel="00000000" w:rsidP="00000000" w:rsidRDefault="00000000" w:rsidRPr="00000000" w14:paraId="000000D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432" w:hanging="258"/>
      </w:pPr>
      <w:rPr>
        <w:rFonts w:ascii="Arial" w:cs="Arial" w:eastAsia="Arial" w:hAnsi="Arial"/>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4"/>
        <w:szCs w:val="24"/>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