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Annex 2: Local Amendments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i w:val="1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Guidance note</w:t>
      </w:r>
      <w:r w:rsidDel="00000000" w:rsidR="00000000" w:rsidRPr="00000000">
        <w:rPr>
          <w:i w:val="1"/>
          <w:highlight w:val="yellow"/>
          <w:rtl w:val="0"/>
        </w:rPr>
        <w:t xml:space="preserve">: See paragraphs 6.8 to 6.13 of the main body of this Schedule for the scope of Local Amendments. This Annex 2 is to be completed by the Supplier for the Buyer’s approval if the Supplier is required to perform the Services in a country that has mandatory law requirements that cannot be contracted out of and that are either:</w:t>
      </w:r>
    </w:p>
    <w:p w:rsidR="00000000" w:rsidDel="00000000" w:rsidP="00000000" w:rsidRDefault="00000000" w:rsidRPr="00000000" w14:paraId="00000003">
      <w:pPr>
        <w:spacing w:after="120" w:lineRule="auto"/>
        <w:ind w:left="1720" w:hanging="860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(a)      </w:t>
        <w:tab/>
        <w:t xml:space="preserve">not covered in the relevant Call-Off Contract, but must as a matter of law be included; or</w:t>
      </w:r>
    </w:p>
    <w:p w:rsidR="00000000" w:rsidDel="00000000" w:rsidP="00000000" w:rsidRDefault="00000000" w:rsidRPr="00000000" w14:paraId="00000004">
      <w:pPr>
        <w:spacing w:after="120" w:lineRule="auto"/>
        <w:ind w:left="1720" w:hanging="860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(b)      </w:t>
        <w:tab/>
        <w:t xml:space="preserve">contrary to the Call-Off Contract terms, which requires an amendment to the Call-Off Contract terms in that country only to make the terms lawful.</w:t>
      </w:r>
    </w:p>
    <w:p w:rsidR="00000000" w:rsidDel="00000000" w:rsidP="00000000" w:rsidRDefault="00000000" w:rsidRPr="00000000" w14:paraId="00000005">
      <w:pPr>
        <w:spacing w:after="120" w:lineRule="auto"/>
        <w:ind w:left="1440" w:hanging="720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Where required, this Annex 2 should be completed on a per country basis.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Buyer to obtain its own legal advice as to in-country legal requirements and any proposed amendments.]</w:t>
      </w:r>
    </w:p>
    <w:p w:rsidR="00000000" w:rsidDel="00000000" w:rsidP="00000000" w:rsidRDefault="00000000" w:rsidRPr="00000000" w14:paraId="00000007">
      <w:pPr>
        <w:spacing w:after="120" w:before="120" w:lineRule="auto"/>
        <w:ind w:left="1440" w:hanging="720"/>
        <w:rPr>
          <w:smallCaps w:val="1"/>
        </w:rPr>
      </w:pPr>
      <w:r w:rsidDel="00000000" w:rsidR="00000000" w:rsidRPr="00000000">
        <w:rPr>
          <w:b w:val="1"/>
          <w:rtl w:val="0"/>
        </w:rPr>
        <w:t xml:space="preserve">Call-Off Contract Reference Number: </w:t>
      </w:r>
      <w:r w:rsidDel="00000000" w:rsidR="00000000" w:rsidRPr="00000000">
        <w:rPr>
          <w:smallCaps w:val="1"/>
          <w:rtl w:val="0"/>
        </w:rPr>
        <w:t xml:space="preserve">[</w:t>
      </w:r>
      <w:r w:rsidDel="00000000" w:rsidR="00000000" w:rsidRPr="00000000">
        <w:rPr>
          <w:i w:val="1"/>
          <w:smallCaps w:val="1"/>
          <w:highlight w:val="yellow"/>
          <w:rtl w:val="0"/>
        </w:rPr>
        <w:t xml:space="preserve">INSERT</w:t>
      </w:r>
      <w:r w:rsidDel="00000000" w:rsidR="00000000" w:rsidRPr="00000000">
        <w:rPr>
          <w:smallCaps w:val="1"/>
          <w:rtl w:val="0"/>
        </w:rPr>
        <w:t xml:space="preserve">]</w:t>
      </w:r>
    </w:p>
    <w:p w:rsidR="00000000" w:rsidDel="00000000" w:rsidP="00000000" w:rsidRDefault="00000000" w:rsidRPr="00000000" w14:paraId="00000008">
      <w:pPr>
        <w:spacing w:after="120" w:befor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b w:val="1"/>
          <w:rtl w:val="0"/>
        </w:rPr>
        <w:t xml:space="preserve">Parties</w:t>
      </w:r>
    </w:p>
    <w:p w:rsidR="00000000" w:rsidDel="00000000" w:rsidP="00000000" w:rsidRDefault="00000000" w:rsidRPr="00000000" w14:paraId="00000009">
      <w:pPr>
        <w:spacing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This Annex 2 is made between:</w:t>
      </w:r>
    </w:p>
    <w:p w:rsidR="00000000" w:rsidDel="00000000" w:rsidP="00000000" w:rsidRDefault="00000000" w:rsidRPr="00000000" w14:paraId="0000000A">
      <w:pPr>
        <w:spacing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(1)    </w:t>
        <w:tab/>
        <w:t xml:space="preserve">[</w:t>
      </w:r>
      <w:r w:rsidDel="00000000" w:rsidR="00000000" w:rsidRPr="00000000">
        <w:rPr>
          <w:i w:val="1"/>
          <w:highlight w:val="yellow"/>
          <w:rtl w:val="0"/>
        </w:rPr>
        <w:t xml:space="preserve">INSERT BUYER’S DETAILS</w:t>
      </w:r>
      <w:r w:rsidDel="00000000" w:rsidR="00000000" w:rsidRPr="00000000">
        <w:rPr>
          <w:rtl w:val="0"/>
        </w:rPr>
        <w:t xml:space="preserve">] (the “</w:t>
      </w:r>
      <w:r w:rsidDel="00000000" w:rsidR="00000000" w:rsidRPr="00000000">
        <w:rPr>
          <w:b w:val="1"/>
          <w:rtl w:val="0"/>
        </w:rPr>
        <w:t xml:space="preserve">Buyer</w:t>
      </w:r>
      <w:r w:rsidDel="00000000" w:rsidR="00000000" w:rsidRPr="00000000">
        <w:rPr>
          <w:rtl w:val="0"/>
        </w:rPr>
        <w:t xml:space="preserve">”); and</w:t>
      </w:r>
    </w:p>
    <w:p w:rsidR="00000000" w:rsidDel="00000000" w:rsidP="00000000" w:rsidRDefault="00000000" w:rsidRPr="00000000" w14:paraId="0000000B">
      <w:pPr>
        <w:spacing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(2)    </w:t>
        <w:tab/>
        <w:t xml:space="preserve">[</w:t>
      </w:r>
      <w:r w:rsidDel="00000000" w:rsidR="00000000" w:rsidRPr="00000000">
        <w:rPr>
          <w:i w:val="1"/>
          <w:highlight w:val="yellow"/>
          <w:rtl w:val="0"/>
        </w:rPr>
        <w:t xml:space="preserve">INSERT SUPPLIER’S DETAILS</w:t>
      </w:r>
      <w:r w:rsidDel="00000000" w:rsidR="00000000" w:rsidRPr="00000000">
        <w:rPr>
          <w:rtl w:val="0"/>
        </w:rPr>
        <w:t xml:space="preserve">] (the “</w:t>
      </w:r>
      <w:r w:rsidDel="00000000" w:rsidR="00000000" w:rsidRPr="00000000">
        <w:rPr>
          <w:b w:val="1"/>
          <w:rtl w:val="0"/>
        </w:rPr>
        <w:t xml:space="preserve">Supplier</w:t>
      </w:r>
      <w:r w:rsidDel="00000000" w:rsidR="00000000" w:rsidRPr="00000000">
        <w:rPr>
          <w:rtl w:val="0"/>
        </w:rPr>
        <w:t xml:space="preserve">”).</w:t>
      </w:r>
    </w:p>
    <w:p w:rsidR="00000000" w:rsidDel="00000000" w:rsidP="00000000" w:rsidRDefault="00000000" w:rsidRPr="00000000" w14:paraId="0000000C">
      <w:pPr>
        <w:spacing w:after="120" w:befor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b w:val="1"/>
          <w:rtl w:val="0"/>
        </w:rPr>
        <w:t xml:space="preserve">Scope</w:t>
      </w:r>
    </w:p>
    <w:p w:rsidR="00000000" w:rsidDel="00000000" w:rsidP="00000000" w:rsidRDefault="00000000" w:rsidRPr="00000000" w14:paraId="0000000D">
      <w:pPr>
        <w:spacing w:before="120" w:lineRule="auto"/>
        <w:ind w:firstLine="720"/>
        <w:rPr/>
      </w:pPr>
      <w:r w:rsidDel="00000000" w:rsidR="00000000" w:rsidRPr="00000000">
        <w:rPr>
          <w:rtl w:val="0"/>
        </w:rPr>
        <w:t xml:space="preserve">This Annex 2 shall:</w:t>
      </w:r>
    </w:p>
    <w:p w:rsidR="00000000" w:rsidDel="00000000" w:rsidP="00000000" w:rsidRDefault="00000000" w:rsidRPr="00000000" w14:paraId="0000000E">
      <w:pPr>
        <w:spacing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2.1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only applies in respect of Deliverables supplied by the Supplier in </w:t>
      </w: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insert country</w:t>
      </w:r>
      <w:r w:rsidDel="00000000" w:rsidR="00000000" w:rsidRPr="00000000">
        <w:rPr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  <w:t xml:space="preserve">; and</w:t>
      </w:r>
    </w:p>
    <w:p w:rsidR="00000000" w:rsidDel="00000000" w:rsidP="00000000" w:rsidRDefault="00000000" w:rsidRPr="00000000" w14:paraId="0000000F">
      <w:pPr>
        <w:spacing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2.2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be completed strictly in accordance with Paragraphs ‎6.8 to 6.13 of Call-Off Schedule 20 (Call-Off Specification) of the Call-Off Contract.</w:t>
      </w:r>
    </w:p>
    <w:p w:rsidR="00000000" w:rsidDel="00000000" w:rsidP="00000000" w:rsidRDefault="00000000" w:rsidRPr="00000000" w14:paraId="00000010">
      <w:pPr>
        <w:spacing w:after="120" w:befor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b w:val="1"/>
          <w:rtl w:val="0"/>
        </w:rPr>
        <w:t xml:space="preserve">Local Amendments</w:t>
      </w:r>
    </w:p>
    <w:p w:rsidR="00000000" w:rsidDel="00000000" w:rsidP="00000000" w:rsidRDefault="00000000" w:rsidRPr="00000000" w14:paraId="00000011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The Parties have agreed that, in accordance with the provisions of Paragraphs ‎6.8 to 6.13 of Call-Off Schedule 20 (Call-Off Specification) of the Call-Off Contract, the following amendments will be made to the Call-Off Contract:</w:t>
      </w:r>
    </w:p>
    <w:p w:rsidR="00000000" w:rsidDel="00000000" w:rsidP="00000000" w:rsidRDefault="00000000" w:rsidRPr="00000000" w14:paraId="00000012">
      <w:pPr>
        <w:spacing w:after="120" w:before="120" w:lineRule="auto"/>
        <w:ind w:left="1440" w:hanging="720"/>
        <w:rPr>
          <w:highlight w:val="yellow"/>
        </w:rPr>
      </w:pPr>
      <w:r w:rsidDel="00000000" w:rsidR="00000000" w:rsidRPr="00000000">
        <w:rPr>
          <w:rtl w:val="0"/>
        </w:rPr>
        <w:t xml:space="preserve">        </w:t>
        <w:tab/>
      </w:r>
      <w:r w:rsidDel="00000000" w:rsidR="00000000" w:rsidRPr="00000000">
        <w:rPr>
          <w:highlight w:val="yellow"/>
          <w:rtl w:val="0"/>
        </w:rPr>
        <w:t xml:space="preserve">[Supplier to complete with mandatory legal requirements only:</w:t>
      </w:r>
    </w:p>
    <w:p w:rsidR="00000000" w:rsidDel="00000000" w:rsidP="00000000" w:rsidRDefault="00000000" w:rsidRPr="00000000" w14:paraId="00000013">
      <w:pPr>
        <w:spacing w:after="120"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3.1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Insert local law amendments</w:t>
      </w:r>
      <w:r w:rsidDel="00000000" w:rsidR="00000000" w:rsidRPr="00000000">
        <w:rPr>
          <w:rtl w:val="0"/>
        </w:rPr>
        <w:t xml:space="preserve">;]</w:t>
      </w:r>
    </w:p>
    <w:p w:rsidR="00000000" w:rsidDel="00000000" w:rsidP="00000000" w:rsidRDefault="00000000" w:rsidRPr="00000000" w14:paraId="00000014">
      <w:pPr>
        <w:spacing w:after="120"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3.2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Insert local law amendments</w:t>
      </w:r>
      <w:r w:rsidDel="00000000" w:rsidR="00000000" w:rsidRPr="00000000">
        <w:rPr>
          <w:rtl w:val="0"/>
        </w:rPr>
        <w:t xml:space="preserve">;]</w:t>
      </w:r>
    </w:p>
    <w:p w:rsidR="00000000" w:rsidDel="00000000" w:rsidP="00000000" w:rsidRDefault="00000000" w:rsidRPr="00000000" w14:paraId="00000015">
      <w:pPr>
        <w:spacing w:after="120"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Insert consequential amendments, e.g. changes to the scope and/or cost of supplying the Deliverables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6">
      <w:pPr>
        <w:spacing w:after="120" w:befor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b w:val="1"/>
          <w:rtl w:val="0"/>
        </w:rPr>
        <w:t xml:space="preserve">Execution</w:t>
      </w:r>
    </w:p>
    <w:p w:rsidR="00000000" w:rsidDel="00000000" w:rsidP="00000000" w:rsidRDefault="00000000" w:rsidRPr="00000000" w14:paraId="00000017">
      <w:pPr>
        <w:spacing w:after="120" w:before="120" w:lineRule="auto"/>
        <w:ind w:left="1440" w:hanging="720"/>
        <w:rPr/>
      </w:pPr>
      <w:r w:rsidDel="00000000" w:rsidR="00000000" w:rsidRPr="00000000">
        <w:rPr>
          <w:rtl w:val="0"/>
        </w:rPr>
        <w:t xml:space="preserve">        </w:t>
        <w:tab/>
        <w:t xml:space="preserve">Signed by the duly authorised representatives of the Parties:</w:t>
      </w:r>
    </w:p>
    <w:tbl>
      <w:tblPr>
        <w:tblStyle w:val="Table1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65"/>
        <w:gridCol w:w="4260"/>
        <w:tblGridChange w:id="0">
          <w:tblGrid>
            <w:gridCol w:w="4665"/>
            <w:gridCol w:w="4260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For and on behalf of the Supplier:</w:t>
            </w:r>
          </w:p>
          <w:p w:rsidR="00000000" w:rsidDel="00000000" w:rsidP="00000000" w:rsidRDefault="00000000" w:rsidRPr="00000000" w14:paraId="00000019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Signed:</w:t>
            </w:r>
          </w:p>
          <w:p w:rsidR="00000000" w:rsidDel="00000000" w:rsidP="00000000" w:rsidRDefault="00000000" w:rsidRPr="00000000" w14:paraId="0000001A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Print Name:</w:t>
            </w:r>
          </w:p>
          <w:p w:rsidR="00000000" w:rsidDel="00000000" w:rsidP="00000000" w:rsidRDefault="00000000" w:rsidRPr="00000000" w14:paraId="0000001B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For and on behalf of the Buyer:</w:t>
            </w:r>
          </w:p>
          <w:p w:rsidR="00000000" w:rsidDel="00000000" w:rsidP="00000000" w:rsidRDefault="00000000" w:rsidRPr="00000000" w14:paraId="0000001D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Signed:</w:t>
            </w:r>
          </w:p>
          <w:p w:rsidR="00000000" w:rsidDel="00000000" w:rsidP="00000000" w:rsidRDefault="00000000" w:rsidRPr="00000000" w14:paraId="0000001E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Print Name:</w:t>
            </w:r>
          </w:p>
          <w:p w:rsidR="00000000" w:rsidDel="00000000" w:rsidP="00000000" w:rsidRDefault="00000000" w:rsidRPr="00000000" w14:paraId="0000001F">
            <w:pPr>
              <w:ind w:left="2140" w:hanging="720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20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rPr>
        <w:color w:val="b7b7b7"/>
        <w:sz w:val="16"/>
        <w:szCs w:val="16"/>
      </w:rPr>
    </w:pPr>
    <w:r w:rsidDel="00000000" w:rsidR="00000000" w:rsidRPr="00000000">
      <w:rPr>
        <w:color w:val="b7b7b7"/>
        <w:sz w:val="16"/>
        <w:szCs w:val="16"/>
        <w:rtl w:val="0"/>
      </w:rPr>
      <w:t xml:space="preserve">Travel, Transport, Accommodation and Venue Solutions RM6342</w:t>
    </w:r>
  </w:p>
  <w:p w:rsidR="00000000" w:rsidDel="00000000" w:rsidP="00000000" w:rsidRDefault="00000000" w:rsidRPr="00000000" w14:paraId="00000023">
    <w:pPr>
      <w:spacing w:line="276" w:lineRule="auto"/>
      <w:rPr>
        <w:color w:val="b7b7b7"/>
        <w:sz w:val="16"/>
        <w:szCs w:val="16"/>
      </w:rPr>
    </w:pPr>
    <w:r w:rsidDel="00000000" w:rsidR="00000000" w:rsidRPr="00000000">
      <w:rPr>
        <w:color w:val="b7b7b7"/>
        <w:sz w:val="16"/>
        <w:szCs w:val="16"/>
        <w:rtl w:val="0"/>
      </w:rPr>
      <w:t xml:space="preserve">Framework Schedule 1 (Specification)</w:t>
    </w:r>
  </w:p>
  <w:p w:rsidR="00000000" w:rsidDel="00000000" w:rsidP="00000000" w:rsidRDefault="00000000" w:rsidRPr="00000000" w14:paraId="00000024">
    <w:pPr>
      <w:spacing w:line="276" w:lineRule="auto"/>
      <w:rPr>
        <w:color w:val="b7b7b7"/>
        <w:sz w:val="16"/>
        <w:szCs w:val="16"/>
      </w:rPr>
    </w:pPr>
    <w:r w:rsidDel="00000000" w:rsidR="00000000" w:rsidRPr="00000000">
      <w:rPr>
        <w:color w:val="b7b7b7"/>
        <w:sz w:val="16"/>
        <w:szCs w:val="16"/>
        <w:rtl w:val="0"/>
      </w:rPr>
      <w:t xml:space="preserve">© Crown copyright 2024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76" w:lineRule="auto"/>
      <w:rPr>
        <w:color w:val="b7b7b7"/>
        <w:sz w:val="16"/>
        <w:szCs w:val="16"/>
      </w:rPr>
    </w:pPr>
    <w:r w:rsidDel="00000000" w:rsidR="00000000" w:rsidRPr="00000000">
      <w:rPr>
        <w:color w:val="b7b7b7"/>
        <w:sz w:val="16"/>
        <w:szCs w:val="16"/>
        <w:rtl w:val="0"/>
      </w:rPr>
      <w:t xml:space="preserve">Travel, Transport, Accommodation and Venue Solutions RM6342</w:t>
    </w:r>
  </w:p>
  <w:p w:rsidR="00000000" w:rsidDel="00000000" w:rsidP="00000000" w:rsidRDefault="00000000" w:rsidRPr="00000000" w14:paraId="00000028">
    <w:pPr>
      <w:spacing w:line="276" w:lineRule="auto"/>
      <w:rPr>
        <w:color w:val="b7b7b7"/>
        <w:sz w:val="16"/>
        <w:szCs w:val="16"/>
      </w:rPr>
    </w:pPr>
    <w:r w:rsidDel="00000000" w:rsidR="00000000" w:rsidRPr="00000000">
      <w:rPr>
        <w:color w:val="b7b7b7"/>
        <w:sz w:val="16"/>
        <w:szCs w:val="16"/>
        <w:rtl w:val="0"/>
      </w:rPr>
      <w:t xml:space="preserve">Framework Schedule 1 (Specification)</w:t>
    </w:r>
  </w:p>
  <w:p w:rsidR="00000000" w:rsidDel="00000000" w:rsidP="00000000" w:rsidRDefault="00000000" w:rsidRPr="00000000" w14:paraId="00000029">
    <w:pPr>
      <w:spacing w:line="276" w:lineRule="auto"/>
      <w:rPr>
        <w:color w:val="b7b7b7"/>
        <w:sz w:val="16"/>
        <w:szCs w:val="16"/>
      </w:rPr>
    </w:pPr>
    <w:r w:rsidDel="00000000" w:rsidR="00000000" w:rsidRPr="00000000">
      <w:rPr>
        <w:color w:val="b7b7b7"/>
        <w:sz w:val="16"/>
        <w:szCs w:val="16"/>
        <w:rtl w:val="0"/>
      </w:rPr>
      <w:t xml:space="preserve">© Crown copyright 2024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