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1CC" w:rsidRDefault="009C31CC">
      <w:pPr>
        <w:keepNext/>
        <w:pBdr>
          <w:top w:val="nil"/>
          <w:left w:val="nil"/>
          <w:bottom w:val="nil"/>
          <w:right w:val="nil"/>
          <w:between w:val="nil"/>
        </w:pBdr>
        <w:spacing w:after="240" w:line="240" w:lineRule="auto"/>
        <w:rPr>
          <w:rFonts w:ascii="Arial" w:eastAsia="Arial" w:hAnsi="Arial" w:cs="Arial"/>
          <w:b/>
          <w:sz w:val="36"/>
          <w:szCs w:val="36"/>
        </w:rPr>
      </w:pPr>
      <w:bookmarkStart w:id="0" w:name="_heading=h.xar8wviaof1" w:colFirst="0" w:colLast="0"/>
      <w:bookmarkEnd w:id="0"/>
    </w:p>
    <w:p w:rsidR="009C31CC" w:rsidRDefault="009C31CC">
      <w:pPr>
        <w:keepNext/>
        <w:pBdr>
          <w:top w:val="nil"/>
          <w:left w:val="nil"/>
          <w:bottom w:val="nil"/>
          <w:right w:val="nil"/>
          <w:between w:val="nil"/>
        </w:pBdr>
        <w:spacing w:after="240" w:line="240" w:lineRule="auto"/>
        <w:rPr>
          <w:rFonts w:ascii="Arial" w:eastAsia="Arial" w:hAnsi="Arial" w:cs="Arial"/>
          <w:b/>
          <w:sz w:val="36"/>
          <w:szCs w:val="36"/>
        </w:rPr>
      </w:pPr>
      <w:bookmarkStart w:id="1" w:name="_heading=h.1fob9te" w:colFirst="0" w:colLast="0"/>
      <w:bookmarkEnd w:id="1"/>
    </w:p>
    <w:p w:rsidR="009C31CC" w:rsidRDefault="00E97488">
      <w:pPr>
        <w:keepNext/>
        <w:pBdr>
          <w:top w:val="nil"/>
          <w:left w:val="nil"/>
          <w:bottom w:val="nil"/>
          <w:right w:val="nil"/>
          <w:between w:val="nil"/>
        </w:pBdr>
        <w:spacing w:after="240" w:line="240" w:lineRule="auto"/>
        <w:ind w:left="-1417"/>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9C31CC"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9C31CC" w:rsidRDefault="00E97488">
      <w:pPr>
        <w:numPr>
          <w:ilvl w:val="1"/>
          <w:numId w:val="3"/>
        </w:numPr>
        <w:pBdr>
          <w:top w:val="nil"/>
          <w:left w:val="nil"/>
          <w:bottom w:val="nil"/>
          <w:right w:val="nil"/>
          <w:between w:val="nil"/>
        </w:pBdr>
        <w:spacing w:before="120" w:after="120" w:line="240" w:lineRule="auto"/>
        <w:ind w:left="-141" w:hanging="566"/>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62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811"/>
      </w:tblGrid>
      <w:tr w:rsidR="009C31C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b/>
                <w:sz w:val="24"/>
                <w:szCs w:val="24"/>
              </w:rPr>
              <w:t>“Critical Service Level Failure”</w:t>
            </w:r>
          </w:p>
        </w:tc>
        <w:tc>
          <w:tcPr>
            <w:tcW w:w="3811" w:type="dxa"/>
          </w:tcPr>
          <w:p w:rsidR="009C31CC" w:rsidRDefault="00E97488">
            <w:pPr>
              <w:rPr>
                <w:rFonts w:ascii="Arial" w:eastAsia="Arial" w:hAnsi="Arial" w:cs="Arial"/>
                <w:color w:val="000000"/>
              </w:rPr>
            </w:pPr>
            <w:r>
              <w:rPr>
                <w:rFonts w:ascii="Arial" w:eastAsia="Arial" w:hAnsi="Arial" w:cs="Arial"/>
                <w:color w:val="000000"/>
              </w:rPr>
              <w:t>has the meaning given to it in the Order Form;</w:t>
            </w:r>
          </w:p>
        </w:tc>
      </w:tr>
      <w:tr w:rsidR="009C31C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b/>
                <w:sz w:val="24"/>
                <w:szCs w:val="24"/>
              </w:rPr>
              <w:t>"Service Credits"</w:t>
            </w:r>
          </w:p>
        </w:tc>
        <w:tc>
          <w:tcPr>
            <w:tcW w:w="3811" w:type="dxa"/>
          </w:tcPr>
          <w:p w:rsidR="009C31CC" w:rsidRDefault="00E97488">
            <w:pPr>
              <w:rPr>
                <w:rFonts w:ascii="Arial" w:eastAsia="Arial" w:hAnsi="Arial" w:cs="Arial"/>
                <w:smallCaps/>
                <w:color w:val="000000"/>
                <w:sz w:val="24"/>
                <w:szCs w:val="24"/>
              </w:rPr>
            </w:pPr>
            <w:r>
              <w:rPr>
                <w:rFonts w:ascii="Arial" w:eastAsia="Arial" w:hAnsi="Arial" w:cs="Arial"/>
                <w:color w:val="000000"/>
              </w:rPr>
              <w:t>any service credits specified in the Annex to Part A of this Schedule being payable by the Supplier to the Buyer in respect of any failure by the Supplier to meet one or more Service Levels;</w:t>
            </w:r>
          </w:p>
        </w:tc>
      </w:tr>
      <w:tr w:rsidR="009C31C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b/>
                <w:sz w:val="24"/>
                <w:szCs w:val="24"/>
              </w:rPr>
              <w:t>"Service Credit Cap"</w:t>
            </w:r>
          </w:p>
        </w:t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color w:val="000000"/>
              </w:rPr>
              <w:t>has the meaning given to it in the Order Form;</w:t>
            </w:r>
          </w:p>
        </w:tc>
      </w:tr>
      <w:tr w:rsidR="009C31C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b/>
                <w:sz w:val="24"/>
                <w:szCs w:val="24"/>
              </w:rPr>
              <w:t>"Service Level Failure"</w:t>
            </w:r>
          </w:p>
        </w:t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color w:val="000000"/>
              </w:rPr>
              <w:t>means a failure to meet the Service Level Performance Measure in respect of a Service Level;</w:t>
            </w:r>
          </w:p>
        </w:tc>
      </w:tr>
      <w:tr w:rsidR="009C31CC">
        <w:tc>
          <w:tcPr>
            <w:tcW w:w="3811" w:type="dxa"/>
          </w:tcPr>
          <w:p w:rsidR="009C31CC" w:rsidRDefault="00E97488">
            <w:pPr>
              <w:ind w:left="141" w:right="49"/>
              <w:rPr>
                <w:rFonts w:ascii="Arial" w:eastAsia="Arial" w:hAnsi="Arial" w:cs="Arial"/>
                <w:b/>
                <w:sz w:val="24"/>
                <w:szCs w:val="24"/>
              </w:rPr>
            </w:pPr>
            <w:r>
              <w:rPr>
                <w:rFonts w:ascii="Arial" w:eastAsia="Arial" w:hAnsi="Arial" w:cs="Arial"/>
                <w:b/>
                <w:sz w:val="24"/>
                <w:szCs w:val="24"/>
              </w:rPr>
              <w:t>"Service Level Performance Measure"</w:t>
            </w:r>
          </w:p>
          <w:p w:rsidR="009C31CC" w:rsidRDefault="009C31CC">
            <w:pPr>
              <w:tabs>
                <w:tab w:val="left" w:pos="142"/>
              </w:tabs>
              <w:spacing w:before="240" w:after="120"/>
              <w:rPr>
                <w:rFonts w:ascii="Arial" w:eastAsia="Arial" w:hAnsi="Arial" w:cs="Arial"/>
                <w:b/>
                <w:smallCaps/>
                <w:color w:val="000000"/>
                <w:sz w:val="24"/>
                <w:szCs w:val="24"/>
              </w:rPr>
            </w:pPr>
          </w:p>
        </w:t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color w:val="000000"/>
              </w:rPr>
              <w:t>shall be as set out against the relevant Service Level in the Annex to Part A of this Schedule; and</w:t>
            </w:r>
          </w:p>
        </w:tc>
      </w:tr>
      <w:tr w:rsidR="009C31C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b/>
                <w:sz w:val="24"/>
                <w:szCs w:val="24"/>
              </w:rPr>
              <w:t>"Service Level Threshold"</w:t>
            </w:r>
          </w:p>
        </w:t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color w:val="000000"/>
              </w:rPr>
              <w:t>shall be as set out against the relevant Service Level in the Annex to Part A of this Schedule.</w:t>
            </w:r>
          </w:p>
        </w:tc>
      </w:tr>
      <w:tr w:rsidR="009C31CC">
        <w:tc>
          <w:tcPr>
            <w:tcW w:w="3811" w:type="dxa"/>
          </w:tcPr>
          <w:p w:rsidR="009C31CC" w:rsidRDefault="00E97488">
            <w:pPr>
              <w:tabs>
                <w:tab w:val="left" w:pos="142"/>
              </w:tabs>
              <w:spacing w:before="240" w:after="120"/>
              <w:rPr>
                <w:rFonts w:ascii="Arial" w:eastAsia="Arial" w:hAnsi="Arial" w:cs="Arial"/>
                <w:b/>
                <w:sz w:val="24"/>
                <w:szCs w:val="24"/>
              </w:rPr>
            </w:pPr>
            <w:r>
              <w:rPr>
                <w:rFonts w:ascii="Arial" w:eastAsia="Arial" w:hAnsi="Arial" w:cs="Arial"/>
                <w:b/>
                <w:sz w:val="24"/>
                <w:szCs w:val="24"/>
              </w:rPr>
              <w:t>"Performance Monitoring Reports"</w:t>
            </w:r>
          </w:p>
        </w:tc>
        <w:tc>
          <w:tcPr>
            <w:tcW w:w="3811" w:type="dxa"/>
          </w:tcPr>
          <w:p w:rsidR="009C31CC" w:rsidRDefault="00E97488">
            <w:pPr>
              <w:tabs>
                <w:tab w:val="left" w:pos="142"/>
              </w:tabs>
              <w:spacing w:before="240" w:after="120"/>
              <w:rPr>
                <w:rFonts w:ascii="Arial" w:eastAsia="Arial" w:hAnsi="Arial" w:cs="Arial"/>
                <w:b/>
                <w:smallCaps/>
                <w:color w:val="000000"/>
                <w:sz w:val="24"/>
                <w:szCs w:val="24"/>
              </w:rPr>
            </w:pPr>
            <w:r>
              <w:rPr>
                <w:rFonts w:ascii="Arial" w:eastAsia="Arial" w:hAnsi="Arial" w:cs="Arial"/>
                <w:color w:val="000000"/>
              </w:rPr>
              <w:t>has the meaning given to it in Paragraph ‎1.2 of Part B of this Schedule</w:t>
            </w:r>
          </w:p>
        </w:tc>
      </w:tr>
    </w:tbl>
    <w:p w:rsidR="009C31CC" w:rsidRDefault="009C31CC">
      <w:pPr>
        <w:pBdr>
          <w:top w:val="nil"/>
          <w:left w:val="nil"/>
          <w:bottom w:val="nil"/>
          <w:right w:val="nil"/>
          <w:between w:val="nil"/>
        </w:pBdr>
        <w:tabs>
          <w:tab w:val="left" w:pos="142"/>
        </w:tabs>
        <w:spacing w:before="240" w:after="120" w:line="240" w:lineRule="auto"/>
        <w:ind w:left="-708"/>
        <w:rPr>
          <w:rFonts w:ascii="Arial" w:eastAsia="Arial" w:hAnsi="Arial" w:cs="Arial"/>
          <w:b/>
          <w:smallCaps/>
          <w:color w:val="000000"/>
          <w:sz w:val="24"/>
          <w:szCs w:val="24"/>
        </w:rPr>
      </w:pPr>
    </w:p>
    <w:p w:rsidR="009C31CC"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w:t>
      </w:r>
      <w:r>
        <w:rPr>
          <w:rFonts w:ascii="Arial" w:eastAsia="Arial" w:hAnsi="Arial" w:cs="Arial"/>
          <w:color w:val="000000"/>
          <w:sz w:val="24"/>
          <w:szCs w:val="24"/>
        </w:rPr>
        <w:lastRenderedPageBreak/>
        <w:t>suffered by the Buyer as a result of the Supplier’s failure to meet any Service Level Performance Measure.</w:t>
      </w:r>
    </w:p>
    <w:p w:rsidR="009C31CC" w:rsidRDefault="009C31CC">
      <w:pPr>
        <w:pBdr>
          <w:top w:val="nil"/>
          <w:left w:val="nil"/>
          <w:bottom w:val="nil"/>
          <w:right w:val="nil"/>
          <w:between w:val="nil"/>
        </w:pBdr>
        <w:spacing w:before="120" w:after="120" w:line="240" w:lineRule="auto"/>
        <w:ind w:left="1440"/>
        <w:rPr>
          <w:rFonts w:ascii="Arial" w:eastAsia="Arial" w:hAnsi="Arial" w:cs="Arial"/>
          <w:sz w:val="24"/>
          <w:szCs w:val="24"/>
        </w:rPr>
      </w:pP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 xml:space="preserve">The Supplier shall be allowed a one-month grace period at the start of each </w:t>
      </w:r>
      <w:r>
        <w:rPr>
          <w:rFonts w:ascii="Arial" w:eastAsia="Arial" w:hAnsi="Arial" w:cs="Arial"/>
          <w:sz w:val="24"/>
          <w:szCs w:val="24"/>
        </w:rPr>
        <w:t>Call Off Contract</w:t>
      </w:r>
      <w:r>
        <w:rPr>
          <w:rFonts w:ascii="Arial" w:eastAsia="Arial" w:hAnsi="Arial" w:cs="Arial"/>
          <w:color w:val="000000"/>
          <w:sz w:val="24"/>
          <w:szCs w:val="24"/>
        </w:rPr>
        <w:t xml:space="preserve"> in respect of any Service Level Failure, during which period Service Credits shall not be applicable. Following the one-month grace period in each Contract Year, the Buyer shall be entitled to Service Credits in accordance with this Schedule. </w:t>
      </w:r>
    </w:p>
    <w:p w:rsidR="009C31CC" w:rsidRDefault="009C31CC">
      <w:pPr>
        <w:pBdr>
          <w:top w:val="nil"/>
          <w:left w:val="nil"/>
          <w:bottom w:val="nil"/>
          <w:right w:val="nil"/>
          <w:between w:val="nil"/>
        </w:pBdr>
        <w:spacing w:before="120" w:after="120" w:line="240" w:lineRule="auto"/>
        <w:ind w:left="283" w:hanging="850"/>
        <w:rPr>
          <w:rFonts w:ascii="Arial" w:eastAsia="Arial" w:hAnsi="Arial" w:cs="Arial"/>
          <w:b/>
          <w:color w:val="000000"/>
          <w:sz w:val="24"/>
          <w:szCs w:val="24"/>
        </w:rPr>
      </w:pP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b/>
          <w:color w:val="000000"/>
          <w:sz w:val="24"/>
          <w:szCs w:val="24"/>
        </w:rPr>
        <w:t xml:space="preserve">The Supplier shall monitor its performance against the Service Levels in the Annex to Part A of this Schedule. </w:t>
      </w: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t>the Service Level Failure:</w:t>
      </w:r>
    </w:p>
    <w:p w:rsidR="009C31CC"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highlight w:val="white"/>
        </w:rPr>
      </w:pPr>
      <w:r>
        <w:rPr>
          <w:rFonts w:ascii="Arial" w:eastAsia="Arial" w:hAnsi="Arial" w:cs="Arial"/>
          <w:color w:val="000000"/>
          <w:sz w:val="24"/>
          <w:szCs w:val="24"/>
          <w:highlight w:val="white"/>
        </w:rPr>
        <w:t>exceeds the relevant Service Level Threshold;</w:t>
      </w:r>
    </w:p>
    <w:p w:rsidR="009C31CC"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9C31CC"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9C31CC"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Core Terms Clause 10.4 (</w:t>
      </w:r>
      <w:r>
        <w:rPr>
          <w:rFonts w:ascii="Arial" w:eastAsia="Arial" w:hAnsi="Arial" w:cs="Arial"/>
          <w:sz w:val="24"/>
          <w:szCs w:val="24"/>
        </w:rPr>
        <w:t>When CCS or the buyer can end a contract</w:t>
      </w:r>
      <w:r>
        <w:rPr>
          <w:rFonts w:ascii="Arial" w:eastAsia="Arial" w:hAnsi="Arial" w:cs="Arial"/>
          <w:color w:val="000000"/>
          <w:sz w:val="24"/>
          <w:szCs w:val="24"/>
        </w:rPr>
        <w:t>).</w:t>
      </w: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a Service Level Performance Measure in respect of one or more Service Levels and the Supplier shall not be entitled to object to, or increase the Charges as a result of such changes, provided that:</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t>the total number of Service Levels for which the weighting is to be ch</w:t>
      </w:r>
      <w:r>
        <w:rPr>
          <w:rFonts w:ascii="Arial" w:eastAsia="Arial" w:hAnsi="Arial" w:cs="Arial"/>
          <w:color w:val="000000"/>
          <w:sz w:val="24"/>
          <w:szCs w:val="24"/>
          <w:highlight w:val="white"/>
        </w:rPr>
        <w:t xml:space="preserve">anged does not exceed the number applicable as at the Start Date; </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lastRenderedPageBreak/>
        <w:t>the principal purpose of the change is to reflect changes in the Buyer's business requirements and/or priorities or to reflect changing industry standards; and</w:t>
      </w:r>
    </w:p>
    <w:p w:rsidR="009C31CC"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9C31CC" w:rsidRDefault="009C31CC">
      <w:pPr>
        <w:pBdr>
          <w:top w:val="nil"/>
          <w:left w:val="nil"/>
          <w:bottom w:val="nil"/>
          <w:right w:val="nil"/>
          <w:between w:val="nil"/>
        </w:pBdr>
        <w:spacing w:before="120" w:after="120" w:line="240" w:lineRule="auto"/>
        <w:ind w:left="2160"/>
        <w:rPr>
          <w:rFonts w:ascii="Arial" w:eastAsia="Arial" w:hAnsi="Arial" w:cs="Arial"/>
          <w:sz w:val="24"/>
          <w:szCs w:val="24"/>
        </w:rPr>
      </w:pPr>
    </w:p>
    <w:p w:rsidR="009C31CC"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9C31CC" w:rsidRDefault="00E97488">
      <w:pPr>
        <w:pBdr>
          <w:top w:val="nil"/>
          <w:left w:val="nil"/>
          <w:bottom w:val="nil"/>
          <w:right w:val="nil"/>
          <w:between w:val="nil"/>
        </w:pBdr>
        <w:spacing w:before="120" w:after="120" w:line="240" w:lineRule="auto"/>
        <w:ind w:left="283" w:hanging="992"/>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9C31CC"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9C31CC" w:rsidRDefault="00E97488">
      <w:pPr>
        <w:numPr>
          <w:ilvl w:val="1"/>
          <w:numId w:val="3"/>
        </w:numPr>
        <w:pBdr>
          <w:top w:val="nil"/>
          <w:left w:val="nil"/>
          <w:bottom w:val="nil"/>
          <w:right w:val="nil"/>
          <w:between w:val="nil"/>
        </w:pBdr>
        <w:tabs>
          <w:tab w:val="left" w:pos="3402"/>
        </w:tabs>
        <w:spacing w:before="120" w:after="120" w:line="240" w:lineRule="auto"/>
        <w:ind w:left="283" w:hanging="850"/>
        <w:rPr>
          <w:color w:val="000000"/>
          <w:sz w:val="24"/>
          <w:szCs w:val="24"/>
        </w:rPr>
      </w:pPr>
      <w:r>
        <w:rPr>
          <w:rFonts w:ascii="Times New Roman" w:eastAsia="Times New Roman" w:hAnsi="Times New Roman"/>
          <w:sz w:val="14"/>
          <w:szCs w:val="14"/>
        </w:rPr>
        <w:t xml:space="preserve">  </w:t>
      </w:r>
      <w:r>
        <w:rPr>
          <w:rFonts w:ascii="Arial" w:eastAsia="Arial" w:hAnsi="Arial" w:cs="Arial"/>
          <w:sz w:val="24"/>
          <w:szCs w:val="24"/>
        </w:rPr>
        <w:t>the Buyer shall (subject to the Service Credit Cap) be entitled to</w:t>
      </w:r>
      <w:r>
        <w:rPr>
          <w:rFonts w:ascii="Times New Roman" w:eastAsia="Times New Roman" w:hAnsi="Times New Roman"/>
          <w:sz w:val="14"/>
          <w:szCs w:val="14"/>
        </w:rPr>
        <w:t xml:space="preserve">       </w:t>
      </w:r>
      <w:r>
        <w:rPr>
          <w:rFonts w:ascii="Arial" w:eastAsia="Arial" w:hAnsi="Arial" w:cs="Arial"/>
          <w:sz w:val="24"/>
          <w:szCs w:val="24"/>
        </w:rPr>
        <w:t>withhold and retain as compensation a sum equal to any Charges which would otherwise have been due to the Supplier in respect of that Service Period (</w:t>
      </w:r>
      <w:r>
        <w:rPr>
          <w:rFonts w:ascii="Arial" w:eastAsia="Arial" w:hAnsi="Arial" w:cs="Arial"/>
          <w:b/>
          <w:sz w:val="24"/>
          <w:szCs w:val="24"/>
        </w:rPr>
        <w:t>"Compensation for Critical Service Level Failure"</w:t>
      </w:r>
      <w:r>
        <w:rPr>
          <w:rFonts w:ascii="Arial" w:eastAsia="Arial" w:hAnsi="Arial" w:cs="Arial"/>
          <w:sz w:val="24"/>
          <w:szCs w:val="24"/>
        </w:rPr>
        <w:t>), Provided that the operation of this paragraph 3 shall be without prejudice to the right of the Buyer to terminate this Contract and/or to claim damages from the Supplier for material Default.</w:t>
      </w:r>
    </w:p>
    <w:p w:rsidR="009C31CC" w:rsidRDefault="009C31CC">
      <w:pPr>
        <w:pBdr>
          <w:top w:val="nil"/>
          <w:left w:val="nil"/>
          <w:bottom w:val="nil"/>
          <w:right w:val="nil"/>
          <w:between w:val="nil"/>
        </w:pBdr>
        <w:tabs>
          <w:tab w:val="left" w:pos="3402"/>
        </w:tabs>
        <w:spacing w:after="220" w:line="240" w:lineRule="auto"/>
        <w:rPr>
          <w:rFonts w:ascii="Arial" w:eastAsia="Arial" w:hAnsi="Arial" w:cs="Arial"/>
          <w:sz w:val="24"/>
          <w:szCs w:val="24"/>
        </w:rPr>
      </w:pPr>
    </w:p>
    <w:p w:rsidR="009C31CC" w:rsidRDefault="009C31CC">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9C31CC" w:rsidRDefault="00E97488">
      <w:pPr>
        <w:keepNext/>
        <w:pBdr>
          <w:top w:val="nil"/>
          <w:left w:val="nil"/>
          <w:bottom w:val="nil"/>
          <w:right w:val="nil"/>
          <w:between w:val="nil"/>
        </w:pBdr>
        <w:spacing w:after="240" w:line="240" w:lineRule="auto"/>
        <w:ind w:left="-1559"/>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9C31CC" w:rsidRDefault="00E97488">
      <w:pPr>
        <w:numPr>
          <w:ilvl w:val="0"/>
          <w:numId w:val="4"/>
        </w:numPr>
        <w:pBdr>
          <w:top w:val="nil"/>
          <w:left w:val="nil"/>
          <w:bottom w:val="nil"/>
          <w:right w:val="nil"/>
          <w:between w:val="nil"/>
        </w:pBdr>
        <w:tabs>
          <w:tab w:val="left" w:pos="142"/>
        </w:tabs>
        <w:spacing w:before="240" w:after="120" w:line="240" w:lineRule="auto"/>
        <w:ind w:left="-705" w:hanging="705"/>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9C31CC" w:rsidRDefault="009C31CC">
      <w:pPr>
        <w:pBdr>
          <w:top w:val="nil"/>
          <w:left w:val="nil"/>
          <w:bottom w:val="nil"/>
          <w:right w:val="nil"/>
          <w:between w:val="nil"/>
        </w:pBdr>
        <w:spacing w:before="120" w:after="120" w:line="240" w:lineRule="auto"/>
        <w:ind w:left="720"/>
        <w:rPr>
          <w:rFonts w:ascii="Arial" w:eastAsia="Arial" w:hAnsi="Arial" w:cs="Arial"/>
          <w:sz w:val="24"/>
          <w:szCs w:val="24"/>
        </w:rPr>
      </w:pPr>
    </w:p>
    <w:p w:rsidR="009C31CC" w:rsidRDefault="00E97488">
      <w:pPr>
        <w:pBdr>
          <w:top w:val="nil"/>
          <w:left w:val="nil"/>
          <w:bottom w:val="nil"/>
          <w:right w:val="nil"/>
          <w:between w:val="nil"/>
        </w:pBdr>
        <w:spacing w:before="120" w:after="120" w:line="240" w:lineRule="auto"/>
        <w:ind w:left="-708"/>
        <w:rPr>
          <w:rFonts w:ascii="Arial" w:eastAsia="Arial" w:hAnsi="Arial" w:cs="Arial"/>
          <w:sz w:val="24"/>
          <w:szCs w:val="24"/>
        </w:rPr>
      </w:pPr>
      <w:r>
        <w:rPr>
          <w:rFonts w:ascii="Arial" w:eastAsia="Arial" w:hAnsi="Arial" w:cs="Arial"/>
          <w:color w:val="000000"/>
          <w:sz w:val="24"/>
          <w:szCs w:val="24"/>
        </w:rPr>
        <w:t>If the level of performance of the Supplier:</w:t>
      </w:r>
    </w:p>
    <w:p w:rsidR="009C31CC" w:rsidRDefault="00E97488">
      <w:pPr>
        <w:numPr>
          <w:ilvl w:val="1"/>
          <w:numId w:val="4"/>
        </w:numPr>
        <w:pBdr>
          <w:top w:val="nil"/>
          <w:left w:val="nil"/>
          <w:bottom w:val="nil"/>
          <w:right w:val="nil"/>
          <w:between w:val="nil"/>
        </w:pBdr>
        <w:spacing w:before="120" w:after="120" w:line="240" w:lineRule="auto"/>
        <w:ind w:left="285" w:hanging="570"/>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9C31CC" w:rsidRDefault="00E97488">
      <w:pPr>
        <w:numPr>
          <w:ilvl w:val="1"/>
          <w:numId w:val="4"/>
        </w:numPr>
        <w:pBdr>
          <w:top w:val="nil"/>
          <w:left w:val="nil"/>
          <w:bottom w:val="nil"/>
          <w:right w:val="nil"/>
          <w:between w:val="nil"/>
        </w:pBdr>
        <w:spacing w:before="120" w:after="120" w:line="240" w:lineRule="auto"/>
        <w:ind w:left="285" w:hanging="568"/>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w:t>
      </w:r>
      <w:r>
        <w:rPr>
          <w:rFonts w:ascii="Arial" w:eastAsia="Arial" w:hAnsi="Arial" w:cs="Arial"/>
          <w:sz w:val="24"/>
          <w:szCs w:val="24"/>
        </w:rPr>
        <w:t xml:space="preserve">Level </w:t>
      </w:r>
      <w:r>
        <w:rPr>
          <w:rFonts w:ascii="Arial" w:eastAsia="Arial" w:hAnsi="Arial" w:cs="Arial"/>
          <w:color w:val="000000"/>
          <w:sz w:val="24"/>
          <w:szCs w:val="24"/>
        </w:rPr>
        <w:t>Failure to occur, the Supplier shall immediately notify the Buyer in writing and the Buyer, in its absolute discretion and without limiting any other of its rights, may:</w:t>
      </w:r>
    </w:p>
    <w:p w:rsidR="009C31CC" w:rsidRDefault="00E97488">
      <w:pPr>
        <w:numPr>
          <w:ilvl w:val="2"/>
          <w:numId w:val="4"/>
        </w:numPr>
        <w:pBdr>
          <w:top w:val="nil"/>
          <w:left w:val="nil"/>
          <w:bottom w:val="nil"/>
          <w:right w:val="nil"/>
          <w:between w:val="nil"/>
        </w:pBdr>
        <w:spacing w:before="120" w:after="120" w:line="240" w:lineRule="auto"/>
        <w:ind w:left="1133" w:hanging="283"/>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9C31CC" w:rsidRDefault="00E97488">
      <w:pPr>
        <w:numPr>
          <w:ilvl w:val="2"/>
          <w:numId w:val="4"/>
        </w:numPr>
        <w:pBdr>
          <w:top w:val="nil"/>
          <w:left w:val="nil"/>
          <w:bottom w:val="nil"/>
          <w:right w:val="nil"/>
          <w:between w:val="nil"/>
        </w:pBdr>
        <w:tabs>
          <w:tab w:val="left" w:pos="3255"/>
        </w:tabs>
        <w:spacing w:before="120" w:after="120" w:line="240" w:lineRule="auto"/>
        <w:ind w:left="1133" w:hanging="283"/>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9C31CC" w:rsidRDefault="00E97488">
      <w:pPr>
        <w:pBdr>
          <w:top w:val="nil"/>
          <w:left w:val="nil"/>
          <w:bottom w:val="nil"/>
          <w:right w:val="nil"/>
          <w:between w:val="nil"/>
        </w:pBdr>
        <w:spacing w:before="120" w:after="120" w:line="240" w:lineRule="auto"/>
        <w:ind w:left="283" w:hanging="992"/>
        <w:rPr>
          <w:rFonts w:ascii="Arial" w:eastAsia="Arial" w:hAnsi="Arial" w:cs="Arial"/>
          <w:sz w:val="24"/>
          <w:szCs w:val="24"/>
          <w:highlight w:val="white"/>
        </w:rPr>
      </w:pPr>
      <w:r>
        <w:rPr>
          <w:rFonts w:ascii="Arial" w:eastAsia="Arial" w:hAnsi="Arial" w:cs="Arial"/>
          <w:sz w:val="24"/>
          <w:szCs w:val="24"/>
        </w:rPr>
        <w:t>1.3</w:t>
      </w:r>
      <w:r>
        <w:rPr>
          <w:rFonts w:ascii="Arial" w:eastAsia="Arial" w:hAnsi="Arial" w:cs="Arial"/>
          <w:sz w:val="24"/>
          <w:szCs w:val="24"/>
        </w:rPr>
        <w:tab/>
      </w:r>
      <w:r>
        <w:rPr>
          <w:rFonts w:ascii="Arial" w:eastAsia="Arial" w:hAnsi="Arial" w:cs="Arial"/>
          <w:color w:val="000000"/>
          <w:sz w:val="24"/>
          <w:szCs w:val="24"/>
          <w:highlight w:val="white"/>
        </w:rPr>
        <w:t xml:space="preserve">if a Service Level Failure has occurred, deduct the applicable Service Credits payable by the Supplier, to the Buyer.  </w:t>
      </w:r>
      <w:r>
        <w:rPr>
          <w:rFonts w:ascii="Arial" w:eastAsia="Arial" w:hAnsi="Arial" w:cs="Arial"/>
          <w:sz w:val="24"/>
          <w:szCs w:val="24"/>
          <w:highlight w:val="white"/>
        </w:rPr>
        <w:t>If a Buyer has signed an Order Form with a Supplier with £0 (zero) transaction fees, any applicable Service Credits due need to be returned to the Customer in form of a credit note</w:t>
      </w:r>
      <w:r>
        <w:rPr>
          <w:rFonts w:ascii="Arial" w:eastAsia="Arial" w:hAnsi="Arial" w:cs="Arial"/>
          <w:sz w:val="20"/>
          <w:szCs w:val="20"/>
          <w:highlight w:val="white"/>
        </w:rPr>
        <w:t>;</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and/or </w:t>
      </w:r>
    </w:p>
    <w:p w:rsidR="009C31CC" w:rsidRDefault="00E97488">
      <w:pPr>
        <w:pBdr>
          <w:top w:val="nil"/>
          <w:left w:val="nil"/>
          <w:bottom w:val="nil"/>
          <w:right w:val="nil"/>
          <w:between w:val="nil"/>
        </w:pBdr>
        <w:spacing w:before="120" w:after="120" w:line="240" w:lineRule="auto"/>
        <w:ind w:left="283" w:hanging="992"/>
        <w:rPr>
          <w:rFonts w:ascii="Arial" w:eastAsia="Arial" w:hAnsi="Arial" w:cs="Arial"/>
          <w:color w:val="000000"/>
          <w:sz w:val="24"/>
          <w:szCs w:val="24"/>
        </w:rPr>
      </w:pPr>
      <w:r>
        <w:rPr>
          <w:rFonts w:ascii="Arial" w:eastAsia="Arial" w:hAnsi="Arial" w:cs="Arial"/>
          <w:sz w:val="24"/>
          <w:szCs w:val="24"/>
          <w:highlight w:val="white"/>
        </w:rPr>
        <w:t xml:space="preserve">1.4 </w:t>
      </w:r>
      <w:r>
        <w:rPr>
          <w:rFonts w:ascii="Arial" w:eastAsia="Arial" w:hAnsi="Arial" w:cs="Arial"/>
          <w:sz w:val="24"/>
          <w:szCs w:val="24"/>
          <w:highlight w:val="white"/>
        </w:rPr>
        <w:tab/>
      </w:r>
      <w:r>
        <w:rPr>
          <w:rFonts w:ascii="Arial" w:eastAsia="Arial" w:hAnsi="Arial" w:cs="Arial"/>
          <w:color w:val="000000"/>
          <w:sz w:val="24"/>
          <w:szCs w:val="24"/>
          <w:highlight w:val="white"/>
        </w:rPr>
        <w:t>if a Critical Service Level Failure has occurred,</w:t>
      </w:r>
      <w:r>
        <w:rPr>
          <w:rFonts w:ascii="Arial" w:eastAsia="Arial" w:hAnsi="Arial" w:cs="Arial"/>
          <w:color w:val="000000"/>
          <w:sz w:val="24"/>
          <w:szCs w:val="24"/>
        </w:rPr>
        <w:t xml:space="preserve"> exercise its right to </w:t>
      </w:r>
      <w:r>
        <w:rPr>
          <w:rFonts w:ascii="Arial" w:eastAsia="Arial" w:hAnsi="Arial" w:cs="Arial"/>
          <w:color w:val="000000"/>
          <w:sz w:val="24"/>
          <w:szCs w:val="24"/>
          <w:highlight w:val="white"/>
        </w:rPr>
        <w:t xml:space="preserve">Compensation for Critical Service Level </w:t>
      </w:r>
      <w:r>
        <w:rPr>
          <w:rFonts w:ascii="Arial" w:eastAsia="Arial" w:hAnsi="Arial" w:cs="Arial"/>
          <w:color w:val="000000"/>
          <w:sz w:val="24"/>
          <w:szCs w:val="24"/>
        </w:rPr>
        <w:t xml:space="preserve">Failure (including the right to terminate </w:t>
      </w:r>
      <w:r>
        <w:rPr>
          <w:rFonts w:ascii="Arial" w:eastAsia="Arial" w:hAnsi="Arial" w:cs="Arial"/>
          <w:sz w:val="24"/>
          <w:szCs w:val="24"/>
        </w:rPr>
        <w:t xml:space="preserve">this Contract </w:t>
      </w:r>
      <w:r>
        <w:rPr>
          <w:rFonts w:ascii="Arial" w:eastAsia="Arial" w:hAnsi="Arial" w:cs="Arial"/>
          <w:color w:val="000000"/>
          <w:sz w:val="24"/>
          <w:szCs w:val="24"/>
        </w:rPr>
        <w:t xml:space="preserve"> for material Default).</w:t>
      </w:r>
    </w:p>
    <w:p w:rsidR="009C31CC" w:rsidRDefault="00E97488">
      <w:pPr>
        <w:numPr>
          <w:ilvl w:val="0"/>
          <w:numId w:val="4"/>
        </w:numPr>
        <w:pBdr>
          <w:top w:val="nil"/>
          <w:left w:val="nil"/>
          <w:bottom w:val="nil"/>
          <w:right w:val="nil"/>
          <w:between w:val="nil"/>
        </w:pBdr>
        <w:tabs>
          <w:tab w:val="left" w:pos="142"/>
        </w:tabs>
        <w:spacing w:before="240" w:after="120" w:line="240" w:lineRule="auto"/>
        <w:ind w:left="-708" w:hanging="850"/>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9C31CC"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9C31CC"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pPr>
      <w:r>
        <w:rPr>
          <w:rFonts w:ascii="Arial" w:eastAsia="Arial" w:hAnsi="Arial" w:cs="Arial"/>
          <w:color w:val="000000"/>
          <w:sz w:val="24"/>
          <w:szCs w:val="24"/>
        </w:rPr>
        <w:t>Service Credits are a reduction of the amounts payable in respect of the Deliverables and do not include VAT. The Supplier shall set-off the value of any Service Credits against the appropriate invoice or credit note in accordance with 1.3, in accordance with the calculation formula in the Annex to Part A of this Schedule.</w:t>
      </w:r>
    </w:p>
    <w:p w:rsidR="009C31CC"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sectPr w:rsidR="009C31CC">
          <w:headerReference w:type="default" r:id="rId8"/>
          <w:footerReference w:type="default" r:id="rId9"/>
          <w:headerReference w:type="first" r:id="rId10"/>
          <w:footerReference w:type="first" r:id="rId11"/>
          <w:pgSz w:w="11906" w:h="16838"/>
          <w:pgMar w:top="1440" w:right="1440" w:bottom="1440" w:left="2834" w:header="709" w:footer="709" w:gutter="0"/>
          <w:pgNumType w:start="1"/>
          <w:cols w:space="720"/>
        </w:sectPr>
      </w:pPr>
      <w:r>
        <w:rPr>
          <w:rFonts w:ascii="Arial" w:eastAsia="Arial" w:hAnsi="Arial" w:cs="Arial"/>
          <w:color w:val="000000"/>
          <w:sz w:val="24"/>
          <w:szCs w:val="24"/>
        </w:rPr>
        <w:t xml:space="preserve">For the purpose of the Service Credit calculations in the Annex to this Schedule, one (1) Service Credit is equal to the sum of one £1 Pound Sterling (£1).  </w:t>
      </w:r>
    </w:p>
    <w:p w:rsidR="009C31CC" w:rsidRDefault="00E97488">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36"/>
          <w:szCs w:val="36"/>
        </w:rPr>
        <w:lastRenderedPageBreak/>
        <w:t>Annex A to Part A: Service Levels and Service Credits Table</w:t>
      </w:r>
    </w:p>
    <w:p w:rsidR="009C31CC" w:rsidRDefault="00E97488">
      <w:pPr>
        <w:pBdr>
          <w:top w:val="nil"/>
          <w:left w:val="nil"/>
          <w:bottom w:val="nil"/>
          <w:right w:val="nil"/>
          <w:between w:val="nil"/>
        </w:pBdr>
        <w:spacing w:before="100"/>
        <w:rPr>
          <w:b/>
          <w:i/>
          <w:color w:val="000000"/>
        </w:rPr>
      </w:pPr>
      <w:r>
        <w:rPr>
          <w:b/>
          <w:i/>
          <w:highlight w:val="yellow"/>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12">
        <w:r>
          <w:rPr>
            <w:b/>
            <w:i/>
            <w:color w:val="0000FF"/>
            <w:highlight w:val="yellow"/>
            <w:u w:val="single"/>
          </w:rPr>
          <w:t>Sourcing Playbook</w:t>
        </w:r>
      </w:hyperlink>
      <w:r>
        <w:rPr>
          <w:b/>
          <w:i/>
          <w:highlight w:val="yellow"/>
        </w:rPr>
        <w:t>,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p>
    <w:p w:rsidR="009C31CC" w:rsidRDefault="009C31CC">
      <w:pPr>
        <w:ind w:left="709"/>
        <w:rPr>
          <w:rFonts w:ascii="Arial" w:eastAsia="Arial" w:hAnsi="Arial" w:cs="Arial"/>
          <w:sz w:val="24"/>
          <w:szCs w:val="24"/>
        </w:rPr>
      </w:pPr>
    </w:p>
    <w:tbl>
      <w:tblPr>
        <w:tblStyle w:val="a0"/>
        <w:tblW w:w="14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9"/>
        <w:gridCol w:w="1249"/>
        <w:gridCol w:w="2943"/>
        <w:gridCol w:w="2553"/>
        <w:gridCol w:w="1331"/>
        <w:gridCol w:w="1848"/>
        <w:gridCol w:w="1788"/>
        <w:gridCol w:w="993"/>
        <w:gridCol w:w="716"/>
      </w:tblGrid>
      <w:tr w:rsidR="009C31CC">
        <w:trPr>
          <w:trHeight w:val="1213"/>
          <w:tblHeader/>
          <w:jc w:val="center"/>
        </w:trPr>
        <w:tc>
          <w:tcPr>
            <w:tcW w:w="798" w:type="dxa"/>
            <w:shd w:val="clear" w:color="auto" w:fill="D9D9D9"/>
          </w:tcPr>
          <w:p w:rsidR="009C31CC" w:rsidRDefault="00E97488">
            <w:pPr>
              <w:ind w:left="61" w:right="52"/>
              <w:rPr>
                <w:rFonts w:ascii="Arial" w:eastAsia="Arial" w:hAnsi="Arial" w:cs="Arial"/>
                <w:b/>
                <w:sz w:val="18"/>
                <w:szCs w:val="18"/>
              </w:rPr>
            </w:pPr>
            <w:r>
              <w:rPr>
                <w:rFonts w:ascii="Arial" w:eastAsia="Arial" w:hAnsi="Arial" w:cs="Arial"/>
                <w:b/>
                <w:sz w:val="18"/>
                <w:szCs w:val="18"/>
              </w:rPr>
              <w:lastRenderedPageBreak/>
              <w:t xml:space="preserve">SLA Ref </w:t>
            </w:r>
          </w:p>
        </w:tc>
        <w:tc>
          <w:tcPr>
            <w:tcW w:w="1248" w:type="dxa"/>
            <w:shd w:val="clear" w:color="auto" w:fill="D9D9D9"/>
            <w:vAlign w:val="center"/>
          </w:tcPr>
          <w:p w:rsidR="009C31CC" w:rsidRDefault="00E97488">
            <w:pPr>
              <w:ind w:left="61"/>
              <w:rPr>
                <w:rFonts w:ascii="Arial" w:eastAsia="Arial" w:hAnsi="Arial" w:cs="Arial"/>
                <w:b/>
                <w:sz w:val="18"/>
                <w:szCs w:val="18"/>
              </w:rPr>
            </w:pPr>
            <w:r>
              <w:rPr>
                <w:rFonts w:ascii="Arial" w:eastAsia="Arial" w:hAnsi="Arial" w:cs="Arial"/>
                <w:b/>
                <w:sz w:val="18"/>
                <w:szCs w:val="18"/>
              </w:rPr>
              <w:t>Service Level Performance Criterion</w:t>
            </w:r>
          </w:p>
        </w:tc>
        <w:tc>
          <w:tcPr>
            <w:tcW w:w="2943"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Key Indicator</w:t>
            </w:r>
          </w:p>
        </w:tc>
        <w:tc>
          <w:tcPr>
            <w:tcW w:w="2553" w:type="dxa"/>
            <w:shd w:val="clear" w:color="auto" w:fill="D9D9D9"/>
          </w:tcPr>
          <w:p w:rsidR="009C31CC" w:rsidRDefault="00E97488">
            <w:pPr>
              <w:rPr>
                <w:rFonts w:ascii="Arial" w:eastAsia="Arial" w:hAnsi="Arial" w:cs="Arial"/>
                <w:b/>
                <w:sz w:val="18"/>
                <w:szCs w:val="18"/>
              </w:rPr>
            </w:pPr>
            <w:r>
              <w:rPr>
                <w:rFonts w:ascii="Arial" w:eastAsia="Arial" w:hAnsi="Arial" w:cs="Arial"/>
                <w:b/>
                <w:sz w:val="18"/>
                <w:szCs w:val="18"/>
              </w:rPr>
              <w:t>Service Level Performance Measure</w:t>
            </w:r>
          </w:p>
        </w:tc>
        <w:tc>
          <w:tcPr>
            <w:tcW w:w="1331"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Service Level Threshold</w:t>
            </w:r>
          </w:p>
        </w:tc>
        <w:tc>
          <w:tcPr>
            <w:tcW w:w="1848"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Monitoring &amp; Reporting</w:t>
            </w:r>
          </w:p>
        </w:tc>
        <w:tc>
          <w:tcPr>
            <w:tcW w:w="1788"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Service Credit for each Service Period</w:t>
            </w:r>
          </w:p>
          <w:p w:rsidR="009C31CC" w:rsidRDefault="009C31CC">
            <w:pPr>
              <w:ind w:left="95"/>
              <w:rPr>
                <w:rFonts w:ascii="Arial" w:eastAsia="Arial" w:hAnsi="Arial" w:cs="Arial"/>
                <w:b/>
                <w:sz w:val="18"/>
                <w:szCs w:val="18"/>
              </w:rPr>
            </w:pPr>
          </w:p>
        </w:tc>
        <w:tc>
          <w:tcPr>
            <w:tcW w:w="993"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Applicable Lots</w:t>
            </w:r>
          </w:p>
        </w:tc>
        <w:tc>
          <w:tcPr>
            <w:tcW w:w="716" w:type="dxa"/>
            <w:shd w:val="clear" w:color="auto" w:fill="D9D9D9"/>
          </w:tcPr>
          <w:p w:rsidR="009C31CC" w:rsidRDefault="00E97488">
            <w:pPr>
              <w:ind w:left="95"/>
              <w:rPr>
                <w:rFonts w:ascii="Arial" w:eastAsia="Arial" w:hAnsi="Arial" w:cs="Arial"/>
                <w:b/>
                <w:sz w:val="18"/>
                <w:szCs w:val="18"/>
              </w:rPr>
            </w:pPr>
            <w:r>
              <w:rPr>
                <w:rFonts w:ascii="Arial" w:eastAsia="Arial" w:hAnsi="Arial" w:cs="Arial"/>
                <w:b/>
                <w:sz w:val="18"/>
                <w:szCs w:val="18"/>
              </w:rPr>
              <w:t xml:space="preserve">Publishable? </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Online Booking System and mobile booking app, along with all Inventory availability</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Online Booking System and mobile booking app, along with all Inventory availability.</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shall ensure that the Online Booking System, along with all Inventory is available 24 hours a day, 365 days per year (or 366 in a leap year) throughout the Call-Off Contract Period. This excludes any planned scheduled outages for system maintenance and/or system upgrades that have been mutually agreed with the Buyer.</w:t>
            </w:r>
          </w:p>
          <w:p w:rsidR="009C31CC" w:rsidRDefault="009C31CC">
            <w:pPr>
              <w:widowControl w:val="0"/>
              <w:spacing w:line="276" w:lineRule="auto"/>
              <w:rPr>
                <w:rFonts w:ascii="Arial" w:eastAsia="Arial" w:hAnsi="Arial" w:cs="Arial"/>
                <w:sz w:val="18"/>
                <w:szCs w:val="18"/>
              </w:rPr>
            </w:pPr>
          </w:p>
        </w:tc>
        <w:tc>
          <w:tcPr>
            <w:tcW w:w="2553" w:type="dxa"/>
            <w:shd w:val="clear" w:color="auto" w:fill="FFFFFF"/>
          </w:tcPr>
          <w:p w:rsidR="009C31CC" w:rsidRDefault="00E97488">
            <w:pPr>
              <w:rPr>
                <w:rFonts w:ascii="Arial" w:eastAsia="Arial" w:hAnsi="Arial" w:cs="Arial"/>
                <w:sz w:val="18"/>
                <w:szCs w:val="18"/>
              </w:rPr>
            </w:pPr>
            <w:r>
              <w:rPr>
                <w:rFonts w:ascii="Arial" w:eastAsia="Arial" w:hAnsi="Arial" w:cs="Arial"/>
                <w:sz w:val="18"/>
                <w:szCs w:val="18"/>
              </w:rPr>
              <w:t>Online Booking System and mobile booking app, along with all Inventory shall be available</w:t>
            </w:r>
          </w:p>
          <w:p w:rsidR="009C31CC" w:rsidRDefault="00E97488">
            <w:pPr>
              <w:rPr>
                <w:rFonts w:ascii="Arial" w:eastAsia="Arial" w:hAnsi="Arial" w:cs="Arial"/>
                <w:sz w:val="18"/>
                <w:szCs w:val="18"/>
              </w:rPr>
            </w:pPr>
            <w:r>
              <w:rPr>
                <w:rFonts w:ascii="Arial" w:eastAsia="Arial" w:hAnsi="Arial" w:cs="Arial"/>
                <w:sz w:val="18"/>
                <w:szCs w:val="18"/>
              </w:rPr>
              <w:t>100% of the available minutes.</w:t>
            </w:r>
          </w:p>
          <w:p w:rsidR="009C31CC" w:rsidRDefault="009C31CC">
            <w:pPr>
              <w:rPr>
                <w:rFonts w:ascii="Arial" w:eastAsia="Arial" w:hAnsi="Arial" w:cs="Arial"/>
                <w:sz w:val="18"/>
                <w:szCs w:val="18"/>
              </w:rPr>
            </w:pPr>
          </w:p>
          <w:p w:rsidR="009C31CC" w:rsidRDefault="00E97488">
            <w:pPr>
              <w:rPr>
                <w:rFonts w:ascii="Arial" w:eastAsia="Arial" w:hAnsi="Arial" w:cs="Arial"/>
                <w:sz w:val="18"/>
                <w:szCs w:val="18"/>
              </w:rPr>
            </w:pPr>
            <w:r>
              <w:rPr>
                <w:rFonts w:ascii="Arial" w:eastAsia="Arial" w:hAnsi="Arial" w:cs="Arial"/>
                <w:sz w:val="18"/>
                <w:szCs w:val="18"/>
              </w:rPr>
              <w:t>Online Booking System and mobile booking app, along with all Inventory availability is measured as 1440 minutes per day x number of days in reporting Month.</w:t>
            </w:r>
          </w:p>
        </w:tc>
        <w:tc>
          <w:tcPr>
            <w:tcW w:w="1331" w:type="dxa"/>
            <w:shd w:val="clear" w:color="auto" w:fill="FFFFFF"/>
          </w:tcPr>
          <w:p w:rsidR="009C31CC" w:rsidRDefault="00E97488">
            <w:pPr>
              <w:ind w:left="95"/>
              <w:rPr>
                <w:rFonts w:ascii="Arial" w:eastAsia="Arial" w:hAnsi="Arial" w:cs="Arial"/>
                <w:sz w:val="18"/>
                <w:szCs w:val="18"/>
              </w:rPr>
            </w:pPr>
            <w:r>
              <w:rPr>
                <w:rFonts w:ascii="Arial" w:eastAsia="Arial" w:hAnsi="Arial" w:cs="Arial"/>
                <w:sz w:val="18"/>
                <w:szCs w:val="18"/>
              </w:rPr>
              <w:t>85%</w:t>
            </w:r>
          </w:p>
        </w:tc>
        <w:tc>
          <w:tcPr>
            <w:tcW w:w="1848" w:type="dxa"/>
            <w:shd w:val="clear" w:color="auto" w:fill="FFFFFF"/>
            <w:vAlign w:val="cente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shall provide the Service Credit Performance Monitoring Report to the Buyer. Template and delivery to be agreed in accordance with Paragraph 1</w:t>
            </w:r>
            <w:r>
              <w:rPr>
                <w:rFonts w:ascii="Arial" w:eastAsia="Arial" w:hAnsi="Arial" w:cs="Arial"/>
                <w:b/>
                <w:sz w:val="18"/>
                <w:szCs w:val="18"/>
              </w:rPr>
              <w:t xml:space="preserve"> </w:t>
            </w:r>
            <w:r>
              <w:rPr>
                <w:rFonts w:ascii="Arial" w:eastAsia="Arial" w:hAnsi="Arial" w:cs="Arial"/>
                <w:sz w:val="18"/>
                <w:szCs w:val="18"/>
              </w:rPr>
              <w:t>of Part B of this Schedule.</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Buyer shall retain the right to audit and/or conduct spot checks.</w:t>
            </w:r>
          </w:p>
        </w:tc>
        <w:tc>
          <w:tcPr>
            <w:tcW w:w="1788" w:type="dxa"/>
            <w:shd w:val="clear" w:color="auto" w:fill="FFFFFF"/>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rPr>
              <w:t>Service credits for each and every 0.2% below the Service Level Performance Measure.</w:t>
            </w:r>
          </w:p>
        </w:tc>
        <w:tc>
          <w:tcPr>
            <w:tcW w:w="993" w:type="dxa"/>
            <w:shd w:val="clear" w:color="auto" w:fill="FFFFFF"/>
          </w:tcPr>
          <w:p w:rsidR="009C31CC" w:rsidRDefault="00E97488">
            <w:pPr>
              <w:ind w:left="95"/>
              <w:rPr>
                <w:rFonts w:ascii="Arial" w:eastAsia="Arial" w:hAnsi="Arial" w:cs="Arial"/>
                <w:sz w:val="18"/>
                <w:szCs w:val="18"/>
              </w:rPr>
            </w:pPr>
            <w:r>
              <w:rPr>
                <w:rFonts w:ascii="Arial" w:eastAsia="Arial" w:hAnsi="Arial" w:cs="Arial"/>
                <w:sz w:val="18"/>
                <w:szCs w:val="18"/>
              </w:rPr>
              <w:t>Lots 1 &amp; 2</w:t>
            </w:r>
          </w:p>
          <w:p w:rsidR="009C31CC" w:rsidRDefault="009C31CC">
            <w:pPr>
              <w:ind w:left="95"/>
              <w:rPr>
                <w:rFonts w:ascii="Arial" w:eastAsia="Arial" w:hAnsi="Arial" w:cs="Arial"/>
                <w:sz w:val="18"/>
                <w:szCs w:val="18"/>
              </w:rPr>
            </w:pPr>
          </w:p>
          <w:p w:rsidR="009C31CC" w:rsidRDefault="00E97488">
            <w:pPr>
              <w:ind w:left="95"/>
              <w:rPr>
                <w:rFonts w:ascii="Arial" w:eastAsia="Arial" w:hAnsi="Arial" w:cs="Arial"/>
                <w:sz w:val="18"/>
                <w:szCs w:val="18"/>
              </w:rPr>
            </w:pPr>
            <w:r>
              <w:rPr>
                <w:rFonts w:ascii="Arial" w:eastAsia="Arial" w:hAnsi="Arial" w:cs="Arial"/>
                <w:sz w:val="18"/>
                <w:szCs w:val="18"/>
              </w:rPr>
              <w:t>Lots 3 (Where supplier has the technology)</w:t>
            </w:r>
          </w:p>
        </w:tc>
        <w:tc>
          <w:tcPr>
            <w:tcW w:w="716" w:type="dxa"/>
            <w:shd w:val="clear" w:color="auto" w:fill="FFFFFF"/>
          </w:tcPr>
          <w:p w:rsidR="009C31CC" w:rsidRDefault="00E97488">
            <w:pPr>
              <w:ind w:left="95"/>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SL2</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Telephone answering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"Core Hours - All user telephone calls shall be answered within 30 seconds by a person.</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Non-core hours - All user telephone calls shall be answered within 30 seconds by a person. Any time an answer machine and/or automated attendant model is required to play a recorded message, this is included in the 30 seconds. Answer machines and/or automated attendant model shall be kept to 1 level."</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Core hours: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90% of user calls answered within 30 seconds by a person (abandoned calls must be included in this measure).</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Non-core hours: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80% of user calls answered within 30 seconds by a person (abandoned calls must be included in this measure)."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9C31CC">
            <w:pPr>
              <w:widowControl w:val="0"/>
              <w:spacing w:line="276" w:lineRule="auto"/>
              <w:jc w:val="center"/>
              <w:rPr>
                <w:rFonts w:ascii="Arial" w:eastAsia="Arial" w:hAnsi="Arial" w:cs="Arial"/>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Core hours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60%</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Non-core hours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 (abandoned calls must be included in this measure).</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must provide a Monthly telephone report as part of the Service Credit Performance Monitoring Report. Template and delivery to be agreed in accordance with Paragraph 1 of Part B of this Schedule.</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SL3</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Webchat/live chat (website/mobile app) response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Applicable where the supplier has this functionality. Live chat response within 40 seconds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Core hours: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90% of user live chat response within 40 seconds (abandoned chat to be included in this measure)</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Non-core hours: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80% of user live chat response within 40 seconds (abandoned chat to be included in this measure)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9C31CC">
            <w:pPr>
              <w:widowControl w:val="0"/>
              <w:spacing w:line="276" w:lineRule="auto"/>
              <w:jc w:val="center"/>
              <w:rPr>
                <w:rFonts w:ascii="Arial" w:eastAsia="Arial" w:hAnsi="Arial" w:cs="Arial"/>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Core hours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60%</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Non-core hours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 The supplier to have in place a mechanism to report the response times including those who abandoned the queue</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Lots 1 - 3 (Where supplier has the technology)</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SL4</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Booking completion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shall as a minimum meet the following booking completion times: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Online bookings shall be completed instantly.</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Offline phone bookings shall be completed while the Booker is on the phone (unless requested otherwise by the Booker). Where this isn’t practicable (for example if third party suppliers need to be contacted) bookings should be completed within 24 hours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This also applies to email bookings but excludes group air, rail and accommodation bookings.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"100% of online bookings to be completed and confirmed instantly. Exceptions are transactions that don’t have live availability/inventory.</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95% of offline phone bookings, exceptional online bookings (as per above) and email bookings, itineraries to be confirmed to Traveller and/or booked within 2 hours, allowing 4 hours for long haul (6+ hours) and multi sector (4+ sector) itineraries. This excludes emergency bookings, where immediate confirmation is required."</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90% of online bookings</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85% of offline bookings</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 Booking system data should contain log time and completion time of booking.</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50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Lots 1 &amp; 2</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Lots 3 (Where supplier has the technology for online element, refer to SL4.1)</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SL4.1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Group / Venue Booking completion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shall as a minimum meet the following booking completion times: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Email bookings shall be responded to within 2 hours confirming an agent is assigned to this booking and are actioning the booking request. The agent shall provide an anticipated timeline to the Booker for completion of the booking.</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Offline phone bookings shall be followed by an email to the Booker confirming their request per the discussion on the phone and that the agent is actioning their booking.</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Bookings should be completed within 24 hours. Where this is not practical (for example bookings that require a response from a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 and/or a large and/or complex event) a time scale shall be agreed between the Buyer and Supplier.</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95% of group bookings responded to following a phone booking, or email booking, within 2 hours.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90% of group bookings completed within 24 hours. This excludes bookings where a response from a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 is required.</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80% of group bookings within 2 hours.</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75% of group bookings within 24 hours.</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Booking system data should contain log time and completion time of booking.</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50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3</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SL5</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Venue Find</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shall provide quarterly written dashboard information of the additional benefits they have provided:</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number of bookings where the Supplier's more preferential CCS Standard Terms and Conditions have been provided compared to venues own</w:t>
            </w:r>
          </w:p>
          <w:p w:rsidR="009C31CC" w:rsidRDefault="00E97488">
            <w:pPr>
              <w:widowControl w:val="0"/>
              <w:rPr>
                <w:rFonts w:ascii="Arial" w:eastAsia="Arial" w:hAnsi="Arial" w:cs="Arial"/>
                <w:sz w:val="18"/>
                <w:szCs w:val="18"/>
              </w:rPr>
            </w:pPr>
            <w:r>
              <w:rPr>
                <w:rFonts w:ascii="Arial" w:eastAsia="Arial" w:hAnsi="Arial" w:cs="Arial"/>
                <w:sz w:val="18"/>
                <w:szCs w:val="18"/>
              </w:rPr>
              <w:t xml:space="preserve">*where the venues own terms were used, details of additional benefits and discounts that were negotiated for those venues </w:t>
            </w:r>
          </w:p>
          <w:p w:rsidR="009C31CC" w:rsidRDefault="00E97488">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  details of additional % discounts negotiated for each venue booking when applicable (any key stats that can be quantifiably provided would be an advantage) </w:t>
            </w:r>
            <w:proofErr w:type="spellStart"/>
            <w:r>
              <w:rPr>
                <w:rFonts w:ascii="Arial" w:eastAsia="Arial" w:hAnsi="Arial" w:cs="Arial"/>
                <w:sz w:val="18"/>
                <w:szCs w:val="18"/>
              </w:rPr>
              <w:t>ie</w:t>
            </w:r>
            <w:proofErr w:type="spellEnd"/>
            <w:r>
              <w:rPr>
                <w:rFonts w:ascii="Arial" w:eastAsia="Arial" w:hAnsi="Arial" w:cs="Arial"/>
                <w:sz w:val="18"/>
                <w:szCs w:val="18"/>
              </w:rPr>
              <w:t xml:space="preserve"> discount of 10% which equated to x costing.</w:t>
            </w:r>
          </w:p>
          <w:p w:rsidR="009C31CC" w:rsidRDefault="00E97488">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continuous improvement, innovation and how further benefits could be obtained by the customer i.e. analysis of key trends data and actions taken, processes to improve VFM or enhanced customer service and ways of working.</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99% accuracy and completeness of all data</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 Service credits for non-receipt of data on time.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Lots 1 &amp; 3</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SL6</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 Response times and Complaints Management</w:t>
            </w: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 Ratio of complaints against bookings made</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 Complaints management: The Supplier shall acknowledge all contact (including but not limited to emails/calls/voice mail/mobile apps/live web chat) regarding risks, issues, concerns, questions and complaints in relation to the Services within four (4) business hours of receipt and resolve them satisfactorily.</w:t>
            </w: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Number of upheld complaints against the Supplier performance should not exceed</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0.3%</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 the total bookings made. Note: this will not include complaints against third party providers.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"Minimum</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98%</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 contact acknowledged within 4 business hours of receipt (automated acknowledgement emails/chatbot do not count as a response).</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 Updates on how the Supplier is proactively working to seek a resolution shall be provided to the Buyer at intervals of 2 Working Days, until a satisfactory resolution has been agreed which is mutually acceptable to both parties.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2) 97% of complaints and issues to be resolved within 3 Working Days unless referred to a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3) If a complaint/issue is referred to a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 these to be:</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 resolved within</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14 Working Days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or</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 an update provided every</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4 Working Days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until a satisfactory conclusion is reached. If the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 is a provider of choice of the Supplier (including but not limited to a courier service or a visa service), the complaint measurements listed above in point 2) apply.</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Number of upheld complaints against the Supplier shall not exceed</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0.3%</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 total bookings made aggregated across all transaction types"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90%</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of contact acknowledged within 4 hours of receipt</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 xml:space="preserve">80% of complaints and issues to be resolved within 3 working days unless referred to a </w:t>
            </w:r>
            <w:proofErr w:type="gramStart"/>
            <w:r>
              <w:rPr>
                <w:rFonts w:ascii="Arial" w:eastAsia="Arial" w:hAnsi="Arial" w:cs="Arial"/>
                <w:sz w:val="18"/>
                <w:szCs w:val="18"/>
              </w:rPr>
              <w:t>third party</w:t>
            </w:r>
            <w:proofErr w:type="gramEnd"/>
            <w:r>
              <w:rPr>
                <w:rFonts w:ascii="Arial" w:eastAsia="Arial" w:hAnsi="Arial" w:cs="Arial"/>
                <w:sz w:val="18"/>
                <w:szCs w:val="18"/>
              </w:rPr>
              <w:t xml:space="preserve"> supplier</w:t>
            </w: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60 days</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2%</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for each and every 0.2% below the Service Level Performance Measure.</w:t>
            </w: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for every 0.02% above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SL7</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Price Match</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price match requests must be dealt with as per the specification.</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must report all successful price match requests. Supplier shall not exceed more than 5</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successful price-match requests per Month across all Call-Off Contracts.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25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30 Service Credits per successful price match after the 6th successful price match.</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SL8</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Call Backs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In the event that the Supplier is required to call back a user, they must do so within 2 business hours. If they are unable to reach the user they must follow up with another form of communication i.e. email or text.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99% of call backs within 2 business hours.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  Service Credits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SL9</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Visa/ Passports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shall alert each Traveller to any passport and visa requirements at the time of booking</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shall be responsible for the provision of all necessary forms and the processing of applications, which will be checked for accuracy and completeness upon receipt.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Zero Buyer complaints regarding Supplier failure to provide Visa or Passport information to a Traveller on purchase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30 Service Credits per failure or credits to the value of the missed travel if Traveller is unable to travel due to visa or passport requirements.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 2</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SL10</w:t>
            </w:r>
          </w:p>
        </w:tc>
        <w:tc>
          <w:tcPr>
            <w:tcW w:w="1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Refunds</w:t>
            </w:r>
          </w:p>
        </w:tc>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Applicable to:</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 Refunds for unused rail tickets (including unprinted tickets) and airline tickets which have been returned to the Supplier.</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 Refunds for uncollected rail tickets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 Refunds for cancellations of prepaid hotel bookings</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100% credited to Traveller's cost centre within 1 Month of date of intended travel and/or</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100% credited to Traveller's cost centre within 1 Month of ticket expiry date</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  (This excludes when payment </w:t>
            </w:r>
            <w:proofErr w:type="gramStart"/>
            <w:r>
              <w:rPr>
                <w:rFonts w:ascii="Arial" w:eastAsia="Arial" w:hAnsi="Arial" w:cs="Arial"/>
                <w:sz w:val="18"/>
                <w:szCs w:val="18"/>
              </w:rPr>
              <w:t>are</w:t>
            </w:r>
            <w:proofErr w:type="gramEnd"/>
            <w:r>
              <w:rPr>
                <w:rFonts w:ascii="Arial" w:eastAsia="Arial" w:hAnsi="Arial" w:cs="Arial"/>
                <w:sz w:val="18"/>
                <w:szCs w:val="18"/>
              </w:rPr>
              <w:t xml:space="preserve"> dependable by 3rd parties)</w:t>
            </w:r>
          </w:p>
        </w:tc>
        <w:tc>
          <w:tcPr>
            <w:tcW w:w="1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90%</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 xml:space="preserve">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 xml:space="preserve">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 xml:space="preserve"> </w:t>
            </w: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 xml:space="preserve">  90%</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for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Quality Control</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ensure accuracy of travel documentation and invoicing. Subject to audit, Supplier must meet a 98% accuracy rating.</w:t>
            </w:r>
          </w:p>
          <w:p w:rsidR="009C31CC" w:rsidRDefault="009C31CC">
            <w:pPr>
              <w:widowControl w:val="0"/>
              <w:spacing w:line="276" w:lineRule="auto"/>
              <w:rPr>
                <w:rFonts w:ascii="Arial" w:eastAsia="Arial" w:hAnsi="Arial" w:cs="Arial"/>
                <w:sz w:val="18"/>
                <w:szCs w:val="18"/>
              </w:rPr>
            </w:pP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98% accuracy rating</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Buyer complaints or issues reported due to this should be reviewed Monthly.</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10 Service Credits per inaccurate travel documentation and/or recording of transaction.</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SL12</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Satisfaction Survey</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conduct user satisfaction survey to review/measure user service performance in the following areas/points:</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Annual Buyer Traveller Satisfaction Survey and an Electronic Spot Buyer Traveller Satisfaction Survey:</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xml:space="preserve">measures general satisfaction, responsiveness of consultants to special requests, solutions to travelling </w:t>
            </w:r>
            <w:proofErr w:type="spellStart"/>
            <w:r>
              <w:rPr>
                <w:rFonts w:ascii="Arial" w:eastAsia="Arial" w:hAnsi="Arial" w:cs="Arial"/>
                <w:sz w:val="18"/>
                <w:szCs w:val="18"/>
              </w:rPr>
              <w:t>pax</w:t>
            </w:r>
            <w:proofErr w:type="spellEnd"/>
            <w:r>
              <w:rPr>
                <w:rFonts w:ascii="Arial" w:eastAsia="Arial" w:hAnsi="Arial" w:cs="Arial"/>
                <w:sz w:val="18"/>
                <w:szCs w:val="18"/>
              </w:rPr>
              <w:t xml:space="preserve">, expertise of consultants, </w:t>
            </w:r>
            <w:proofErr w:type="spellStart"/>
            <w:r>
              <w:rPr>
                <w:rFonts w:ascii="Arial" w:eastAsia="Arial" w:hAnsi="Arial" w:cs="Arial"/>
                <w:sz w:val="18"/>
                <w:szCs w:val="18"/>
              </w:rPr>
              <w:t>VfM</w:t>
            </w:r>
            <w:proofErr w:type="spellEnd"/>
            <w:r>
              <w:rPr>
                <w:rFonts w:ascii="Arial" w:eastAsia="Arial" w:hAnsi="Arial" w:cs="Arial"/>
                <w:sz w:val="18"/>
                <w:szCs w:val="18"/>
              </w:rPr>
              <w:t>.</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Frequency of survey to be determined by the Buyer to a maximum of four surveys annually. Results to be shared with Buyer in a timely manner.</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Buyer’s survey needs to score a minimum average of 7.0 on a scale of 10 (1=Very Dissatisfied and 10=Very Satisfied).</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Annual Buyer Traveller Satisfaction Survey to be conducted for Travellers, travel managers annually and travel arrangers needs to score a minimum average of 7.0 on a scale of 10 (1=Very Dissatisfied and 10=Very Satisfied).</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Electronic Spot Buyer Traveller Satisfaction Survey to be shared after a Traveller booking (frequency to be agreed during implementation/call-off contract management).</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send at least 2 reminders per survey to the Travellers.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w:t>
            </w: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9C31CC">
            <w:pPr>
              <w:widowControl w:val="0"/>
              <w:spacing w:line="276" w:lineRule="auto"/>
              <w:jc w:val="center"/>
              <w:rPr>
                <w:rFonts w:ascii="Arial" w:eastAsia="Arial" w:hAnsi="Arial" w:cs="Arial"/>
                <w:sz w:val="18"/>
                <w:szCs w:val="18"/>
              </w:rPr>
            </w:pPr>
          </w:p>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Successful delivery of areas/points to be evidenced at review meetings by Supplier (e.g. in form of a presentation covering every point listed).</w:t>
            </w:r>
          </w:p>
          <w:p w:rsidR="009C31CC" w:rsidRDefault="009C31CC">
            <w:pPr>
              <w:widowControl w:val="0"/>
              <w:spacing w:line="276" w:lineRule="auto"/>
              <w:rPr>
                <w:rFonts w:ascii="Arial" w:eastAsia="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250 Service Credits for achieving 0-3.9 and</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150 Service credits for achieving 4-6.9 per survey on failing to achieve the Service Level Performance Measure on individual Buyer level.</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Buyer reserves the right to implement an improvement plan Call-Off Schedule 3 (Continuous Improvement) - based on the results.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SL13</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Lowest Fare Option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lowest logical fare as per travel policy must always be offered in offline bookings whether accepted or not.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Zero complaints on non-compliance with the offline quotation policy to be followed by the Supplier and agreed during implementation.</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Complaints report (frequency to be determined at implementation)</w:t>
            </w:r>
          </w:p>
          <w:p w:rsidR="009C31CC" w:rsidRDefault="009C31CC">
            <w:pPr>
              <w:widowControl w:val="0"/>
              <w:spacing w:line="276" w:lineRule="auto"/>
              <w:rPr>
                <w:rFonts w:ascii="Arial" w:eastAsia="Arial" w:hAnsi="Arial" w:cs="Arial"/>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Buyer reserves the right to audit and spot check the offline booking solutions.</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verified complaint</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SL14</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Reconciliation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Completion of reconciliation requireme</w:t>
            </w:r>
            <w:r>
              <w:rPr>
                <w:rFonts w:ascii="Arial" w:eastAsia="Arial" w:hAnsi="Arial" w:cs="Arial"/>
                <w:color w:val="434343"/>
                <w:sz w:val="18"/>
                <w:szCs w:val="18"/>
              </w:rPr>
              <w:t>nt as detailed at Paragraph 6.239 of Framework Schedule 1 Specification,</w:t>
            </w:r>
            <w:r>
              <w:rPr>
                <w:rFonts w:ascii="Arial" w:eastAsia="Arial" w:hAnsi="Arial" w:cs="Arial"/>
                <w:b/>
                <w:sz w:val="18"/>
                <w:szCs w:val="18"/>
              </w:rPr>
              <w:t xml:space="preserve"> </w:t>
            </w:r>
            <w:r>
              <w:rPr>
                <w:rFonts w:ascii="Arial" w:eastAsia="Arial" w:hAnsi="Arial" w:cs="Arial"/>
                <w:sz w:val="18"/>
                <w:szCs w:val="18"/>
              </w:rPr>
              <w:t>each Month (MoD specific)</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98% of unmatched transactions sent by the Buyer to be matched by the 20th of every Month</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30 Service Credits for every 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SL15</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Management Information and Data Reporting</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Accurate and complete Management</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Information shall be delivered to the</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Buyer in the agreed timescales.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99% availability of data to the Customer, regardless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of mode of delivery.</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 Service credits for non-receipt of data on time.</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10 credits for inaccuracy and/or incompleteness of data if data hasn’t been corrected within 5 days of Buyer notifying Supplier of inaccuracy and/or incompleteness.</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If data is not corrected after these 5 working days, another 5 credits will be applied for every 3 days.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SL16</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24/7/365 (366 on a leap year) contact support</w:t>
            </w:r>
          </w:p>
          <w:p w:rsidR="009C31CC" w:rsidRDefault="00E97488">
            <w:pPr>
              <w:widowControl w:val="0"/>
              <w:spacing w:line="276" w:lineRule="auto"/>
              <w:rPr>
                <w:rFonts w:ascii="Arial" w:eastAsia="Arial" w:hAnsi="Arial" w:cs="Arial"/>
                <w:b/>
                <w:sz w:val="18"/>
                <w:szCs w:val="18"/>
              </w:rPr>
            </w:pPr>
            <w:r>
              <w:rPr>
                <w:rFonts w:ascii="Arial" w:eastAsia="Arial" w:hAnsi="Arial" w:cs="Arial"/>
                <w:sz w:val="18"/>
                <w:szCs w:val="18"/>
              </w:rPr>
              <w:t>(refer to 6.306.1</w:t>
            </w:r>
            <w:r>
              <w:rPr>
                <w:rFonts w:ascii="Arial" w:eastAsia="Arial" w:hAnsi="Arial" w:cs="Arial"/>
                <w:b/>
                <w:color w:val="FF0000"/>
                <w:sz w:val="18"/>
                <w:szCs w:val="18"/>
              </w:rPr>
              <w:t xml:space="preserve"> </w:t>
            </w:r>
            <w:r>
              <w:rPr>
                <w:rFonts w:ascii="Arial" w:eastAsia="Arial" w:hAnsi="Arial" w:cs="Arial"/>
                <w:color w:val="434343"/>
                <w:sz w:val="18"/>
                <w:szCs w:val="18"/>
              </w:rPr>
              <w:t>of Framework Schedule 1 Specification</w:t>
            </w:r>
            <w:r>
              <w:rPr>
                <w:rFonts w:ascii="Arial" w:eastAsia="Arial" w:hAnsi="Arial" w:cs="Arial"/>
                <w:b/>
                <w:sz w:val="18"/>
                <w:szCs w:val="18"/>
              </w:rPr>
              <w:t>)</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The supplier to provide a 24/7/365 (366 in a leap year) support. Where via electronic communications (excl. Direct telephone calls), the supplier to respond within 1</w:t>
            </w:r>
            <w:r>
              <w:rPr>
                <w:rFonts w:ascii="Arial" w:eastAsia="Arial" w:hAnsi="Arial" w:cs="Arial"/>
                <w:color w:val="FF0000"/>
                <w:sz w:val="18"/>
                <w:szCs w:val="18"/>
              </w:rPr>
              <w:t xml:space="preserve"> </w:t>
            </w:r>
            <w:r>
              <w:rPr>
                <w:rFonts w:ascii="Arial" w:eastAsia="Arial" w:hAnsi="Arial" w:cs="Arial"/>
                <w:sz w:val="18"/>
                <w:szCs w:val="18"/>
              </w:rPr>
              <w:t>hr of receipt]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SL17</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Venue Find Options (refer to 6.306.3 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provide Buyer with a number of venue options every 2 hrs (unless otherwise instructed by the Buyer) until instructed by the Buyer or the Authority to stop.</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75%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30 Service credits for non-receipt of data on time.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SL18</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Venue Find Options (refer to 6.308 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provide all necessary paperwork and information for the Buyers chosen venue within 48 hours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75%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30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SL19</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b/>
                <w:sz w:val="18"/>
                <w:szCs w:val="18"/>
              </w:rPr>
            </w:pPr>
            <w:r>
              <w:rPr>
                <w:rFonts w:ascii="Arial" w:eastAsia="Arial" w:hAnsi="Arial" w:cs="Arial"/>
                <w:sz w:val="18"/>
                <w:szCs w:val="18"/>
              </w:rPr>
              <w:t>Complaints/Feedback</w:t>
            </w:r>
            <w:r>
              <w:rPr>
                <w:rFonts w:ascii="Arial" w:eastAsia="Arial" w:hAnsi="Arial" w:cs="Arial"/>
                <w:color w:val="FF0000"/>
                <w:sz w:val="18"/>
                <w:szCs w:val="18"/>
              </w:rPr>
              <w:t xml:space="preserve"> </w:t>
            </w:r>
            <w:r>
              <w:rPr>
                <w:rFonts w:ascii="Arial" w:eastAsia="Arial" w:hAnsi="Arial" w:cs="Arial"/>
                <w:sz w:val="18"/>
                <w:szCs w:val="18"/>
              </w:rPr>
              <w:t>(refer to 6.398</w:t>
            </w:r>
            <w:r>
              <w:rPr>
                <w:rFonts w:ascii="Arial" w:eastAsia="Arial" w:hAnsi="Arial" w:cs="Arial"/>
                <w:b/>
                <w:color w:val="FF0000"/>
                <w:sz w:val="18"/>
                <w:szCs w:val="18"/>
              </w:rPr>
              <w:t xml:space="preserve">  </w:t>
            </w:r>
            <w:r>
              <w:rPr>
                <w:rFonts w:ascii="Arial" w:eastAsia="Arial" w:hAnsi="Arial" w:cs="Arial"/>
                <w:sz w:val="18"/>
                <w:szCs w:val="18"/>
              </w:rPr>
              <w:t>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Supplier to provide a point of contact for service users to register Complaints to be available 24 / 7 / 365 (366 in a leap year).</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Along with a system in place for the receipt, management, resolution and/or referral of Complaints or Feedback. Where applicable.</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98%</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20</w:t>
            </w:r>
          </w:p>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highlight w:val="yellow"/>
              </w:rPr>
            </w:pPr>
            <w:r>
              <w:rPr>
                <w:rFonts w:ascii="Arial" w:eastAsia="Arial" w:hAnsi="Arial" w:cs="Arial"/>
                <w:sz w:val="18"/>
                <w:szCs w:val="18"/>
                <w:highlight w:val="yellow"/>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SL20</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[Translation]</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 to provide appropriate Translation Services as defined by the Buyer ]</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SL21</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[Ground Transportation]</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[Agreed Transportation arrangements delivered on time]</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SL22</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[Security Services]</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color w:val="0000FF"/>
                <w:sz w:val="18"/>
                <w:szCs w:val="18"/>
              </w:rPr>
            </w:pPr>
            <w:r>
              <w:rPr>
                <w:rFonts w:ascii="Arial" w:eastAsia="Arial" w:hAnsi="Arial" w:cs="Arial"/>
                <w:color w:val="0000FF"/>
                <w:sz w:val="18"/>
                <w:szCs w:val="18"/>
              </w:rPr>
              <w:t>[Personnel provided are licensed and qualified security personnel}</w:t>
            </w:r>
          </w:p>
          <w:p w:rsidR="009C31CC" w:rsidRDefault="009C31CC">
            <w:pPr>
              <w:widowControl w:val="0"/>
              <w:spacing w:line="276" w:lineRule="auto"/>
              <w:rPr>
                <w:rFonts w:ascii="Arial" w:eastAsia="Arial" w:hAnsi="Arial" w:cs="Arial"/>
                <w:color w:val="0000FF"/>
                <w:sz w:val="18"/>
                <w:szCs w:val="18"/>
              </w:rPr>
            </w:pPr>
          </w:p>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[Accommodation security internal/external meets the required standards]</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[100/98%]</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SL23</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[Welfare Services]</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[The Supplier to provide Service Users the Welfare Services as outlined in the Call Off]</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[98/95%]</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SL24</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[Food and/or Beverage]</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[The Supplier shall provide Service Users with ___ meals a day, every ___ hours as outlined by the Buyer]</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SL25</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[Social Value]</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 xml:space="preserve">[The Supplier where requested by the Buyer to evidence x training opportunities/-x job opportunities for vulnerable Civilians or Refugees within </w:t>
            </w:r>
            <w:r>
              <w:rPr>
                <w:rFonts w:ascii="Arial" w:eastAsia="Arial" w:hAnsi="Arial" w:cs="Arial"/>
                <w:color w:val="0000FF"/>
                <w:sz w:val="18"/>
                <w:szCs w:val="18"/>
                <w:u w:val="single"/>
              </w:rPr>
              <w:t xml:space="preserve">x </w:t>
            </w:r>
            <w:r>
              <w:rPr>
                <w:rFonts w:ascii="Arial" w:eastAsia="Arial" w:hAnsi="Arial" w:cs="Arial"/>
                <w:color w:val="0000FF"/>
                <w:sz w:val="18"/>
                <w:szCs w:val="18"/>
              </w:rPr>
              <w:t>timeframe}</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[95%]</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lastRenderedPageBreak/>
              <w:t>SL26</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[Social Value 1]</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r w:rsidR="009C31CC">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SL27</w:t>
            </w:r>
          </w:p>
        </w:tc>
        <w:tc>
          <w:tcPr>
            <w:tcW w:w="12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[Social Value 2]</w:t>
            </w:r>
          </w:p>
        </w:tc>
        <w:tc>
          <w:tcPr>
            <w:tcW w:w="294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 ]</w:t>
            </w:r>
          </w:p>
        </w:tc>
        <w:tc>
          <w:tcPr>
            <w:tcW w:w="255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1331"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rPr>
                <w:rFonts w:ascii="Arial" w:eastAsia="Arial" w:hAnsi="Arial" w:cs="Arial"/>
                <w:sz w:val="18"/>
                <w:szCs w:val="18"/>
              </w:rPr>
            </w:pPr>
            <w:r>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tcPr>
          <w:p w:rsidR="009C31CC" w:rsidRDefault="00E97488">
            <w:pPr>
              <w:widowControl w:val="0"/>
              <w:spacing w:line="276" w:lineRule="auto"/>
              <w:jc w:val="center"/>
              <w:rPr>
                <w:rFonts w:ascii="Arial" w:eastAsia="Arial" w:hAnsi="Arial" w:cs="Arial"/>
                <w:sz w:val="18"/>
                <w:szCs w:val="18"/>
              </w:rPr>
            </w:pPr>
            <w:r>
              <w:rPr>
                <w:rFonts w:ascii="Arial" w:eastAsia="Arial" w:hAnsi="Arial" w:cs="Arial"/>
                <w:color w:val="0000FF"/>
                <w:sz w:val="18"/>
                <w:szCs w:val="18"/>
              </w:rPr>
              <w:t>Y/N</w:t>
            </w:r>
          </w:p>
        </w:tc>
      </w:tr>
    </w:tbl>
    <w:p w:rsidR="009C31CC" w:rsidRDefault="009C31CC">
      <w:pPr>
        <w:ind w:left="709"/>
        <w:rPr>
          <w:rFonts w:ascii="Arial" w:eastAsia="Arial" w:hAnsi="Arial" w:cs="Arial"/>
          <w:sz w:val="24"/>
          <w:szCs w:val="24"/>
          <w:highlight w:val="green"/>
        </w:rPr>
      </w:pPr>
    </w:p>
    <w:p w:rsidR="009C31CC" w:rsidRDefault="00E97488">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9C31CC" w:rsidRDefault="00E97488">
      <w:pPr>
        <w:ind w:left="709"/>
        <w:rPr>
          <w:rFonts w:ascii="Arial" w:eastAsia="Arial" w:hAnsi="Arial" w:cs="Arial"/>
          <w:sz w:val="24"/>
          <w:szCs w:val="24"/>
          <w:highlight w:val="yellow"/>
        </w:rPr>
      </w:pPr>
      <w:r>
        <w:rPr>
          <w:rFonts w:ascii="Arial" w:eastAsia="Arial" w:hAnsi="Arial" w:cs="Arial"/>
          <w:sz w:val="24"/>
          <w:szCs w:val="24"/>
          <w:highlight w:val="yellow"/>
        </w:rPr>
        <w:t>[Example: The Service Credits shall be calculated on the basis of the following formula:</w:t>
      </w:r>
    </w:p>
    <w:p w:rsidR="00267720" w:rsidRPr="00267720" w:rsidRDefault="00267720">
      <w:pPr>
        <w:ind w:left="709"/>
        <w:rPr>
          <w:rFonts w:ascii="Arial" w:eastAsia="Arial" w:hAnsi="Arial" w:cs="Arial"/>
          <w:b/>
          <w:sz w:val="24"/>
          <w:szCs w:val="24"/>
          <w:highlight w:val="yellow"/>
        </w:rPr>
      </w:pPr>
      <w:r w:rsidRPr="00267720">
        <w:rPr>
          <w:rFonts w:ascii="Arial" w:eastAsia="Arial" w:hAnsi="Arial" w:cs="Arial"/>
          <w:b/>
          <w:sz w:val="24"/>
          <w:szCs w:val="24"/>
          <w:highlight w:val="yellow"/>
        </w:rPr>
        <w:t>Example 1 – 0.2% Increment</w:t>
      </w:r>
    </w:p>
    <w:p w:rsidR="009C31CC" w:rsidRPr="00267720" w:rsidRDefault="00E97488">
      <w:pPr>
        <w:spacing w:before="240" w:after="240"/>
        <w:ind w:left="-140"/>
        <w:jc w:val="both"/>
        <w:rPr>
          <w:rFonts w:ascii="Arial" w:eastAsia="Arial" w:hAnsi="Arial" w:cs="Arial"/>
          <w:sz w:val="24"/>
          <w:szCs w:val="24"/>
          <w:highlight w:val="yellow"/>
        </w:rPr>
      </w:pPr>
      <w:r w:rsidRPr="00267720">
        <w:rPr>
          <w:rFonts w:ascii="Arial" w:eastAsia="Arial" w:hAnsi="Arial" w:cs="Arial"/>
          <w:sz w:val="24"/>
          <w:szCs w:val="24"/>
          <w:highlight w:val="yellow"/>
        </w:rPr>
        <w:t>Service Credit Measurement</w:t>
      </w:r>
    </w:p>
    <w:p w:rsidR="009C31CC" w:rsidRPr="00267720" w:rsidRDefault="00E97488">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98% Service Level Performance Measurement required for response times Service Level</w:t>
      </w:r>
    </w:p>
    <w:p w:rsidR="009C31CC" w:rsidRPr="00267720" w:rsidRDefault="00E97488">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97.5% actual performance achieved against the Service Level Performance Measurement in a Service Period</w:t>
      </w:r>
    </w:p>
    <w:p w:rsidR="009C31CC" w:rsidRPr="00267720" w:rsidRDefault="00E97488">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0.5% below Service Level Performance Measurement requirement</w:t>
      </w:r>
    </w:p>
    <w:p w:rsidR="009C31CC" w:rsidRPr="00267720" w:rsidRDefault="00E97488">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t>Service Credit Calculation:</w:t>
      </w:r>
    </w:p>
    <w:p w:rsidR="009C31CC" w:rsidRPr="00267720" w:rsidRDefault="00E97488">
      <w:pPr>
        <w:numPr>
          <w:ilvl w:val="0"/>
          <w:numId w:val="1"/>
        </w:numPr>
        <w:spacing w:before="240" w:after="0"/>
        <w:rPr>
          <w:rFonts w:ascii="Arial" w:eastAsia="Arial" w:hAnsi="Arial" w:cs="Arial"/>
          <w:sz w:val="24"/>
          <w:szCs w:val="24"/>
          <w:highlight w:val="yellow"/>
        </w:rPr>
      </w:pPr>
      <w:r w:rsidRPr="00267720">
        <w:rPr>
          <w:rFonts w:ascii="Arial" w:eastAsia="Arial" w:hAnsi="Arial" w:cs="Arial"/>
          <w:sz w:val="24"/>
          <w:szCs w:val="24"/>
          <w:highlight w:val="yellow"/>
        </w:rPr>
        <w:t>20 Service Credits are applied for every 0.2% below the required Service Level</w:t>
      </w:r>
    </w:p>
    <w:p w:rsidR="009C31CC" w:rsidRPr="00267720" w:rsidRDefault="00E97488">
      <w:pPr>
        <w:numPr>
          <w:ilvl w:val="0"/>
          <w:numId w:val="1"/>
        </w:numPr>
        <w:spacing w:after="0"/>
        <w:rPr>
          <w:rFonts w:ascii="Arial" w:eastAsia="Arial" w:hAnsi="Arial" w:cs="Arial"/>
          <w:sz w:val="24"/>
          <w:szCs w:val="24"/>
          <w:highlight w:val="yellow"/>
        </w:rPr>
      </w:pPr>
      <w:r w:rsidRPr="00267720">
        <w:rPr>
          <w:rFonts w:ascii="Arial" w:eastAsia="Arial" w:hAnsi="Arial" w:cs="Arial"/>
          <w:sz w:val="24"/>
          <w:szCs w:val="24"/>
          <w:highlight w:val="yellow"/>
        </w:rPr>
        <w:t>The Service Level Performance Measurement increment is 0.2%</w:t>
      </w:r>
    </w:p>
    <w:p w:rsidR="009C31CC" w:rsidRPr="00267720" w:rsidRDefault="00E97488">
      <w:pPr>
        <w:numPr>
          <w:ilvl w:val="0"/>
          <w:numId w:val="1"/>
        </w:numPr>
        <w:spacing w:after="240"/>
        <w:rPr>
          <w:rFonts w:ascii="Arial" w:eastAsia="Arial" w:hAnsi="Arial" w:cs="Arial"/>
          <w:sz w:val="24"/>
          <w:szCs w:val="24"/>
          <w:highlight w:val="yellow"/>
        </w:rPr>
      </w:pPr>
      <w:r w:rsidRPr="00267720">
        <w:rPr>
          <w:rFonts w:ascii="Arial" w:eastAsia="Arial" w:hAnsi="Arial" w:cs="Arial"/>
          <w:sz w:val="24"/>
          <w:szCs w:val="24"/>
          <w:highlight w:val="yellow"/>
        </w:rPr>
        <w:t>The 0.1% remainder is not included in this calculation</w:t>
      </w:r>
    </w:p>
    <w:p w:rsidR="009C31CC" w:rsidRPr="00267720" w:rsidRDefault="00E97488" w:rsidP="0013163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lastRenderedPageBreak/>
        <w:t>Therefore: The applicable Service Credit represents 0.2% x 2 = 0.4%, which equals 40 Service Credits or £40.00</w:t>
      </w:r>
    </w:p>
    <w:p w:rsidR="009C31CC" w:rsidRPr="00267720" w:rsidRDefault="00865663" w:rsidP="0026772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t xml:space="preserve">Example 2 </w:t>
      </w:r>
      <w:r w:rsidR="00267720" w:rsidRPr="00267720">
        <w:rPr>
          <w:rFonts w:ascii="Arial" w:eastAsia="Arial" w:hAnsi="Arial" w:cs="Arial"/>
          <w:sz w:val="24"/>
          <w:szCs w:val="24"/>
          <w:highlight w:val="yellow"/>
        </w:rPr>
        <w:t>–</w:t>
      </w:r>
      <w:r w:rsidRPr="00267720">
        <w:rPr>
          <w:rFonts w:ascii="Arial" w:eastAsia="Arial" w:hAnsi="Arial" w:cs="Arial"/>
          <w:sz w:val="24"/>
          <w:szCs w:val="24"/>
          <w:highlight w:val="yellow"/>
        </w:rPr>
        <w:t xml:space="preserve"> </w:t>
      </w:r>
      <w:r w:rsidR="00267720" w:rsidRPr="00267720">
        <w:rPr>
          <w:rFonts w:ascii="Arial" w:eastAsia="Arial" w:hAnsi="Arial" w:cs="Arial"/>
          <w:sz w:val="24"/>
          <w:szCs w:val="24"/>
          <w:highlight w:val="yellow"/>
        </w:rPr>
        <w:t>0.1% Increment</w:t>
      </w:r>
    </w:p>
    <w:p w:rsidR="00267720" w:rsidRPr="00267720" w:rsidRDefault="00267720" w:rsidP="00267720">
      <w:pPr>
        <w:spacing w:before="240" w:after="240"/>
        <w:ind w:left="-14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Service Credit Measurement</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9</w:t>
      </w:r>
      <w:r w:rsidRPr="00267720">
        <w:rPr>
          <w:rFonts w:ascii="Arial" w:eastAsia="Arial" w:hAnsi="Arial" w:cs="Arial"/>
          <w:sz w:val="24"/>
          <w:szCs w:val="24"/>
          <w:highlight w:val="yellow"/>
        </w:rPr>
        <w:t>5</w:t>
      </w:r>
      <w:r w:rsidRPr="00267720">
        <w:rPr>
          <w:rFonts w:ascii="Arial" w:eastAsia="Arial" w:hAnsi="Arial" w:cs="Arial"/>
          <w:sz w:val="24"/>
          <w:szCs w:val="24"/>
          <w:highlight w:val="yellow"/>
        </w:rPr>
        <w:t>% Service Level Performance Measurement required for response times Service Level</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9</w:t>
      </w:r>
      <w:r w:rsidRPr="00267720">
        <w:rPr>
          <w:rFonts w:ascii="Arial" w:eastAsia="Arial" w:hAnsi="Arial" w:cs="Arial"/>
          <w:sz w:val="24"/>
          <w:szCs w:val="24"/>
          <w:highlight w:val="yellow"/>
        </w:rPr>
        <w:t>4.7</w:t>
      </w:r>
      <w:r w:rsidRPr="00267720">
        <w:rPr>
          <w:rFonts w:ascii="Arial" w:eastAsia="Arial" w:hAnsi="Arial" w:cs="Arial"/>
          <w:sz w:val="24"/>
          <w:szCs w:val="24"/>
          <w:highlight w:val="yellow"/>
        </w:rPr>
        <w:t>% actual performance achieved against the Service Level Performance Measurement in a Service Period</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0.</w:t>
      </w:r>
      <w:r w:rsidRPr="00267720">
        <w:rPr>
          <w:rFonts w:ascii="Arial" w:eastAsia="Arial" w:hAnsi="Arial" w:cs="Arial"/>
          <w:sz w:val="24"/>
          <w:szCs w:val="24"/>
          <w:highlight w:val="yellow"/>
        </w:rPr>
        <w:t>3</w:t>
      </w:r>
      <w:r w:rsidRPr="00267720">
        <w:rPr>
          <w:rFonts w:ascii="Arial" w:eastAsia="Arial" w:hAnsi="Arial" w:cs="Arial"/>
          <w:sz w:val="24"/>
          <w:szCs w:val="24"/>
          <w:highlight w:val="yellow"/>
        </w:rPr>
        <w:t>% below Service Level Performance Measurement requirement</w:t>
      </w:r>
    </w:p>
    <w:p w:rsidR="00267720" w:rsidRPr="00267720" w:rsidRDefault="00267720" w:rsidP="0026772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t>Service Credit Calculation:</w:t>
      </w:r>
    </w:p>
    <w:p w:rsidR="00267720" w:rsidRPr="00267720" w:rsidRDefault="00267720" w:rsidP="00267720">
      <w:pPr>
        <w:pStyle w:val="ListParagraph"/>
        <w:numPr>
          <w:ilvl w:val="0"/>
          <w:numId w:val="6"/>
        </w:numPr>
        <w:spacing w:after="0"/>
        <w:jc w:val="both"/>
        <w:rPr>
          <w:rFonts w:ascii="Arial" w:eastAsia="Arial" w:hAnsi="Arial" w:cs="Arial"/>
          <w:sz w:val="24"/>
          <w:szCs w:val="24"/>
          <w:highlight w:val="yellow"/>
        </w:rPr>
      </w:pPr>
      <w:r w:rsidRPr="00267720">
        <w:rPr>
          <w:rFonts w:ascii="Arial" w:eastAsia="Arial" w:hAnsi="Arial" w:cs="Arial"/>
          <w:sz w:val="24"/>
          <w:szCs w:val="24"/>
          <w:highlight w:val="yellow"/>
        </w:rPr>
        <w:t>2</w:t>
      </w:r>
      <w:r w:rsidRPr="00267720">
        <w:rPr>
          <w:rFonts w:ascii="Arial" w:eastAsia="Arial" w:hAnsi="Arial" w:cs="Arial"/>
          <w:sz w:val="24"/>
          <w:szCs w:val="24"/>
          <w:highlight w:val="yellow"/>
        </w:rPr>
        <w:t>0 Service Credits are applied for every 0.</w:t>
      </w:r>
      <w:r w:rsidRPr="00267720">
        <w:rPr>
          <w:rFonts w:ascii="Arial" w:eastAsia="Arial" w:hAnsi="Arial" w:cs="Arial"/>
          <w:sz w:val="24"/>
          <w:szCs w:val="24"/>
          <w:highlight w:val="yellow"/>
        </w:rPr>
        <w:t>1</w:t>
      </w:r>
      <w:r w:rsidRPr="00267720">
        <w:rPr>
          <w:rFonts w:ascii="Arial" w:eastAsia="Arial" w:hAnsi="Arial" w:cs="Arial"/>
          <w:sz w:val="24"/>
          <w:szCs w:val="24"/>
          <w:highlight w:val="yellow"/>
        </w:rPr>
        <w:t>% below the required Service Level</w:t>
      </w:r>
    </w:p>
    <w:p w:rsidR="00267720" w:rsidRPr="00267720" w:rsidRDefault="00267720" w:rsidP="00267720">
      <w:pPr>
        <w:pStyle w:val="ListParagraph"/>
        <w:numPr>
          <w:ilvl w:val="0"/>
          <w:numId w:val="6"/>
        </w:numPr>
        <w:spacing w:after="0"/>
        <w:jc w:val="both"/>
        <w:rPr>
          <w:rFonts w:ascii="Arial" w:eastAsia="Arial" w:hAnsi="Arial" w:cs="Arial"/>
          <w:sz w:val="24"/>
          <w:szCs w:val="24"/>
          <w:highlight w:val="yellow"/>
        </w:rPr>
      </w:pPr>
      <w:r w:rsidRPr="00267720">
        <w:rPr>
          <w:rFonts w:ascii="Arial" w:eastAsia="Arial" w:hAnsi="Arial" w:cs="Arial"/>
          <w:sz w:val="24"/>
          <w:szCs w:val="24"/>
          <w:highlight w:val="yellow"/>
        </w:rPr>
        <w:t>The Service Level Performance Measurement increment is 0.</w:t>
      </w:r>
      <w:r w:rsidRPr="00267720">
        <w:rPr>
          <w:rFonts w:ascii="Arial" w:eastAsia="Arial" w:hAnsi="Arial" w:cs="Arial"/>
          <w:sz w:val="24"/>
          <w:szCs w:val="24"/>
          <w:highlight w:val="yellow"/>
        </w:rPr>
        <w:t>3</w:t>
      </w:r>
      <w:r w:rsidRPr="00267720">
        <w:rPr>
          <w:rFonts w:ascii="Arial" w:eastAsia="Arial" w:hAnsi="Arial" w:cs="Arial"/>
          <w:sz w:val="24"/>
          <w:szCs w:val="24"/>
          <w:highlight w:val="yellow"/>
        </w:rPr>
        <w:t>%</w:t>
      </w:r>
    </w:p>
    <w:p w:rsidR="00267720" w:rsidRPr="00267720" w:rsidRDefault="00267720" w:rsidP="00267720">
      <w:pPr>
        <w:pStyle w:val="ListParagraph"/>
        <w:numPr>
          <w:ilvl w:val="0"/>
          <w:numId w:val="6"/>
        </w:numPr>
        <w:spacing w:after="0"/>
        <w:jc w:val="both"/>
        <w:rPr>
          <w:rFonts w:ascii="Arial" w:eastAsia="Arial" w:hAnsi="Arial" w:cs="Arial"/>
          <w:sz w:val="24"/>
          <w:szCs w:val="24"/>
          <w:highlight w:val="yellow"/>
        </w:rPr>
      </w:pPr>
      <w:r w:rsidRPr="00267720">
        <w:rPr>
          <w:rFonts w:ascii="Arial" w:eastAsia="Arial" w:hAnsi="Arial" w:cs="Arial"/>
          <w:sz w:val="24"/>
          <w:szCs w:val="24"/>
          <w:highlight w:val="yellow"/>
        </w:rPr>
        <w:t>Note: There is no remainder in this case.</w:t>
      </w:r>
    </w:p>
    <w:p w:rsidR="00267720" w:rsidRPr="00267720" w:rsidRDefault="00267720" w:rsidP="0026772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t>Therefore: The applicable Service Credit represents 0.</w:t>
      </w:r>
      <w:r w:rsidRPr="00267720">
        <w:rPr>
          <w:rFonts w:ascii="Arial" w:eastAsia="Arial" w:hAnsi="Arial" w:cs="Arial"/>
          <w:sz w:val="24"/>
          <w:szCs w:val="24"/>
          <w:highlight w:val="yellow"/>
        </w:rPr>
        <w:t>1</w:t>
      </w:r>
      <w:r w:rsidRPr="00267720">
        <w:rPr>
          <w:rFonts w:ascii="Arial" w:eastAsia="Arial" w:hAnsi="Arial" w:cs="Arial"/>
          <w:sz w:val="24"/>
          <w:szCs w:val="24"/>
          <w:highlight w:val="yellow"/>
        </w:rPr>
        <w:t xml:space="preserve">% x </w:t>
      </w:r>
      <w:r w:rsidRPr="00267720">
        <w:rPr>
          <w:rFonts w:ascii="Arial" w:eastAsia="Arial" w:hAnsi="Arial" w:cs="Arial"/>
          <w:sz w:val="24"/>
          <w:szCs w:val="24"/>
          <w:highlight w:val="yellow"/>
        </w:rPr>
        <w:t>3</w:t>
      </w:r>
      <w:r w:rsidRPr="00267720">
        <w:rPr>
          <w:rFonts w:ascii="Arial" w:eastAsia="Arial" w:hAnsi="Arial" w:cs="Arial"/>
          <w:sz w:val="24"/>
          <w:szCs w:val="24"/>
          <w:highlight w:val="yellow"/>
        </w:rPr>
        <w:t xml:space="preserve"> = 0.</w:t>
      </w:r>
      <w:r w:rsidRPr="00267720">
        <w:rPr>
          <w:rFonts w:ascii="Arial" w:eastAsia="Arial" w:hAnsi="Arial" w:cs="Arial"/>
          <w:sz w:val="24"/>
          <w:szCs w:val="24"/>
          <w:highlight w:val="yellow"/>
        </w:rPr>
        <w:t>3</w:t>
      </w:r>
      <w:r w:rsidRPr="00267720">
        <w:rPr>
          <w:rFonts w:ascii="Arial" w:eastAsia="Arial" w:hAnsi="Arial" w:cs="Arial"/>
          <w:sz w:val="24"/>
          <w:szCs w:val="24"/>
          <w:highlight w:val="yellow"/>
        </w:rPr>
        <w:t xml:space="preserve">%, which equals </w:t>
      </w:r>
      <w:r w:rsidRPr="00267720">
        <w:rPr>
          <w:rFonts w:ascii="Arial" w:eastAsia="Arial" w:hAnsi="Arial" w:cs="Arial"/>
          <w:sz w:val="24"/>
          <w:szCs w:val="24"/>
          <w:highlight w:val="yellow"/>
        </w:rPr>
        <w:t>60</w:t>
      </w:r>
      <w:r w:rsidRPr="00267720">
        <w:rPr>
          <w:rFonts w:ascii="Arial" w:eastAsia="Arial" w:hAnsi="Arial" w:cs="Arial"/>
          <w:sz w:val="24"/>
          <w:szCs w:val="24"/>
          <w:highlight w:val="yellow"/>
        </w:rPr>
        <w:t xml:space="preserve"> Service Credits or £</w:t>
      </w:r>
      <w:r w:rsidRPr="00267720">
        <w:rPr>
          <w:rFonts w:ascii="Arial" w:eastAsia="Arial" w:hAnsi="Arial" w:cs="Arial"/>
          <w:sz w:val="24"/>
          <w:szCs w:val="24"/>
          <w:highlight w:val="yellow"/>
        </w:rPr>
        <w:t>6</w:t>
      </w:r>
      <w:r w:rsidRPr="00267720">
        <w:rPr>
          <w:rFonts w:ascii="Arial" w:eastAsia="Arial" w:hAnsi="Arial" w:cs="Arial"/>
          <w:sz w:val="24"/>
          <w:szCs w:val="24"/>
          <w:highlight w:val="yellow"/>
        </w:rPr>
        <w:t>0.00</w:t>
      </w:r>
    </w:p>
    <w:p w:rsidR="00267720" w:rsidRPr="00267720" w:rsidRDefault="00267720" w:rsidP="00267720">
      <w:pPr>
        <w:spacing w:after="0"/>
        <w:ind w:left="700" w:hanging="420"/>
        <w:jc w:val="both"/>
        <w:rPr>
          <w:rFonts w:ascii="Arial" w:eastAsia="Arial" w:hAnsi="Arial" w:cs="Arial"/>
          <w:sz w:val="24"/>
          <w:szCs w:val="24"/>
          <w:highlight w:val="yellow"/>
        </w:rPr>
      </w:pPr>
    </w:p>
    <w:p w:rsidR="00267720" w:rsidRPr="00267720" w:rsidRDefault="00267720" w:rsidP="00267720">
      <w:pPr>
        <w:spacing w:after="0"/>
        <w:ind w:left="700" w:hanging="420"/>
        <w:jc w:val="both"/>
        <w:rPr>
          <w:rFonts w:ascii="Arial" w:eastAsia="Arial" w:hAnsi="Arial" w:cs="Arial"/>
          <w:sz w:val="24"/>
          <w:szCs w:val="24"/>
          <w:highlight w:val="yellow"/>
        </w:rPr>
      </w:pP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 xml:space="preserve">Example 3 </w:t>
      </w:r>
      <w:proofErr w:type="gramStart"/>
      <w:r w:rsidRPr="00267720">
        <w:rPr>
          <w:rFonts w:ascii="Arial" w:eastAsia="Arial" w:hAnsi="Arial" w:cs="Arial"/>
          <w:sz w:val="24"/>
          <w:szCs w:val="24"/>
          <w:highlight w:val="yellow"/>
        </w:rPr>
        <w:t>-  1</w:t>
      </w:r>
      <w:proofErr w:type="gramEnd"/>
      <w:r w:rsidRPr="00267720">
        <w:rPr>
          <w:rFonts w:ascii="Arial" w:eastAsia="Arial" w:hAnsi="Arial" w:cs="Arial"/>
          <w:sz w:val="24"/>
          <w:szCs w:val="24"/>
          <w:highlight w:val="yellow"/>
        </w:rPr>
        <w:t>% Increment</w:t>
      </w:r>
    </w:p>
    <w:p w:rsidR="00267720" w:rsidRPr="00267720" w:rsidRDefault="00267720" w:rsidP="00267720">
      <w:pPr>
        <w:spacing w:after="0"/>
        <w:ind w:left="700" w:hanging="420"/>
        <w:jc w:val="both"/>
        <w:rPr>
          <w:rFonts w:ascii="Arial" w:eastAsia="Arial" w:hAnsi="Arial" w:cs="Arial"/>
          <w:sz w:val="24"/>
          <w:szCs w:val="24"/>
          <w:highlight w:val="yellow"/>
        </w:rPr>
      </w:pPr>
    </w:p>
    <w:p w:rsidR="00267720" w:rsidRPr="00267720" w:rsidRDefault="00267720" w:rsidP="00267720">
      <w:pPr>
        <w:spacing w:before="240" w:after="240"/>
        <w:ind w:left="-140"/>
        <w:jc w:val="both"/>
        <w:rPr>
          <w:rFonts w:ascii="Arial" w:eastAsia="Arial" w:hAnsi="Arial" w:cs="Arial"/>
          <w:sz w:val="24"/>
          <w:szCs w:val="24"/>
          <w:highlight w:val="yellow"/>
        </w:rPr>
      </w:pPr>
      <w:r w:rsidRPr="00267720">
        <w:rPr>
          <w:rFonts w:ascii="Arial" w:eastAsia="Arial" w:hAnsi="Arial" w:cs="Arial"/>
          <w:sz w:val="24"/>
          <w:szCs w:val="24"/>
          <w:highlight w:val="yellow"/>
        </w:rPr>
        <w:t>Service Credit Measurement</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9</w:t>
      </w:r>
      <w:r w:rsidRPr="00267720">
        <w:rPr>
          <w:rFonts w:ascii="Arial" w:eastAsia="Arial" w:hAnsi="Arial" w:cs="Arial"/>
          <w:sz w:val="24"/>
          <w:szCs w:val="24"/>
          <w:highlight w:val="yellow"/>
        </w:rPr>
        <w:t>0</w:t>
      </w:r>
      <w:r w:rsidRPr="00267720">
        <w:rPr>
          <w:rFonts w:ascii="Arial" w:eastAsia="Arial" w:hAnsi="Arial" w:cs="Arial"/>
          <w:sz w:val="24"/>
          <w:szCs w:val="24"/>
          <w:highlight w:val="yellow"/>
        </w:rPr>
        <w:t>% Service Level Performance Measurement required for response times Service Level</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87.3</w:t>
      </w:r>
      <w:r w:rsidRPr="00267720">
        <w:rPr>
          <w:rFonts w:ascii="Arial" w:eastAsia="Arial" w:hAnsi="Arial" w:cs="Arial"/>
          <w:sz w:val="24"/>
          <w:szCs w:val="24"/>
          <w:highlight w:val="yellow"/>
        </w:rPr>
        <w:t>% actual performance achieved against the Service Level Performance Measurement in a Service Period</w:t>
      </w:r>
    </w:p>
    <w:p w:rsidR="00267720" w:rsidRPr="00267720" w:rsidRDefault="00267720" w:rsidP="00267720">
      <w:pPr>
        <w:spacing w:after="0"/>
        <w:ind w:left="700" w:hanging="420"/>
        <w:jc w:val="both"/>
        <w:rPr>
          <w:rFonts w:ascii="Arial" w:eastAsia="Arial" w:hAnsi="Arial" w:cs="Arial"/>
          <w:sz w:val="24"/>
          <w:szCs w:val="24"/>
          <w:highlight w:val="yellow"/>
        </w:rPr>
      </w:pPr>
      <w:r w:rsidRPr="00267720">
        <w:rPr>
          <w:rFonts w:ascii="Arial" w:eastAsia="Arial" w:hAnsi="Arial" w:cs="Arial"/>
          <w:sz w:val="24"/>
          <w:szCs w:val="24"/>
          <w:highlight w:val="yellow"/>
        </w:rPr>
        <w:t>●</w:t>
      </w:r>
      <w:r w:rsidRPr="00267720">
        <w:rPr>
          <w:rFonts w:ascii="Times New Roman" w:eastAsia="Times New Roman" w:hAnsi="Times New Roman"/>
          <w:sz w:val="14"/>
          <w:szCs w:val="14"/>
          <w:highlight w:val="yellow"/>
        </w:rPr>
        <w:t xml:space="preserve">       </w:t>
      </w:r>
      <w:r w:rsidRPr="00267720">
        <w:rPr>
          <w:rFonts w:ascii="Arial" w:eastAsia="Arial" w:hAnsi="Arial" w:cs="Arial"/>
          <w:sz w:val="24"/>
          <w:szCs w:val="24"/>
          <w:highlight w:val="yellow"/>
        </w:rPr>
        <w:t>2.7</w:t>
      </w:r>
      <w:r w:rsidRPr="00267720">
        <w:rPr>
          <w:rFonts w:ascii="Arial" w:eastAsia="Arial" w:hAnsi="Arial" w:cs="Arial"/>
          <w:sz w:val="24"/>
          <w:szCs w:val="24"/>
          <w:highlight w:val="yellow"/>
        </w:rPr>
        <w:t>% below Service Level Performance Measurement requirement</w:t>
      </w:r>
    </w:p>
    <w:p w:rsidR="00267720" w:rsidRPr="00267720" w:rsidRDefault="00267720" w:rsidP="0026772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lastRenderedPageBreak/>
        <w:t>Service Credit Calculation:</w:t>
      </w:r>
    </w:p>
    <w:p w:rsidR="00267720" w:rsidRPr="00267720" w:rsidRDefault="00267720" w:rsidP="00267720">
      <w:pPr>
        <w:numPr>
          <w:ilvl w:val="0"/>
          <w:numId w:val="1"/>
        </w:numPr>
        <w:spacing w:before="240" w:after="0"/>
        <w:rPr>
          <w:rFonts w:ascii="Arial" w:eastAsia="Arial" w:hAnsi="Arial" w:cs="Arial"/>
          <w:sz w:val="24"/>
          <w:szCs w:val="24"/>
          <w:highlight w:val="yellow"/>
        </w:rPr>
      </w:pPr>
      <w:r w:rsidRPr="00267720">
        <w:rPr>
          <w:rFonts w:ascii="Arial" w:eastAsia="Arial" w:hAnsi="Arial" w:cs="Arial"/>
          <w:sz w:val="24"/>
          <w:szCs w:val="24"/>
          <w:highlight w:val="yellow"/>
        </w:rPr>
        <w:t>100</w:t>
      </w:r>
      <w:r w:rsidRPr="00267720">
        <w:rPr>
          <w:rFonts w:ascii="Arial" w:eastAsia="Arial" w:hAnsi="Arial" w:cs="Arial"/>
          <w:sz w:val="24"/>
          <w:szCs w:val="24"/>
          <w:highlight w:val="yellow"/>
        </w:rPr>
        <w:t xml:space="preserve"> Service Credits are applied for every </w:t>
      </w:r>
      <w:r w:rsidRPr="00267720">
        <w:rPr>
          <w:rFonts w:ascii="Arial" w:eastAsia="Arial" w:hAnsi="Arial" w:cs="Arial"/>
          <w:sz w:val="24"/>
          <w:szCs w:val="24"/>
          <w:highlight w:val="yellow"/>
        </w:rPr>
        <w:t>1</w:t>
      </w:r>
      <w:r w:rsidRPr="00267720">
        <w:rPr>
          <w:rFonts w:ascii="Arial" w:eastAsia="Arial" w:hAnsi="Arial" w:cs="Arial"/>
          <w:sz w:val="24"/>
          <w:szCs w:val="24"/>
          <w:highlight w:val="yellow"/>
        </w:rPr>
        <w:t>% below the required Service Level</w:t>
      </w:r>
    </w:p>
    <w:p w:rsidR="00267720" w:rsidRPr="00267720" w:rsidRDefault="00267720" w:rsidP="00267720">
      <w:pPr>
        <w:numPr>
          <w:ilvl w:val="0"/>
          <w:numId w:val="1"/>
        </w:numPr>
        <w:spacing w:after="0"/>
        <w:rPr>
          <w:rFonts w:ascii="Arial" w:eastAsia="Arial" w:hAnsi="Arial" w:cs="Arial"/>
          <w:sz w:val="24"/>
          <w:szCs w:val="24"/>
          <w:highlight w:val="yellow"/>
        </w:rPr>
      </w:pPr>
      <w:r w:rsidRPr="00267720">
        <w:rPr>
          <w:rFonts w:ascii="Arial" w:eastAsia="Arial" w:hAnsi="Arial" w:cs="Arial"/>
          <w:sz w:val="24"/>
          <w:szCs w:val="24"/>
          <w:highlight w:val="yellow"/>
        </w:rPr>
        <w:t xml:space="preserve">The Service Level Performance Measurement increment is </w:t>
      </w:r>
      <w:r w:rsidRPr="00267720">
        <w:rPr>
          <w:rFonts w:ascii="Arial" w:eastAsia="Arial" w:hAnsi="Arial" w:cs="Arial"/>
          <w:sz w:val="24"/>
          <w:szCs w:val="24"/>
          <w:highlight w:val="yellow"/>
        </w:rPr>
        <w:t>1</w:t>
      </w:r>
      <w:r w:rsidRPr="00267720">
        <w:rPr>
          <w:rFonts w:ascii="Arial" w:eastAsia="Arial" w:hAnsi="Arial" w:cs="Arial"/>
          <w:sz w:val="24"/>
          <w:szCs w:val="24"/>
          <w:highlight w:val="yellow"/>
        </w:rPr>
        <w:t>%</w:t>
      </w:r>
    </w:p>
    <w:p w:rsidR="00267720" w:rsidRPr="00267720" w:rsidRDefault="00267720" w:rsidP="00267720">
      <w:pPr>
        <w:numPr>
          <w:ilvl w:val="0"/>
          <w:numId w:val="1"/>
        </w:numPr>
        <w:spacing w:after="240"/>
        <w:rPr>
          <w:rFonts w:ascii="Arial" w:eastAsia="Arial" w:hAnsi="Arial" w:cs="Arial"/>
          <w:sz w:val="24"/>
          <w:szCs w:val="24"/>
          <w:highlight w:val="yellow"/>
        </w:rPr>
      </w:pPr>
      <w:r w:rsidRPr="00267720">
        <w:rPr>
          <w:rFonts w:ascii="Arial" w:eastAsia="Arial" w:hAnsi="Arial" w:cs="Arial"/>
          <w:b/>
          <w:sz w:val="24"/>
          <w:szCs w:val="24"/>
          <w:highlight w:val="yellow"/>
        </w:rPr>
        <w:t>Note:</w:t>
      </w:r>
      <w:r w:rsidRPr="00267720">
        <w:rPr>
          <w:rFonts w:ascii="Arial" w:eastAsia="Arial" w:hAnsi="Arial" w:cs="Arial"/>
          <w:sz w:val="24"/>
          <w:szCs w:val="24"/>
          <w:highlight w:val="yellow"/>
        </w:rPr>
        <w:t xml:space="preserve"> </w:t>
      </w:r>
      <w:r w:rsidRPr="00267720">
        <w:rPr>
          <w:rFonts w:ascii="Arial" w:eastAsia="Arial" w:hAnsi="Arial" w:cs="Arial"/>
          <w:sz w:val="24"/>
          <w:szCs w:val="24"/>
          <w:highlight w:val="yellow"/>
        </w:rPr>
        <w:t>The 0.</w:t>
      </w:r>
      <w:r w:rsidRPr="00267720">
        <w:rPr>
          <w:rFonts w:ascii="Arial" w:eastAsia="Arial" w:hAnsi="Arial" w:cs="Arial"/>
          <w:sz w:val="24"/>
          <w:szCs w:val="24"/>
          <w:highlight w:val="yellow"/>
        </w:rPr>
        <w:t>7</w:t>
      </w:r>
      <w:r w:rsidRPr="00267720">
        <w:rPr>
          <w:rFonts w:ascii="Arial" w:eastAsia="Arial" w:hAnsi="Arial" w:cs="Arial"/>
          <w:sz w:val="24"/>
          <w:szCs w:val="24"/>
          <w:highlight w:val="yellow"/>
        </w:rPr>
        <w:t>% remainder is not included in this calculation</w:t>
      </w:r>
    </w:p>
    <w:p w:rsidR="00267720" w:rsidRPr="00267720" w:rsidRDefault="00267720" w:rsidP="00267720">
      <w:pPr>
        <w:spacing w:after="0"/>
        <w:ind w:left="700" w:hanging="420"/>
        <w:jc w:val="both"/>
        <w:rPr>
          <w:rFonts w:ascii="Arial" w:eastAsia="Arial" w:hAnsi="Arial" w:cs="Arial"/>
          <w:sz w:val="24"/>
          <w:szCs w:val="24"/>
          <w:highlight w:val="yellow"/>
        </w:rPr>
      </w:pPr>
    </w:p>
    <w:p w:rsidR="00267720" w:rsidRPr="00267720" w:rsidRDefault="00267720" w:rsidP="00267720">
      <w:pPr>
        <w:spacing w:before="240" w:after="240"/>
        <w:jc w:val="both"/>
        <w:rPr>
          <w:rFonts w:ascii="Arial" w:eastAsia="Arial" w:hAnsi="Arial" w:cs="Arial"/>
          <w:sz w:val="24"/>
          <w:szCs w:val="24"/>
          <w:highlight w:val="yellow"/>
        </w:rPr>
      </w:pPr>
      <w:r w:rsidRPr="00267720">
        <w:rPr>
          <w:rFonts w:ascii="Arial" w:eastAsia="Arial" w:hAnsi="Arial" w:cs="Arial"/>
          <w:sz w:val="24"/>
          <w:szCs w:val="24"/>
          <w:highlight w:val="yellow"/>
        </w:rPr>
        <w:t xml:space="preserve">Therefore: The applicable Service Credit represents </w:t>
      </w:r>
      <w:r w:rsidRPr="00267720">
        <w:rPr>
          <w:rFonts w:ascii="Arial" w:eastAsia="Arial" w:hAnsi="Arial" w:cs="Arial"/>
          <w:sz w:val="24"/>
          <w:szCs w:val="24"/>
          <w:highlight w:val="yellow"/>
        </w:rPr>
        <w:t>1</w:t>
      </w:r>
      <w:r w:rsidRPr="00267720">
        <w:rPr>
          <w:rFonts w:ascii="Arial" w:eastAsia="Arial" w:hAnsi="Arial" w:cs="Arial"/>
          <w:sz w:val="24"/>
          <w:szCs w:val="24"/>
          <w:highlight w:val="yellow"/>
        </w:rPr>
        <w:t xml:space="preserve">% x </w:t>
      </w:r>
      <w:r w:rsidRPr="00267720">
        <w:rPr>
          <w:rFonts w:ascii="Arial" w:eastAsia="Arial" w:hAnsi="Arial" w:cs="Arial"/>
          <w:sz w:val="24"/>
          <w:szCs w:val="24"/>
          <w:highlight w:val="yellow"/>
        </w:rPr>
        <w:t>2</w:t>
      </w:r>
      <w:r w:rsidRPr="00267720">
        <w:rPr>
          <w:rFonts w:ascii="Arial" w:eastAsia="Arial" w:hAnsi="Arial" w:cs="Arial"/>
          <w:sz w:val="24"/>
          <w:szCs w:val="24"/>
          <w:highlight w:val="yellow"/>
        </w:rPr>
        <w:t xml:space="preserve"> = </w:t>
      </w:r>
      <w:r w:rsidRPr="00267720">
        <w:rPr>
          <w:rFonts w:ascii="Arial" w:eastAsia="Arial" w:hAnsi="Arial" w:cs="Arial"/>
          <w:sz w:val="24"/>
          <w:szCs w:val="24"/>
          <w:highlight w:val="yellow"/>
        </w:rPr>
        <w:t>2</w:t>
      </w:r>
      <w:r w:rsidRPr="00267720">
        <w:rPr>
          <w:rFonts w:ascii="Arial" w:eastAsia="Arial" w:hAnsi="Arial" w:cs="Arial"/>
          <w:sz w:val="24"/>
          <w:szCs w:val="24"/>
          <w:highlight w:val="yellow"/>
        </w:rPr>
        <w:t xml:space="preserve">%, which equals </w:t>
      </w:r>
      <w:r w:rsidRPr="00267720">
        <w:rPr>
          <w:rFonts w:ascii="Arial" w:eastAsia="Arial" w:hAnsi="Arial" w:cs="Arial"/>
          <w:sz w:val="24"/>
          <w:szCs w:val="24"/>
          <w:highlight w:val="yellow"/>
        </w:rPr>
        <w:t>20</w:t>
      </w:r>
      <w:r w:rsidRPr="00267720">
        <w:rPr>
          <w:rFonts w:ascii="Arial" w:eastAsia="Arial" w:hAnsi="Arial" w:cs="Arial"/>
          <w:sz w:val="24"/>
          <w:szCs w:val="24"/>
          <w:highlight w:val="yellow"/>
        </w:rPr>
        <w:t>0 Service Credits or £</w:t>
      </w:r>
      <w:r w:rsidRPr="00267720">
        <w:rPr>
          <w:rFonts w:ascii="Arial" w:eastAsia="Arial" w:hAnsi="Arial" w:cs="Arial"/>
          <w:sz w:val="24"/>
          <w:szCs w:val="24"/>
          <w:highlight w:val="yellow"/>
        </w:rPr>
        <w:t>20</w:t>
      </w:r>
      <w:r w:rsidRPr="00267720">
        <w:rPr>
          <w:rFonts w:ascii="Arial" w:eastAsia="Arial" w:hAnsi="Arial" w:cs="Arial"/>
          <w:sz w:val="24"/>
          <w:szCs w:val="24"/>
          <w:highlight w:val="yellow"/>
        </w:rPr>
        <w:t>0.00</w:t>
      </w:r>
    </w:p>
    <w:p w:rsidR="00267720" w:rsidRDefault="00267720" w:rsidP="00267720">
      <w:pPr>
        <w:spacing w:after="0"/>
        <w:ind w:left="700" w:hanging="420"/>
        <w:jc w:val="both"/>
        <w:rPr>
          <w:rFonts w:ascii="Arial" w:eastAsia="Arial" w:hAnsi="Arial" w:cs="Arial"/>
          <w:sz w:val="24"/>
          <w:szCs w:val="24"/>
          <w:highlight w:val="yellow"/>
        </w:rPr>
      </w:pPr>
    </w:p>
    <w:p w:rsidR="00267720" w:rsidRDefault="00267720" w:rsidP="00267720">
      <w:pPr>
        <w:spacing w:after="0"/>
        <w:ind w:left="700" w:hanging="420"/>
        <w:jc w:val="both"/>
        <w:rPr>
          <w:rFonts w:ascii="Arial" w:eastAsia="Arial" w:hAnsi="Arial" w:cs="Arial"/>
          <w:sz w:val="24"/>
          <w:szCs w:val="24"/>
          <w:highlight w:val="yellow"/>
        </w:rPr>
      </w:pPr>
    </w:p>
    <w:p w:rsidR="00267720" w:rsidRDefault="00267720" w:rsidP="00267720">
      <w:pPr>
        <w:spacing w:after="0"/>
        <w:ind w:left="700" w:hanging="420"/>
        <w:jc w:val="both"/>
        <w:rPr>
          <w:rFonts w:ascii="Arial" w:eastAsia="Arial" w:hAnsi="Arial" w:cs="Arial"/>
          <w:sz w:val="24"/>
          <w:szCs w:val="24"/>
          <w:highlight w:val="yellow"/>
        </w:rPr>
      </w:pPr>
    </w:p>
    <w:p w:rsidR="00267720" w:rsidRDefault="00267720" w:rsidP="00267720">
      <w:pPr>
        <w:spacing w:after="0"/>
        <w:ind w:left="700" w:hanging="420"/>
        <w:jc w:val="both"/>
        <w:rPr>
          <w:rFonts w:ascii="Arial" w:eastAsia="Arial" w:hAnsi="Arial" w:cs="Arial"/>
          <w:sz w:val="24"/>
          <w:szCs w:val="24"/>
          <w:highlight w:val="yellow"/>
        </w:rPr>
      </w:pPr>
    </w:p>
    <w:p w:rsidR="00267720" w:rsidRDefault="00267720" w:rsidP="00267720">
      <w:pPr>
        <w:spacing w:after="0"/>
        <w:ind w:left="700" w:hanging="420"/>
        <w:jc w:val="both"/>
        <w:rPr>
          <w:rFonts w:ascii="Arial" w:eastAsia="Arial" w:hAnsi="Arial" w:cs="Arial"/>
          <w:sz w:val="24"/>
          <w:szCs w:val="24"/>
          <w:highlight w:val="yellow"/>
        </w:rPr>
        <w:sectPr w:rsidR="00267720">
          <w:type w:val="continuous"/>
          <w:pgSz w:w="16838" w:h="11906" w:orient="landscape"/>
          <w:pgMar w:top="1440" w:right="566" w:bottom="1440" w:left="566" w:header="709" w:footer="709" w:gutter="0"/>
          <w:cols w:space="720"/>
          <w:titlePg/>
        </w:sectPr>
      </w:pPr>
      <w:bookmarkStart w:id="2" w:name="_GoBack"/>
      <w:bookmarkEnd w:id="2"/>
    </w:p>
    <w:p w:rsidR="009C31CC" w:rsidRDefault="00E9748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B: Performance Monitoring </w:t>
      </w:r>
    </w:p>
    <w:p w:rsidR="009C31CC" w:rsidRDefault="00E97488">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Performance Monitoring and Performance Review</w:t>
      </w:r>
    </w:p>
    <w:p w:rsidR="009C31CC" w:rsidRDefault="00E974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9C31CC" w:rsidRDefault="00E97488">
      <w:pPr>
        <w:keepNext/>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failures to achieve Service Levels that occurred during that Service Period;</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details of any Critical Service Level Failures;</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for any repeat failures, actions taken to resolve the underlying cause and prevent recurrence;</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such other details as the Buyer may reasonably require from time to time.</w:t>
      </w:r>
    </w:p>
    <w:p w:rsidR="009C31CC" w:rsidRDefault="00E97488">
      <w:pPr>
        <w:keepNext/>
        <w:numPr>
          <w:ilvl w:val="1"/>
          <w:numId w:val="2"/>
        </w:numPr>
        <w:pBdr>
          <w:top w:val="nil"/>
          <w:left w:val="nil"/>
          <w:bottom w:val="nil"/>
          <w:right w:val="nil"/>
          <w:between w:val="nil"/>
        </w:pBdr>
        <w:spacing w:before="120" w:after="120" w:line="240" w:lineRule="auto"/>
      </w:pPr>
      <w:bookmarkStart w:id="3" w:name="_heading=h.gjdgxs" w:colFirst="0" w:colLast="0"/>
      <w:bookmarkEnd w:id="3"/>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w:t>
      </w:r>
      <w:r>
        <w:rPr>
          <w:rFonts w:ascii="Arial" w:eastAsia="Arial" w:hAnsi="Arial" w:cs="Arial"/>
          <w:sz w:val="24"/>
          <w:szCs w:val="24"/>
        </w:rPr>
        <w:t>or such other period agreed between the Parties</w:t>
      </w:r>
      <w:r>
        <w:rPr>
          <w:rFonts w:ascii="Arial" w:eastAsia="Arial" w:hAnsi="Arial" w:cs="Arial"/>
          <w:color w:val="000000"/>
          <w:sz w:val="24"/>
          <w:szCs w:val="24"/>
        </w:rPr>
        <w:t xml:space="preserve"> . The Performance Review Meetings will be the forum for the review by the Supplier and the Buyer of the Performance Monitoring Reports.  The Performance Review Meetings shall:</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be attended by the Supplier's Representative and the Buyer’s Representative; and</w:t>
      </w:r>
    </w:p>
    <w:p w:rsidR="009C31CC" w:rsidRDefault="00E97488">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rsidR="009C31CC" w:rsidRDefault="00E974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minutes of the preceding Performance Review Meeting will be agreed and signed by both the Supplier's Representative and the Buyer’s Representative at each meeting.</w:t>
      </w:r>
    </w:p>
    <w:p w:rsidR="009C31CC" w:rsidRDefault="00E974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9C31CC" w:rsidRDefault="009C31CC">
      <w:p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p>
    <w:p w:rsidR="009C31CC" w:rsidRDefault="00E97488">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Satisfaction Surveys</w:t>
      </w:r>
    </w:p>
    <w:p w:rsidR="009C31CC" w:rsidRDefault="00E974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9C31CC" w:rsidRDefault="009C31CC">
      <w:pPr>
        <w:pBdr>
          <w:top w:val="nil"/>
          <w:left w:val="nil"/>
          <w:bottom w:val="nil"/>
          <w:right w:val="nil"/>
          <w:between w:val="nil"/>
        </w:pBdr>
        <w:spacing w:before="120" w:after="120" w:line="240" w:lineRule="auto"/>
        <w:ind w:left="1440" w:hanging="720"/>
        <w:jc w:val="both"/>
        <w:rPr>
          <w:rFonts w:ascii="Arial" w:eastAsia="Arial" w:hAnsi="Arial" w:cs="Arial"/>
          <w:color w:val="000000"/>
          <w:sz w:val="24"/>
          <w:szCs w:val="24"/>
        </w:rPr>
      </w:pPr>
      <w:bookmarkStart w:id="4" w:name="_heading=h.30j0zll" w:colFirst="0" w:colLast="0"/>
      <w:bookmarkEnd w:id="4"/>
    </w:p>
    <w:sectPr w:rsidR="009C31CC">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427" w:rsidRDefault="00053427">
      <w:pPr>
        <w:spacing w:after="0" w:line="240" w:lineRule="auto"/>
      </w:pPr>
      <w:r>
        <w:separator/>
      </w:r>
    </w:p>
  </w:endnote>
  <w:endnote w:type="continuationSeparator" w:id="0">
    <w:p w:rsidR="00053427" w:rsidRDefault="0005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663" w:rsidRDefault="00865663">
    <w:pPr>
      <w:tabs>
        <w:tab w:val="center" w:pos="4513"/>
        <w:tab w:val="right" w:pos="9026"/>
      </w:tabs>
      <w:spacing w:after="0" w:line="240" w:lineRule="auto"/>
      <w:jc w:val="both"/>
    </w:pP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color w:val="000000"/>
        <w:sz w:val="20"/>
        <w:szCs w:val="20"/>
      </w:rPr>
      <w:t>Framework Ref: RM6342</w:t>
    </w: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663" w:rsidRDefault="00865663">
    <w:pPr>
      <w:tabs>
        <w:tab w:val="center" w:pos="4513"/>
        <w:tab w:val="right" w:pos="9026"/>
      </w:tabs>
      <w:spacing w:after="0" w:line="240" w:lineRule="auto"/>
      <w:jc w:val="both"/>
    </w:pP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865663"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6</w:t>
    </w:r>
    <w:r>
      <w:rPr>
        <w:rFonts w:ascii="Arial" w:eastAsia="Arial" w:hAnsi="Arial" w:cs="Arial"/>
        <w:color w:val="000000"/>
        <w:sz w:val="20"/>
        <w:szCs w:val="20"/>
      </w:rPr>
      <w:fldChar w:fldCharType="end"/>
    </w:r>
  </w:p>
  <w:p w:rsidR="00865663" w:rsidRDefault="0086566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427" w:rsidRDefault="00053427">
      <w:pPr>
        <w:spacing w:after="0" w:line="240" w:lineRule="auto"/>
      </w:pPr>
      <w:r>
        <w:separator/>
      </w:r>
    </w:p>
  </w:footnote>
  <w:footnote w:type="continuationSeparator" w:id="0">
    <w:p w:rsidR="00053427" w:rsidRDefault="0005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663" w:rsidRDefault="00865663">
    <w:pPr>
      <w:pBdr>
        <w:top w:val="nil"/>
        <w:left w:val="nil"/>
        <w:bottom w:val="nil"/>
        <w:right w:val="nil"/>
        <w:between w:val="nil"/>
      </w:pBdr>
      <w:tabs>
        <w:tab w:val="center" w:pos="4513"/>
        <w:tab w:val="right" w:pos="9026"/>
      </w:tabs>
      <w:spacing w:after="0" w:line="240" w:lineRule="auto"/>
      <w:ind w:left="-566" w:hanging="1275"/>
      <w:jc w:val="center"/>
      <w:rPr>
        <w:rFonts w:ascii="Arial" w:eastAsia="Arial" w:hAnsi="Arial" w:cs="Arial"/>
        <w:sz w:val="24"/>
        <w:szCs w:val="24"/>
      </w:rPr>
    </w:pPr>
    <w:r>
      <w:rPr>
        <w:rFonts w:ascii="Arial" w:eastAsia="Arial" w:hAnsi="Arial" w:cs="Arial"/>
        <w:b/>
        <w:color w:val="000000"/>
        <w:sz w:val="20"/>
        <w:szCs w:val="20"/>
      </w:rPr>
      <w:t>Call-Off Schedule 14 (Service Levels)</w:t>
    </w:r>
  </w:p>
  <w:p w:rsidR="00865663" w:rsidRDefault="00865663">
    <w:pPr>
      <w:pBdr>
        <w:top w:val="nil"/>
        <w:left w:val="nil"/>
        <w:bottom w:val="nil"/>
        <w:right w:val="nil"/>
        <w:between w:val="nil"/>
      </w:pBdr>
      <w:tabs>
        <w:tab w:val="center" w:pos="4513"/>
        <w:tab w:val="right" w:pos="9026"/>
      </w:tabs>
      <w:spacing w:after="0" w:line="240" w:lineRule="auto"/>
      <w:ind w:left="-1842"/>
      <w:rPr>
        <w:rFonts w:ascii="Arial" w:eastAsia="Arial" w:hAnsi="Arial" w:cs="Arial"/>
        <w:color w:val="000000"/>
        <w:sz w:val="20"/>
        <w:szCs w:val="20"/>
      </w:rPr>
    </w:pPr>
    <w:r>
      <w:rPr>
        <w:rFonts w:ascii="Arial" w:eastAsia="Arial" w:hAnsi="Arial" w:cs="Arial"/>
        <w:color w:val="000000"/>
        <w:sz w:val="20"/>
        <w:szCs w:val="20"/>
      </w:rPr>
      <w:t>Call-Off Ref:</w:t>
    </w:r>
  </w:p>
  <w:p w:rsidR="00865663" w:rsidRDefault="00865663">
    <w:pPr>
      <w:pBdr>
        <w:top w:val="nil"/>
        <w:left w:val="nil"/>
        <w:bottom w:val="nil"/>
        <w:right w:val="nil"/>
        <w:between w:val="nil"/>
      </w:pBdr>
      <w:tabs>
        <w:tab w:val="center" w:pos="4513"/>
        <w:tab w:val="right" w:pos="9026"/>
      </w:tabs>
      <w:spacing w:after="0" w:line="240" w:lineRule="auto"/>
      <w:ind w:left="-1842"/>
      <w:rPr>
        <w:rFonts w:ascii="Arial" w:eastAsia="Arial" w:hAnsi="Arial" w:cs="Arial"/>
        <w:color w:val="000000"/>
        <w:sz w:val="20"/>
        <w:szCs w:val="20"/>
      </w:rPr>
    </w:pPr>
    <w:r>
      <w:rPr>
        <w:rFonts w:ascii="Arial" w:eastAsia="Arial" w:hAnsi="Arial" w:cs="Arial"/>
        <w:color w:val="000000"/>
        <w:sz w:val="20"/>
        <w:szCs w:val="20"/>
      </w:rPr>
      <w:t>Crown Copyright 2023</w:t>
    </w:r>
  </w:p>
  <w:p w:rsidR="00865663" w:rsidRDefault="0086566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663" w:rsidRDefault="00865663">
    <w:pPr>
      <w:tabs>
        <w:tab w:val="center" w:pos="4513"/>
        <w:tab w:val="right" w:pos="9026"/>
      </w:tabs>
      <w:spacing w:after="0" w:line="240" w:lineRule="auto"/>
      <w:ind w:left="-425"/>
      <w:rPr>
        <w:rFonts w:ascii="Arial" w:eastAsia="Arial" w:hAnsi="Arial" w:cs="Arial"/>
        <w:sz w:val="24"/>
        <w:szCs w:val="24"/>
      </w:rPr>
    </w:pPr>
    <w:r>
      <w:rPr>
        <w:rFonts w:ascii="Arial" w:eastAsia="Arial" w:hAnsi="Arial" w:cs="Arial"/>
        <w:b/>
        <w:sz w:val="20"/>
        <w:szCs w:val="20"/>
      </w:rPr>
      <w:t>Call-Off Schedule 14 (Service Levels)</w:t>
    </w:r>
  </w:p>
  <w:p w:rsidR="00865663" w:rsidRDefault="00865663">
    <w:pPr>
      <w:tabs>
        <w:tab w:val="center" w:pos="4513"/>
        <w:tab w:val="right" w:pos="9026"/>
      </w:tabs>
      <w:spacing w:after="0" w:line="240" w:lineRule="auto"/>
      <w:ind w:left="-425"/>
      <w:rPr>
        <w:rFonts w:ascii="Arial" w:eastAsia="Arial" w:hAnsi="Arial" w:cs="Arial"/>
        <w:sz w:val="20"/>
        <w:szCs w:val="20"/>
      </w:rPr>
    </w:pPr>
    <w:r>
      <w:rPr>
        <w:rFonts w:ascii="Arial" w:eastAsia="Arial" w:hAnsi="Arial" w:cs="Arial"/>
        <w:sz w:val="20"/>
        <w:szCs w:val="20"/>
      </w:rPr>
      <w:t>Call-Off Ref:</w:t>
    </w:r>
  </w:p>
  <w:p w:rsidR="00865663" w:rsidRDefault="00865663">
    <w:pPr>
      <w:spacing w:after="0" w:line="240" w:lineRule="auto"/>
      <w:ind w:left="-425"/>
    </w:pPr>
    <w:r>
      <w:rPr>
        <w:rFonts w:ascii="Arial" w:eastAsia="Arial" w:hAnsi="Arial" w:cs="Arial"/>
        <w:sz w:val="20"/>
        <w:szCs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C96"/>
    <w:multiLevelType w:val="multilevel"/>
    <w:tmpl w:val="84E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97FAE"/>
    <w:multiLevelType w:val="hybridMultilevel"/>
    <w:tmpl w:val="264A48F4"/>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54A764D3"/>
    <w:multiLevelType w:val="multilevel"/>
    <w:tmpl w:val="6B200FEC"/>
    <w:lvl w:ilvl="0">
      <w:start w:val="1"/>
      <w:numFmt w:val="decimal"/>
      <w:pStyle w:val="BodyTextIndent"/>
      <w:lvlText w:val="%1."/>
      <w:lvlJc w:val="righ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righ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2160" w:hanging="1309"/>
      </w:pPr>
      <w:rPr>
        <w:rFonts w:ascii="Calibri" w:eastAsia="Calibri" w:hAnsi="Calibri" w:cs="Calibri"/>
        <w:b w:val="0"/>
        <w:i w:val="0"/>
        <w:smallCaps w:val="0"/>
        <w:strike w:val="0"/>
        <w:color w:val="000000"/>
        <w:sz w:val="22"/>
        <w:szCs w:val="22"/>
        <w:u w:val="none"/>
        <w:vertAlign w:val="baseline"/>
      </w:rPr>
    </w:lvl>
    <w:lvl w:ilvl="3">
      <w:start w:val="1"/>
      <w:numFmt w:val="decimal"/>
      <w:lvlText w:val="%1.%2.%3.%4."/>
      <w:lvlJc w:val="righ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decimal"/>
      <w:lvlText w:val="%1.%2.%3.%4.%5."/>
      <w:lvlJc w:val="right"/>
      <w:pPr>
        <w:ind w:left="3600" w:hanging="72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3" w15:restartNumberingAfterBreak="0">
    <w:nsid w:val="56554B6F"/>
    <w:multiLevelType w:val="multilevel"/>
    <w:tmpl w:val="718ED298"/>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F4A7309"/>
    <w:multiLevelType w:val="multilevel"/>
    <w:tmpl w:val="0680DF8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8B70731"/>
    <w:multiLevelType w:val="multilevel"/>
    <w:tmpl w:val="09D0AD6C"/>
    <w:lvl w:ilvl="0">
      <w:start w:val="1"/>
      <w:numFmt w:val="bullet"/>
      <w:pStyle w:val="GPSL1CLAUSEHEADING"/>
      <w:lvlText w:val="●"/>
      <w:lvlJc w:val="left"/>
      <w:pPr>
        <w:ind w:left="720" w:hanging="360"/>
      </w:pPr>
      <w:rPr>
        <w:u w:val="none"/>
      </w:rPr>
    </w:lvl>
    <w:lvl w:ilvl="1">
      <w:start w:val="1"/>
      <w:numFmt w:val="bullet"/>
      <w:pStyle w:val="GPSL2NumberedBoldHeading"/>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CC"/>
    <w:rsid w:val="00053427"/>
    <w:rsid w:val="00131630"/>
    <w:rsid w:val="00267720"/>
    <w:rsid w:val="003B4F13"/>
    <w:rsid w:val="00865663"/>
    <w:rsid w:val="009C31CC"/>
    <w:rsid w:val="00BF6713"/>
    <w:rsid w:val="00E9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E73C"/>
  <w15:docId w15:val="{48B9AE22-DAF8-4BEB-8A83-675E192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720"/>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4"/>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6772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67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2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sourcing-and-consultancy-play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jt2YP8++pFP9QBQpR/Tvj4EmQ==">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Sal Tempera</cp:lastModifiedBy>
  <cp:revision>2</cp:revision>
  <dcterms:created xsi:type="dcterms:W3CDTF">2024-10-21T09:10:00Z</dcterms:created>
  <dcterms:modified xsi:type="dcterms:W3CDTF">2024-10-21T09:10:00Z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