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2">
      <w:pPr>
        <w:keepNext w:val="1"/>
        <w:jc w:val="both"/>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17 (MOD Additional and Data Processing </w:t>
      </w:r>
      <w:r w:rsidDel="00000000" w:rsidR="00000000" w:rsidRPr="00000000">
        <w:rPr>
          <w:rFonts w:ascii="Arial" w:cs="Arial" w:eastAsia="Arial" w:hAnsi="Arial"/>
          <w:b w:val="1"/>
          <w:sz w:val="36"/>
          <w:szCs w:val="36"/>
          <w:rtl w:val="0"/>
        </w:rPr>
        <w:t xml:space="preserve">Terms</w:t>
      </w:r>
      <w:r w:rsidDel="00000000" w:rsidR="00000000" w:rsidRPr="00000000">
        <w:rPr>
          <w:rFonts w:ascii="Arial" w:cs="Arial" w:eastAsia="Arial" w:hAnsi="Arial"/>
          <w:b w:val="1"/>
          <w:sz w:val="36"/>
          <w:szCs w:val="36"/>
          <w:rtl w:val="0"/>
        </w:rPr>
        <w:t xml:space="preserve">) </w:t>
      </w:r>
    </w:p>
    <w:p w:rsidR="00000000" w:rsidDel="00000000" w:rsidP="00000000" w:rsidRDefault="00000000" w:rsidRPr="00000000" w14:paraId="00000003">
      <w:pPr>
        <w:keepNext w:val="1"/>
        <w:numPr>
          <w:ilvl w:val="0"/>
          <w:numId w:val="5"/>
        </w:numPr>
        <w:pBdr>
          <w:top w:space="0" w:sz="0" w:val="nil"/>
          <w:left w:space="0" w:sz="0" w:val="nil"/>
          <w:bottom w:space="0" w:sz="0" w:val="nil"/>
          <w:right w:space="0" w:sz="0" w:val="nil"/>
          <w:between w:space="0" w:sz="0" w:val="nil"/>
        </w:pBdr>
        <w:spacing w:after="240" w:before="120" w:lineRule="auto"/>
        <w:ind w:left="360" w:hanging="360"/>
        <w:jc w:val="both"/>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5"/>
        </w:numPr>
        <w:pBdr>
          <w:top w:space="0" w:sz="0" w:val="nil"/>
          <w:left w:space="0" w:sz="0" w:val="nil"/>
          <w:bottom w:space="0" w:sz="0" w:val="nil"/>
          <w:right w:space="0" w:sz="0" w:val="nil"/>
          <w:between w:space="0" w:sz="0" w:val="nil"/>
        </w:pBdr>
        <w:tabs>
          <w:tab w:val="left" w:leader="none" w:pos="709"/>
        </w:tabs>
        <w:spacing w:after="120" w:before="120" w:lineRule="auto"/>
        <w:ind w:left="578" w:hanging="57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018.0" w:type="dxa"/>
        <w:jc w:val="left"/>
        <w:tblInd w:w="10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22"/>
        <w:gridCol w:w="4596"/>
        <w:tblGridChange w:id="0">
          <w:tblGrid>
            <w:gridCol w:w="3422"/>
            <w:gridCol w:w="4596"/>
          </w:tblGrid>
        </w:tblGridChange>
      </w:tblGrid>
      <w:tr>
        <w:trPr>
          <w:cantSplit w:val="0"/>
          <w:tblHeader w:val="0"/>
        </w:trPr>
        <w:tc>
          <w:tcPr/>
          <w:p w:rsidR="00000000" w:rsidDel="00000000" w:rsidP="00000000" w:rsidRDefault="00000000" w:rsidRPr="00000000" w14:paraId="0000000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 Terms and Conditions"</w:t>
            </w:r>
          </w:p>
        </w:tc>
        <w:tc>
          <w:tcPr/>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terms and conditions listed in this Schedule;</w:t>
            </w:r>
          </w:p>
          <w:p w:rsidR="00000000" w:rsidDel="00000000" w:rsidP="00000000" w:rsidRDefault="00000000" w:rsidRPr="00000000" w14:paraId="00000007">
            <w:pPr>
              <w:jc w:val="both"/>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8">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 Site"</w:t>
            </w:r>
          </w:p>
        </w:tc>
        <w:tc>
          <w:tcPr/>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shall include any of Her Majesty's Ships or Vessels and Service Stations; and</w:t>
            </w:r>
          </w:p>
          <w:p w:rsidR="00000000" w:rsidDel="00000000" w:rsidP="00000000" w:rsidRDefault="00000000" w:rsidRPr="00000000" w14:paraId="0000000A">
            <w:pPr>
              <w:jc w:val="both"/>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B">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"Officer in charge"</w:t>
            </w:r>
          </w:p>
        </w:tc>
        <w:tc>
          <w:tcPr/>
          <w:p w:rsidR="00000000" w:rsidDel="00000000" w:rsidP="00000000" w:rsidRDefault="00000000" w:rsidRPr="00000000" w14:paraId="0000000C">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shall include Officers Commanding Service Stations, Ships' Masters or Senior Officers, and Officers superintending Government Establishments.</w:t>
            </w:r>
            <w:r w:rsidDel="00000000" w:rsidR="00000000" w:rsidRPr="00000000">
              <w:rPr>
                <w:rtl w:val="0"/>
              </w:rPr>
            </w:r>
          </w:p>
        </w:tc>
      </w:tr>
    </w:tbl>
    <w:p w:rsidR="00000000" w:rsidDel="00000000" w:rsidP="00000000" w:rsidRDefault="00000000" w:rsidRPr="00000000" w14:paraId="0000000D">
      <w:pPr>
        <w:keepNext w:val="1"/>
        <w:numPr>
          <w:ilvl w:val="0"/>
          <w:numId w:val="5"/>
        </w:numPr>
        <w:pBdr>
          <w:top w:space="0" w:sz="0" w:val="nil"/>
          <w:left w:space="0" w:sz="0" w:val="nil"/>
          <w:bottom w:space="0" w:sz="0" w:val="nil"/>
          <w:right w:space="0" w:sz="0" w:val="nil"/>
          <w:between w:space="0" w:sz="0" w:val="nil"/>
        </w:pBdr>
        <w:spacing w:after="240" w:before="120" w:lineRule="auto"/>
        <w:ind w:left="360" w:hanging="360"/>
        <w:jc w:val="both"/>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Access to MOD sites</w:t>
      </w:r>
    </w:p>
    <w:p w:rsidR="00000000" w:rsidDel="00000000" w:rsidP="00000000" w:rsidRDefault="00000000" w:rsidRPr="00000000" w14:paraId="0000000E">
      <w:pPr>
        <w:numPr>
          <w:ilvl w:val="1"/>
          <w:numId w:val="5"/>
        </w:numPr>
        <w:pBdr>
          <w:top w:space="0" w:sz="0" w:val="nil"/>
          <w:left w:space="0" w:sz="0" w:val="nil"/>
          <w:bottom w:space="0" w:sz="0" w:val="nil"/>
          <w:right w:space="0" w:sz="0" w:val="nil"/>
          <w:between w:space="0" w:sz="0" w:val="nil"/>
        </w:pBdr>
        <w:tabs>
          <w:tab w:val="left" w:leader="none" w:pos="709"/>
        </w:tabs>
        <w:spacing w:after="120" w:before="120" w:lineRule="auto"/>
        <w:ind w:left="578" w:hanging="57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rsidR="00000000" w:rsidDel="00000000" w:rsidP="00000000" w:rsidRDefault="00000000" w:rsidRPr="00000000" w14:paraId="0000000F">
      <w:pPr>
        <w:numPr>
          <w:ilvl w:val="1"/>
          <w:numId w:val="5"/>
        </w:numPr>
        <w:pBdr>
          <w:top w:space="0" w:sz="0" w:val="nil"/>
          <w:left w:space="0" w:sz="0" w:val="nil"/>
          <w:bottom w:space="0" w:sz="0" w:val="nil"/>
          <w:right w:space="0" w:sz="0" w:val="nil"/>
          <w:between w:space="0" w:sz="0" w:val="nil"/>
        </w:pBdr>
        <w:tabs>
          <w:tab w:val="left" w:leader="none" w:pos="709"/>
        </w:tabs>
        <w:spacing w:after="120" w:before="120" w:lineRule="auto"/>
        <w:ind w:left="578" w:hanging="57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rsidR="00000000" w:rsidDel="00000000" w:rsidP="00000000" w:rsidRDefault="00000000" w:rsidRPr="00000000" w14:paraId="00000010">
      <w:pPr>
        <w:numPr>
          <w:ilvl w:val="1"/>
          <w:numId w:val="5"/>
        </w:numPr>
        <w:pBdr>
          <w:top w:space="0" w:sz="0" w:val="nil"/>
          <w:left w:space="0" w:sz="0" w:val="nil"/>
          <w:bottom w:space="0" w:sz="0" w:val="nil"/>
          <w:right w:space="0" w:sz="0" w:val="nil"/>
          <w:between w:space="0" w:sz="0" w:val="nil"/>
        </w:pBdr>
        <w:tabs>
          <w:tab w:val="left" w:leader="none" w:pos="709"/>
        </w:tabs>
        <w:spacing w:after="120" w:before="120" w:lineRule="auto"/>
        <w:ind w:left="578" w:hanging="57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rsidR="00000000" w:rsidDel="00000000" w:rsidP="00000000" w:rsidRDefault="00000000" w:rsidRPr="00000000" w14:paraId="00000011">
      <w:pPr>
        <w:numPr>
          <w:ilvl w:val="1"/>
          <w:numId w:val="5"/>
        </w:numPr>
        <w:pBdr>
          <w:top w:space="0" w:sz="0" w:val="nil"/>
          <w:left w:space="0" w:sz="0" w:val="nil"/>
          <w:bottom w:space="0" w:sz="0" w:val="nil"/>
          <w:right w:space="0" w:sz="0" w:val="nil"/>
          <w:between w:space="0" w:sz="0" w:val="nil"/>
        </w:pBdr>
        <w:tabs>
          <w:tab w:val="left" w:leader="none" w:pos="709"/>
        </w:tabs>
        <w:spacing w:after="120" w:before="120" w:lineRule="auto"/>
        <w:ind w:left="578" w:hanging="57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000000" w:rsidDel="00000000" w:rsidP="00000000" w:rsidRDefault="00000000" w:rsidRPr="00000000" w14:paraId="00000012">
      <w:pPr>
        <w:numPr>
          <w:ilvl w:val="1"/>
          <w:numId w:val="5"/>
        </w:numPr>
        <w:pBdr>
          <w:top w:space="0" w:sz="0" w:val="nil"/>
          <w:left w:space="0" w:sz="0" w:val="nil"/>
          <w:bottom w:space="0" w:sz="0" w:val="nil"/>
          <w:right w:space="0" w:sz="0" w:val="nil"/>
          <w:between w:space="0" w:sz="0" w:val="nil"/>
        </w:pBdr>
        <w:tabs>
          <w:tab w:val="left" w:leader="none" w:pos="709"/>
        </w:tabs>
        <w:spacing w:after="120" w:before="120" w:lineRule="auto"/>
        <w:ind w:left="578" w:hanging="57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000000" w:rsidDel="00000000" w:rsidP="00000000" w:rsidRDefault="00000000" w:rsidRPr="00000000" w14:paraId="00000013">
      <w:pPr>
        <w:numPr>
          <w:ilvl w:val="1"/>
          <w:numId w:val="5"/>
        </w:numPr>
        <w:pBdr>
          <w:top w:space="0" w:sz="0" w:val="nil"/>
          <w:left w:space="0" w:sz="0" w:val="nil"/>
          <w:bottom w:space="0" w:sz="0" w:val="nil"/>
          <w:right w:space="0" w:sz="0" w:val="nil"/>
          <w:between w:space="0" w:sz="0" w:val="nil"/>
        </w:pBdr>
        <w:tabs>
          <w:tab w:val="left" w:leader="none" w:pos="709"/>
        </w:tabs>
        <w:spacing w:after="120" w:before="120" w:lineRule="auto"/>
        <w:ind w:left="578" w:hanging="57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Accidents to the Supplier's representatives which ordinarily require to be reported in accordance with Health and Safety at Work etc. Act 1974, shall be reported to the Officer in charge so that the Inspector of Factories may be informed.</w:t>
      </w:r>
    </w:p>
    <w:p w:rsidR="00000000" w:rsidDel="00000000" w:rsidP="00000000" w:rsidRDefault="00000000" w:rsidRPr="00000000" w14:paraId="00000014">
      <w:pPr>
        <w:numPr>
          <w:ilvl w:val="1"/>
          <w:numId w:val="5"/>
        </w:numPr>
        <w:pBdr>
          <w:top w:space="0" w:sz="0" w:val="nil"/>
          <w:left w:space="0" w:sz="0" w:val="nil"/>
          <w:bottom w:space="0" w:sz="0" w:val="nil"/>
          <w:right w:space="0" w:sz="0" w:val="nil"/>
          <w:between w:space="0" w:sz="0" w:val="nil"/>
        </w:pBdr>
        <w:tabs>
          <w:tab w:val="left" w:leader="none" w:pos="709"/>
        </w:tabs>
        <w:spacing w:after="120" w:before="120" w:lineRule="auto"/>
        <w:ind w:left="578" w:hanging="57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000000" w:rsidDel="00000000" w:rsidP="00000000" w:rsidRDefault="00000000" w:rsidRPr="00000000" w14:paraId="00000015">
      <w:pPr>
        <w:numPr>
          <w:ilvl w:val="1"/>
          <w:numId w:val="5"/>
        </w:numPr>
        <w:pBdr>
          <w:top w:space="0" w:sz="0" w:val="nil"/>
          <w:left w:space="0" w:sz="0" w:val="nil"/>
          <w:bottom w:space="0" w:sz="0" w:val="nil"/>
          <w:right w:space="0" w:sz="0" w:val="nil"/>
          <w:between w:space="0" w:sz="0" w:val="nil"/>
        </w:pBdr>
        <w:tabs>
          <w:tab w:val="left" w:leader="none" w:pos="709"/>
        </w:tabs>
        <w:spacing w:after="120" w:before="120" w:lineRule="auto"/>
        <w:ind w:left="578" w:hanging="57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rsidR="00000000" w:rsidDel="00000000" w:rsidP="00000000" w:rsidRDefault="00000000" w:rsidRPr="00000000" w14:paraId="00000016">
      <w:pPr>
        <w:pStyle w:val="Heading1"/>
        <w:numPr>
          <w:ilvl w:val="0"/>
          <w:numId w:val="5"/>
        </w:numPr>
        <w:ind w:left="432" w:hanging="43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DEFCONS and DEFFORMS</w:t>
      </w:r>
    </w:p>
    <w:p w:rsidR="00000000" w:rsidDel="00000000" w:rsidP="00000000" w:rsidRDefault="00000000" w:rsidRPr="00000000" w14:paraId="00000017">
      <w:pPr>
        <w:pStyle w:val="Heading2"/>
        <w:numPr>
          <w:ilvl w:val="1"/>
          <w:numId w:val="5"/>
        </w:numPr>
        <w:ind w:left="576" w:hanging="576"/>
        <w:rPr>
          <w:rFonts w:ascii="Arial" w:cs="Arial" w:eastAsia="Arial" w:hAnsi="Arial"/>
          <w:sz w:val="24"/>
          <w:szCs w:val="24"/>
        </w:rPr>
      </w:pPr>
      <w:r w:rsidDel="00000000" w:rsidR="00000000" w:rsidRPr="00000000">
        <w:rPr>
          <w:rFonts w:ascii="Arial" w:cs="Arial" w:eastAsia="Arial" w:hAnsi="Arial"/>
          <w:sz w:val="24"/>
          <w:szCs w:val="24"/>
          <w:rtl w:val="0"/>
        </w:rPr>
        <w:t xml:space="preserve">The DEFCONS and DEFORMS listed in Annex 1 to this Schedule are incorporated into this Contract.  </w:t>
      </w:r>
    </w:p>
    <w:p w:rsidR="00000000" w:rsidDel="00000000" w:rsidP="00000000" w:rsidRDefault="00000000" w:rsidRPr="00000000" w14:paraId="00000018">
      <w:pPr>
        <w:pStyle w:val="Heading2"/>
        <w:numPr>
          <w:ilvl w:val="1"/>
          <w:numId w:val="5"/>
        </w:numPr>
        <w:ind w:left="578" w:hanging="578"/>
        <w:rPr>
          <w:rFonts w:ascii="Arial" w:cs="Arial" w:eastAsia="Arial" w:hAnsi="Arial"/>
          <w:sz w:val="24"/>
          <w:szCs w:val="24"/>
        </w:rPr>
      </w:pPr>
      <w:r w:rsidDel="00000000" w:rsidR="00000000" w:rsidRPr="00000000">
        <w:rPr>
          <w:rFonts w:ascii="Arial" w:cs="Arial" w:eastAsia="Arial" w:hAnsi="Arial"/>
          <w:sz w:val="24"/>
          <w:szCs w:val="24"/>
          <w:rtl w:val="0"/>
        </w:rPr>
        <w:t xml:space="preserve">Where a DEFCON or DEFORM is updated or replaced the reference shall be taken as referring to the updated or replacement DEFCON or DEFORM from time to time.</w:t>
      </w:r>
    </w:p>
    <w:p w:rsidR="00000000" w:rsidDel="00000000" w:rsidP="00000000" w:rsidRDefault="00000000" w:rsidRPr="00000000" w14:paraId="00000019">
      <w:pPr>
        <w:pStyle w:val="Heading2"/>
        <w:numPr>
          <w:ilvl w:val="1"/>
          <w:numId w:val="5"/>
        </w:numPr>
        <w:ind w:left="576" w:hanging="576"/>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of a conflict between any DEFCONs and DEFFORMS listed in the Order Form and the other terms in a Call Off Contract, the DEFCONs and DEFFORMS shall prevail. </w:t>
      </w:r>
    </w:p>
    <w:p w:rsidR="00000000" w:rsidDel="00000000" w:rsidP="00000000" w:rsidRDefault="00000000" w:rsidRPr="00000000" w14:paraId="0000001A">
      <w:pPr>
        <w:numPr>
          <w:ilvl w:val="1"/>
          <w:numId w:val="5"/>
        </w:numPr>
        <w:ind w:left="576" w:hanging="576"/>
        <w:jc w:val="both"/>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Where references to DEFCONs are made within the DEFCONs at Annex 1, if the referenced DEFCON is not also referenced at Annex 1 then the applicable core terms under the framework shall take precedence.</w:t>
      </w:r>
      <w:r w:rsidDel="00000000" w:rsidR="00000000" w:rsidRPr="00000000">
        <w:rPr>
          <w:rtl w:val="0"/>
        </w:rPr>
      </w:r>
    </w:p>
    <w:p w:rsidR="00000000" w:rsidDel="00000000" w:rsidP="00000000" w:rsidRDefault="00000000" w:rsidRPr="00000000" w14:paraId="0000001B">
      <w:pPr>
        <w:pStyle w:val="Heading1"/>
        <w:numPr>
          <w:ilvl w:val="0"/>
          <w:numId w:val="5"/>
        </w:numPr>
        <w:ind w:left="432" w:hanging="43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Authorisation by the Crown for use of third party intellectual property rights</w:t>
      </w:r>
    </w:p>
    <w:p w:rsidR="00000000" w:rsidDel="00000000" w:rsidP="00000000" w:rsidRDefault="00000000" w:rsidRPr="00000000" w14:paraId="0000001C">
      <w:pPr>
        <w:pStyle w:val="Heading2"/>
        <w:numPr>
          <w:ilvl w:val="1"/>
          <w:numId w:val="5"/>
        </w:numPr>
        <w:ind w:left="576" w:hanging="576"/>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rsidR="00000000" w:rsidDel="00000000" w:rsidP="00000000" w:rsidRDefault="00000000" w:rsidRPr="00000000" w14:paraId="0000001D">
      <w:pPr>
        <w:pStyle w:val="Heading1"/>
        <w:numPr>
          <w:ilvl w:val="0"/>
          <w:numId w:val="5"/>
        </w:numPr>
        <w:ind w:left="432" w:hanging="43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Processing </w:t>
      </w:r>
    </w:p>
    <w:p w:rsidR="00000000" w:rsidDel="00000000" w:rsidP="00000000" w:rsidRDefault="00000000" w:rsidRPr="00000000" w14:paraId="0000001E">
      <w:pPr>
        <w:pStyle w:val="Heading2"/>
        <w:numPr>
          <w:ilvl w:val="1"/>
          <w:numId w:val="5"/>
        </w:numPr>
        <w:ind w:left="576" w:hanging="576"/>
        <w:rPr>
          <w:rFonts w:ascii="Arial" w:cs="Arial" w:eastAsia="Arial" w:hAnsi="Arial"/>
          <w:sz w:val="24"/>
          <w:szCs w:val="24"/>
        </w:rPr>
      </w:pPr>
      <w:r w:rsidDel="00000000" w:rsidR="00000000" w:rsidRPr="00000000">
        <w:rPr>
          <w:rFonts w:ascii="Arial" w:cs="Arial" w:eastAsia="Arial" w:hAnsi="Arial"/>
          <w:sz w:val="24"/>
          <w:szCs w:val="24"/>
          <w:rtl w:val="0"/>
        </w:rPr>
        <w:t xml:space="preserve">For the purposes of Joint Schedule 11 (Data Processing), the Supplier is the Processor and the </w:t>
      </w:r>
      <w:r w:rsidDel="00000000" w:rsidR="00000000" w:rsidRPr="00000000">
        <w:rPr>
          <w:rFonts w:ascii="Arial" w:cs="Arial" w:eastAsia="Arial" w:hAnsi="Arial"/>
          <w:color w:val="000000"/>
          <w:sz w:val="24"/>
          <w:szCs w:val="24"/>
          <w:rtl w:val="0"/>
        </w:rPr>
        <w:t xml:space="preserve">Buyer is the Controller. </w:t>
      </w:r>
      <w:r w:rsidDel="00000000" w:rsidR="00000000" w:rsidRPr="00000000">
        <w:rPr>
          <w:rFonts w:ascii="Arial" w:cs="Arial" w:eastAsia="Arial" w:hAnsi="Arial"/>
          <w:sz w:val="24"/>
          <w:szCs w:val="24"/>
          <w:rtl w:val="0"/>
        </w:rPr>
        <w:t xml:space="preserve">The only Processing that the Supplier (as Processor) is authorised to do is listed in Annex 2 (Processing Personal Data) of this Call-Off Schedule and Annex 2 (Processing Personal Data) of this Call-Off Schedule shall be deemed to be incorporated into Annex 1 (Call-Off Contract Processing Personal Data) of Joint Schedule 11 (Processing Data). </w:t>
      </w:r>
    </w:p>
    <w:p w:rsidR="00000000" w:rsidDel="00000000" w:rsidP="00000000" w:rsidRDefault="00000000" w:rsidRPr="00000000" w14:paraId="0000001F">
      <w:pPr>
        <w:pStyle w:val="Heading1"/>
        <w:numPr>
          <w:ilvl w:val="0"/>
          <w:numId w:val="5"/>
        </w:numPr>
        <w:ind w:left="432" w:hanging="43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Variation of the Charges </w:t>
      </w:r>
    </w:p>
    <w:p w:rsidR="00000000" w:rsidDel="00000000" w:rsidP="00000000" w:rsidRDefault="00000000" w:rsidRPr="00000000" w14:paraId="00000020">
      <w:pPr>
        <w:pStyle w:val="Heading2"/>
        <w:numPr>
          <w:ilvl w:val="1"/>
          <w:numId w:val="5"/>
        </w:numPr>
        <w:ind w:left="576" w:hanging="576"/>
        <w:rPr>
          <w:rFonts w:ascii="Arial" w:cs="Arial" w:eastAsia="Arial" w:hAnsi="Arial"/>
          <w:sz w:val="24"/>
          <w:szCs w:val="24"/>
        </w:rPr>
      </w:pPr>
      <w:r w:rsidDel="00000000" w:rsidR="00000000" w:rsidRPr="00000000">
        <w:rPr>
          <w:rFonts w:ascii="Arial" w:cs="Arial" w:eastAsia="Arial" w:hAnsi="Arial"/>
          <w:sz w:val="24"/>
          <w:szCs w:val="24"/>
          <w:rtl w:val="0"/>
        </w:rPr>
        <w:t xml:space="preserve">For purposes of this Paragraph 6, the Parties agree and acknowledge that Paragraph 4.1.2 of Framework Schedule 3 (Framework Prices) shall not apply to this Call-Off Contract. In the alternative, the Charges payable by the Buyer under this Contract may only be varied in accordance with Annex 3 (Condition for Output price index based VOP Arrangement) of this Call-Off Schedule 17 (MOD Additional and Data Processing Terms).</w:t>
      </w:r>
      <w:r w:rsidDel="00000000" w:rsidR="00000000" w:rsidRPr="00000000">
        <w:rPr>
          <w:b w:val="1"/>
          <w:sz w:val="36"/>
          <w:szCs w:val="36"/>
          <w:rtl w:val="0"/>
        </w:rPr>
        <w:t xml:space="preserve">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3">
      <w:pPr>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 DEFCONS &amp; DEFFORMS</w:t>
      </w:r>
    </w:p>
    <w:p w:rsidR="00000000" w:rsidDel="00000000" w:rsidP="00000000" w:rsidRDefault="00000000" w:rsidRPr="00000000" w14:paraId="00000025">
      <w:pPr>
        <w:spacing w:after="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6">
      <w:pPr>
        <w:jc w:val="both"/>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The full text of Defence Conditions (DEFCONs) and Defence Forms (DEFFORMS) are available electronically via </w:t>
      </w:r>
      <w:hyperlink r:id="rId7">
        <w:r w:rsidDel="00000000" w:rsidR="00000000" w:rsidRPr="00000000">
          <w:rPr>
            <w:rFonts w:ascii="Arial" w:cs="Arial" w:eastAsia="Arial" w:hAnsi="Arial"/>
            <w:color w:val="0000ff"/>
            <w:sz w:val="24"/>
            <w:szCs w:val="24"/>
            <w:u w:val="single"/>
            <w:rtl w:val="0"/>
          </w:rPr>
          <w:t xml:space="preserve">https://www.gov.uk/guidance/knowledge-in-defence-kid</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7">
      <w:pPr>
        <w:spacing w:after="240" w:lineRule="auto"/>
        <w:ind w:left="576" w:hanging="57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MOD DEFCONs and DEFFORMs form part of this contract:</w:t>
      </w:r>
    </w:p>
    <w:p w:rsidR="00000000" w:rsidDel="00000000" w:rsidP="00000000" w:rsidRDefault="00000000" w:rsidRPr="00000000" w14:paraId="00000028">
      <w:pPr>
        <w:spacing w:after="0" w:lineRule="auto"/>
        <w:ind w:left="85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DEFCONs</w:t>
      </w:r>
    </w:p>
    <w:p w:rsidR="00000000" w:rsidDel="00000000" w:rsidP="00000000" w:rsidRDefault="00000000" w:rsidRPr="00000000" w14:paraId="00000029">
      <w:pPr>
        <w:spacing w:after="0" w:lineRule="auto"/>
        <w:ind w:left="720" w:firstLine="0"/>
        <w:jc w:val="both"/>
        <w:rPr>
          <w:rFonts w:ascii="Arial" w:cs="Arial" w:eastAsia="Arial" w:hAnsi="Arial"/>
          <w:color w:val="000000"/>
          <w:sz w:val="24"/>
          <w:szCs w:val="24"/>
        </w:rPr>
      </w:pPr>
      <w:r w:rsidDel="00000000" w:rsidR="00000000" w:rsidRPr="00000000">
        <w:rPr>
          <w:rtl w:val="0"/>
        </w:rPr>
      </w:r>
    </w:p>
    <w:tbl>
      <w:tblPr>
        <w:tblStyle w:val="Table2"/>
        <w:tblW w:w="86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0"/>
        <w:gridCol w:w="2861"/>
        <w:gridCol w:w="2928"/>
        <w:tblGridChange w:id="0">
          <w:tblGrid>
            <w:gridCol w:w="2870"/>
            <w:gridCol w:w="2861"/>
            <w:gridCol w:w="2928"/>
          </w:tblGrid>
        </w:tblGridChange>
      </w:tblGrid>
      <w:tr>
        <w:trPr>
          <w:cantSplit w:val="0"/>
          <w:tblHeader w:val="0"/>
        </w:trPr>
        <w:tc>
          <w:tcPr/>
          <w:p w:rsidR="00000000" w:rsidDel="00000000" w:rsidP="00000000" w:rsidRDefault="00000000" w:rsidRPr="00000000" w14:paraId="0000002A">
            <w:pPr>
              <w:spacing w:after="12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DEFCON No</w:t>
            </w:r>
          </w:p>
        </w:tc>
        <w:tc>
          <w:tcPr/>
          <w:p w:rsidR="00000000" w:rsidDel="00000000" w:rsidP="00000000" w:rsidRDefault="00000000" w:rsidRPr="00000000" w14:paraId="0000002B">
            <w:pPr>
              <w:spacing w:after="120" w:lineRule="auto"/>
              <w:jc w:val="both"/>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Version</w:t>
            </w:r>
            <w:r w:rsidDel="00000000" w:rsidR="00000000" w:rsidRPr="00000000">
              <w:rPr>
                <w:rtl w:val="0"/>
              </w:rPr>
            </w:r>
          </w:p>
        </w:tc>
        <w:tc>
          <w:tcPr/>
          <w:p w:rsidR="00000000" w:rsidDel="00000000" w:rsidP="00000000" w:rsidRDefault="00000000" w:rsidRPr="00000000" w14:paraId="0000002C">
            <w:pPr>
              <w:spacing w:after="120" w:lineRule="auto"/>
              <w:jc w:val="both"/>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2D">
            <w:pPr>
              <w:spacing w:after="120" w:lineRule="auto"/>
              <w:jc w:val="both"/>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E">
            <w:pPr>
              <w:spacing w:after="120" w:lineRule="auto"/>
              <w:jc w:val="both"/>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F">
            <w:pPr>
              <w:spacing w:after="120" w:lineRule="auto"/>
              <w:jc w:val="both"/>
              <w:rPr>
                <w:rFonts w:ascii="Arial" w:cs="Arial" w:eastAsia="Arial" w:hAnsi="Arial"/>
                <w:b w:val="1"/>
                <w:color w:val="000000"/>
                <w:sz w:val="24"/>
                <w:szCs w:val="24"/>
              </w:rPr>
            </w:pPr>
            <w:r w:rsidDel="00000000" w:rsidR="00000000" w:rsidRPr="00000000">
              <w:rPr>
                <w:rtl w:val="0"/>
              </w:rPr>
            </w:r>
          </w:p>
        </w:tc>
      </w:tr>
    </w:tbl>
    <w:p w:rsidR="00000000" w:rsidDel="00000000" w:rsidP="00000000" w:rsidRDefault="00000000" w:rsidRPr="00000000" w14:paraId="00000030">
      <w:pPr>
        <w:spacing w:after="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spacing w:after="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2">
      <w:pPr>
        <w:spacing w:after="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keepNext w:val="1"/>
        <w:spacing w:after="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DEFFORMs (Ministry of Defence Forms)</w:t>
      </w:r>
    </w:p>
    <w:p w:rsidR="00000000" w:rsidDel="00000000" w:rsidP="00000000" w:rsidRDefault="00000000" w:rsidRPr="00000000" w14:paraId="00000034">
      <w:pPr>
        <w:keepNext w:val="1"/>
        <w:spacing w:after="0" w:lineRule="auto"/>
        <w:jc w:val="both"/>
        <w:rPr>
          <w:rFonts w:ascii="Arial" w:cs="Arial" w:eastAsia="Arial" w:hAnsi="Arial"/>
          <w:color w:val="000000"/>
          <w:sz w:val="24"/>
          <w:szCs w:val="24"/>
        </w:rPr>
      </w:pPr>
      <w:r w:rsidDel="00000000" w:rsidR="00000000" w:rsidRPr="00000000">
        <w:rPr>
          <w:rtl w:val="0"/>
        </w:rPr>
      </w:r>
    </w:p>
    <w:tbl>
      <w:tblPr>
        <w:tblStyle w:val="Table3"/>
        <w:tblW w:w="8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975"/>
        <w:gridCol w:w="2899"/>
        <w:tblGridChange w:id="0">
          <w:tblGrid>
            <w:gridCol w:w="2976"/>
            <w:gridCol w:w="2975"/>
            <w:gridCol w:w="2899"/>
          </w:tblGrid>
        </w:tblGridChange>
      </w:tblGrid>
      <w:tr>
        <w:trPr>
          <w:cantSplit w:val="0"/>
          <w:tblHeader w:val="0"/>
        </w:trPr>
        <w:tc>
          <w:tcPr/>
          <w:p w:rsidR="00000000" w:rsidDel="00000000" w:rsidP="00000000" w:rsidRDefault="00000000" w:rsidRPr="00000000" w14:paraId="00000035">
            <w:pPr>
              <w:spacing w:after="12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DEFFORM No</w:t>
            </w:r>
          </w:p>
        </w:tc>
        <w:tc>
          <w:tcPr/>
          <w:p w:rsidR="00000000" w:rsidDel="00000000" w:rsidP="00000000" w:rsidRDefault="00000000" w:rsidRPr="00000000" w14:paraId="00000036">
            <w:pPr>
              <w:spacing w:after="120" w:lineRule="auto"/>
              <w:jc w:val="both"/>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Version</w:t>
            </w:r>
            <w:r w:rsidDel="00000000" w:rsidR="00000000" w:rsidRPr="00000000">
              <w:rPr>
                <w:rtl w:val="0"/>
              </w:rPr>
            </w:r>
          </w:p>
        </w:tc>
        <w:tc>
          <w:tcPr/>
          <w:p w:rsidR="00000000" w:rsidDel="00000000" w:rsidP="00000000" w:rsidRDefault="00000000" w:rsidRPr="00000000" w14:paraId="00000037">
            <w:pPr>
              <w:spacing w:after="120" w:lineRule="auto"/>
              <w:jc w:val="both"/>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38">
            <w:pPr>
              <w:spacing w:after="120" w:lineRule="auto"/>
              <w:jc w:val="both"/>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9">
            <w:pPr>
              <w:spacing w:after="120" w:lineRule="auto"/>
              <w:jc w:val="both"/>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A">
            <w:pPr>
              <w:spacing w:after="120" w:lineRule="auto"/>
              <w:jc w:val="both"/>
              <w:rPr>
                <w:rFonts w:ascii="Arial" w:cs="Arial" w:eastAsia="Arial" w:hAnsi="Arial"/>
                <w:b w:val="1"/>
                <w:color w:val="000000"/>
                <w:sz w:val="24"/>
                <w:szCs w:val="24"/>
              </w:rPr>
            </w:pPr>
            <w:r w:rsidDel="00000000" w:rsidR="00000000" w:rsidRPr="00000000">
              <w:rPr>
                <w:rtl w:val="0"/>
              </w:rPr>
            </w:r>
          </w:p>
        </w:tc>
      </w:tr>
    </w:tbl>
    <w:p w:rsidR="00000000" w:rsidDel="00000000" w:rsidP="00000000" w:rsidRDefault="00000000" w:rsidRPr="00000000" w14:paraId="0000003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hd w:fill="ffffff" w:val="clear"/>
        <w:spacing w:after="0" w:lineRule="auto"/>
        <w:ind w:left="21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DEFSTANs (Defence Standards)</w:t>
      </w:r>
    </w:p>
    <w:p w:rsidR="00000000" w:rsidDel="00000000" w:rsidP="00000000" w:rsidRDefault="00000000" w:rsidRPr="00000000" w14:paraId="0000003D">
      <w:pPr>
        <w:shd w:fill="ffffff" w:val="clear"/>
        <w:spacing w:after="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4"/>
        <w:tblW w:w="8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70"/>
        <w:gridCol w:w="2925"/>
        <w:gridCol w:w="2925"/>
        <w:tblGridChange w:id="0">
          <w:tblGrid>
            <w:gridCol w:w="2970"/>
            <w:gridCol w:w="2925"/>
            <w:gridCol w:w="2925"/>
          </w:tblGrid>
        </w:tblGridChange>
      </w:tblGrid>
      <w:tr>
        <w:trPr>
          <w:cantSplit w:val="0"/>
          <w:trHeight w:val="6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DEFSTAN No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Version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r>
      <w:tr>
        <w:trPr>
          <w:cantSplit w:val="0"/>
          <w:trHeight w:val="9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DEFSTAN 05-138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Issue 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cyber security for defence suppliers</w:t>
            </w:r>
          </w:p>
        </w:tc>
      </w:tr>
    </w:tbl>
    <w:p w:rsidR="00000000" w:rsidDel="00000000" w:rsidP="00000000" w:rsidRDefault="00000000" w:rsidRPr="00000000" w14:paraId="00000044">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jc w:val="both"/>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2 - Processing Personal Data</w:t>
      </w:r>
    </w:p>
    <w:p w:rsidR="00000000" w:rsidDel="00000000" w:rsidP="00000000" w:rsidRDefault="00000000" w:rsidRPr="00000000" w14:paraId="0000004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Annex shall be completed by the Buyer, who may take account of the view of the Processors, however the final decision as to the content of this Annex 2 shall be with the Buyer at its absolute discretion.  </w:t>
      </w:r>
    </w:p>
    <w:p w:rsidR="00000000" w:rsidDel="00000000" w:rsidP="00000000" w:rsidRDefault="00000000" w:rsidRPr="00000000" w14:paraId="00000048">
      <w:pPr>
        <w:keepNext w:val="1"/>
        <w:numPr>
          <w:ilvl w:val="3"/>
          <w:numId w:val="1"/>
        </w:numPr>
        <w:spacing w:after="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Buyer’s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49">
      <w:pPr>
        <w:keepNext w:val="1"/>
        <w:numPr>
          <w:ilvl w:val="3"/>
          <w:numId w:val="1"/>
        </w:numPr>
        <w:spacing w:after="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Supplier’s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4A">
      <w:pPr>
        <w:keepNext w:val="1"/>
        <w:numPr>
          <w:ilvl w:val="3"/>
          <w:numId w:val="1"/>
        </w:numPr>
        <w:spacing w:after="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comply with any further written instructions with respect to Processing by the Controller.</w:t>
      </w:r>
    </w:p>
    <w:p w:rsidR="00000000" w:rsidDel="00000000" w:rsidP="00000000" w:rsidRDefault="00000000" w:rsidRPr="00000000" w14:paraId="0000004B">
      <w:pPr>
        <w:keepNext w:val="1"/>
        <w:numPr>
          <w:ilvl w:val="3"/>
          <w:numId w:val="1"/>
        </w:numPr>
        <w:spacing w:after="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such further instructions shall be incorporated into this Annex.</w:t>
      </w:r>
    </w:p>
    <w:p w:rsidR="00000000" w:rsidDel="00000000" w:rsidP="00000000" w:rsidRDefault="00000000" w:rsidRPr="00000000" w14:paraId="0000004C">
      <w:pPr>
        <w:keepNext w:val="1"/>
        <w:ind w:left="720" w:firstLine="0"/>
        <w:rPr>
          <w:rFonts w:ascii="Arial" w:cs="Arial" w:eastAsia="Arial" w:hAnsi="Arial"/>
          <w:sz w:val="24"/>
          <w:szCs w:val="24"/>
        </w:rPr>
      </w:pPr>
      <w:r w:rsidDel="00000000" w:rsidR="00000000" w:rsidRPr="00000000">
        <w:rPr>
          <w:rtl w:val="0"/>
        </w:rPr>
      </w:r>
    </w:p>
    <w:tbl>
      <w:tblPr>
        <w:tblStyle w:val="Table5"/>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04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c>
          <w:tcPr>
            <w:shd w:fill="bfbfbf" w:val="clear"/>
            <w:vAlign w:val="center"/>
          </w:tcPr>
          <w:p w:rsidR="00000000" w:rsidDel="00000000" w:rsidP="00000000" w:rsidRDefault="00000000" w:rsidRPr="00000000" w14:paraId="0000004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Identity of Controller for each Category of Personal Data</w:t>
            </w:r>
          </w:p>
        </w:tc>
        <w:tc>
          <w:tcPr>
            <w:shd w:fill="auto" w:val="clear"/>
          </w:tcPr>
          <w:p w:rsidR="00000000" w:rsidDel="00000000" w:rsidP="00000000" w:rsidRDefault="00000000" w:rsidRPr="00000000" w14:paraId="0000005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Buyer is Controller and the Supplier is Processor</w:t>
            </w:r>
          </w:p>
          <w:p w:rsidR="00000000" w:rsidDel="00000000" w:rsidP="00000000" w:rsidRDefault="00000000" w:rsidRPr="00000000" w14:paraId="0000005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in accordance with Paragraph 3 to Paragraph 16 of Joint Schedule 11 (Processing Data) and for the purposes of the Data Protection Legislation, the Buyer is the Controller and the Supplier is the Processor.</w:t>
            </w:r>
          </w:p>
        </w:tc>
      </w:tr>
      <w:tr>
        <w:trPr>
          <w:cantSplit w:val="0"/>
          <w:trHeight w:val="1460" w:hRule="atLeast"/>
          <w:tblHeader w:val="0"/>
        </w:trPr>
        <w:tc>
          <w:tcPr>
            <w:shd w:fill="auto" w:val="clear"/>
          </w:tcPr>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Duration of the Processing</w:t>
            </w:r>
          </w:p>
        </w:tc>
        <w:tc>
          <w:tcPr>
            <w:shd w:fill="auto" w:val="clear"/>
          </w:tcPr>
          <w:p w:rsidR="00000000" w:rsidDel="00000000" w:rsidP="00000000" w:rsidRDefault="00000000" w:rsidRPr="00000000" w14:paraId="00000053">
            <w:pPr>
              <w:jc w:val="both"/>
              <w:rPr>
                <w:rFonts w:ascii="Arial" w:cs="Arial" w:eastAsia="Arial" w:hAnsi="Arial"/>
                <w:color w:val="ff0000"/>
                <w:sz w:val="24"/>
                <w:szCs w:val="24"/>
              </w:rPr>
            </w:pPr>
            <w:r w:rsidDel="00000000" w:rsidR="00000000" w:rsidRPr="00000000">
              <w:rPr>
                <w:rFonts w:ascii="Arial" w:cs="Arial" w:eastAsia="Arial" w:hAnsi="Arial"/>
                <w:color w:val="000000"/>
                <w:sz w:val="24"/>
                <w:szCs w:val="24"/>
                <w:rtl w:val="0"/>
              </w:rPr>
              <w:t xml:space="preserve">The term of this Contract, unless specified otherwise in that Party’s privacy notice and/or retention schedule, as notified to the other parties in writing.</w:t>
            </w:r>
            <w:r w:rsidDel="00000000" w:rsidR="00000000" w:rsidRPr="00000000">
              <w:rPr>
                <w:rtl w:val="0"/>
              </w:rPr>
            </w:r>
          </w:p>
        </w:tc>
      </w:tr>
      <w:tr>
        <w:trPr>
          <w:cantSplit w:val="0"/>
          <w:trHeight w:val="1520" w:hRule="atLeast"/>
          <w:tblHeader w:val="0"/>
        </w:trPr>
        <w:tc>
          <w:tcPr>
            <w:shd w:fill="auto" w:val="clear"/>
          </w:tcPr>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and purposes of the Processing</w:t>
            </w:r>
          </w:p>
        </w:tc>
        <w:tc>
          <w:tcPr>
            <w:shd w:fill="auto" w:val="clear"/>
          </w:tcPr>
          <w:p w:rsidR="00000000" w:rsidDel="00000000" w:rsidP="00000000" w:rsidRDefault="00000000" w:rsidRPr="00000000" w14:paraId="0000005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056">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57">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Processing of Personal Data is for the purposes of managing the contractual relationship between the Parties and to evidence compliance with legal, professional and/or regulatory obligations on each Party, and is undertaken on the following purposes, as set out in Article 6 of the GDPR, including where the Processing is necessary for:</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Compliance with a legal obligation to which that Party is subject;</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performance of a task carried out in the public interest or in the exercise of official authority vested in that Party;</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purposes of the legitimate interests pursued by that or any other third party, except where such interests are overridden by the interests or fundamental rights and freedoms of the data subject which require protection of personal data, in particular, where the data subject is a child (and in respect of the Relevant Authority, where no other grounds set out above are applicable); or</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1"/>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data subject has consented to the Processing of their personal data for one or more specified purposes.</w:t>
            </w:r>
            <w:r w:rsidDel="00000000" w:rsidR="00000000" w:rsidRPr="00000000">
              <w:rPr>
                <w:rtl w:val="0"/>
              </w:rPr>
            </w:r>
          </w:p>
          <w:p w:rsidR="00000000" w:rsidDel="00000000" w:rsidP="00000000" w:rsidRDefault="00000000" w:rsidRPr="00000000" w14:paraId="0000005C">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Processing of Personal Data relating to or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where necessary for the purposes of providing the Services authorised by the Buyer to Travellers, shall only be undertaken where it falls under:</w:t>
            </w:r>
          </w:p>
          <w:p w:rsidR="00000000" w:rsidDel="00000000" w:rsidP="00000000" w:rsidRDefault="00000000" w:rsidRPr="00000000" w14:paraId="0000005D">
            <w:pPr>
              <w:numPr>
                <w:ilvl w:val="0"/>
                <w:numId w:val="4"/>
              </w:numPr>
              <w:spacing w:line="276"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One or more of the purposes set out above; and</w:t>
            </w:r>
          </w:p>
          <w:p w:rsidR="00000000" w:rsidDel="00000000" w:rsidP="00000000" w:rsidRDefault="00000000" w:rsidRPr="00000000" w14:paraId="0000005E">
            <w:pPr>
              <w:numPr>
                <w:ilvl w:val="0"/>
                <w:numId w:val="4"/>
              </w:numPr>
              <w:spacing w:line="276"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One or more of the following purposes:</w:t>
            </w:r>
          </w:p>
          <w:p w:rsidR="00000000" w:rsidDel="00000000" w:rsidP="00000000" w:rsidRDefault="00000000" w:rsidRPr="00000000" w14:paraId="0000005F">
            <w:pPr>
              <w:numPr>
                <w:ilvl w:val="1"/>
                <w:numId w:val="4"/>
              </w:numPr>
              <w:spacing w:after="240" w:before="24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Processing is necessary for the purposes of carrying out the obligations and exercising specific rights of the controller or of the data subject in the field of employment and social security and social protection law in so far as it is authorised by Union or Member State law </w:t>
            </w:r>
          </w:p>
          <w:p w:rsidR="00000000" w:rsidDel="00000000" w:rsidP="00000000" w:rsidRDefault="00000000" w:rsidRPr="00000000" w14:paraId="00000060">
            <w:pPr>
              <w:numPr>
                <w:ilvl w:val="1"/>
                <w:numId w:val="4"/>
              </w:numPr>
              <w:spacing w:line="276"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Processing is necessary to protect the vital interests of the data subject or of another natural person where the data subject is physically or legally incapable of giving consent; </w:t>
            </w:r>
          </w:p>
          <w:p w:rsidR="00000000" w:rsidDel="00000000" w:rsidP="00000000" w:rsidRDefault="00000000" w:rsidRPr="00000000" w14:paraId="00000061">
            <w:pPr>
              <w:numPr>
                <w:ilvl w:val="1"/>
                <w:numId w:val="4"/>
              </w:numPr>
              <w:spacing w:line="276"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Processing is necessary for the establishment, exercise or defence of legal claims or whenever courts are acting in their judicial capacity; or</w:t>
            </w:r>
          </w:p>
          <w:p w:rsidR="00000000" w:rsidDel="00000000" w:rsidP="00000000" w:rsidRDefault="00000000" w:rsidRPr="00000000" w14:paraId="00000062">
            <w:pPr>
              <w:numPr>
                <w:ilvl w:val="1"/>
                <w:numId w:val="4"/>
              </w:numPr>
              <w:spacing w:line="276"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or</w:t>
            </w:r>
          </w:p>
          <w:p w:rsidR="00000000" w:rsidDel="00000000" w:rsidP="00000000" w:rsidRDefault="00000000" w:rsidRPr="00000000" w14:paraId="00000063">
            <w:pPr>
              <w:numPr>
                <w:ilvl w:val="0"/>
                <w:numId w:val="4"/>
              </w:numPr>
              <w:spacing w:line="276" w:lineRule="auto"/>
              <w:ind w:left="720" w:hanging="360"/>
              <w:jc w:val="both"/>
              <w:rPr>
                <w:rFonts w:ascii="Arial" w:cs="Arial" w:eastAsia="Arial" w:hAnsi="Arial"/>
                <w:color w:val="ff0000"/>
                <w:sz w:val="24"/>
                <w:szCs w:val="24"/>
              </w:rPr>
            </w:pPr>
            <w:r w:rsidDel="00000000" w:rsidR="00000000" w:rsidRPr="00000000">
              <w:rPr>
                <w:rFonts w:ascii="Arial" w:cs="Arial" w:eastAsia="Arial" w:hAnsi="Arial"/>
                <w:color w:val="000000"/>
                <w:sz w:val="24"/>
                <w:szCs w:val="24"/>
                <w:rtl w:val="0"/>
              </w:rPr>
              <w:t xml:space="preserve">Where the Data Subject has given their explicit consent to the Processing of his or her Personal Data for one or more specific purposes.</w:t>
            </w:r>
            <w:r w:rsidDel="00000000" w:rsidR="00000000" w:rsidRPr="00000000">
              <w:rPr>
                <w:rtl w:val="0"/>
              </w:rPr>
            </w:r>
          </w:p>
        </w:tc>
      </w:tr>
      <w:tr>
        <w:trPr>
          <w:cantSplit w:val="0"/>
          <w:trHeight w:val="1400" w:hRule="atLeast"/>
          <w:tblHeader w:val="0"/>
        </w:trPr>
        <w:tc>
          <w:tcPr>
            <w:shd w:fill="auto" w:val="clear"/>
          </w:tcPr>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sz w:val="24"/>
                <w:szCs w:val="24"/>
                <w:rtl w:val="0"/>
              </w:rPr>
              <w:t xml:space="preserve">Type of Personal Data</w:t>
            </w:r>
          </w:p>
        </w:tc>
        <w:tc>
          <w:tcPr>
            <w:shd w:fill="auto" w:val="clear"/>
          </w:tcPr>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Date of Birth</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Passport Number</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Telephone Number</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Traveller address</w:t>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Staff Number</w:t>
            </w:r>
          </w:p>
          <w:p w:rsidR="00000000" w:rsidDel="00000000" w:rsidP="00000000" w:rsidRDefault="00000000" w:rsidRPr="00000000" w14:paraId="0000006C">
            <w:pPr>
              <w:numPr>
                <w:ilvl w:val="0"/>
                <w:numId w:val="2"/>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Dates and times of travel</w:t>
            </w:r>
          </w:p>
          <w:p w:rsidR="00000000" w:rsidDel="00000000" w:rsidP="00000000" w:rsidRDefault="00000000" w:rsidRPr="00000000" w14:paraId="0000006D">
            <w:pPr>
              <w:numPr>
                <w:ilvl w:val="0"/>
                <w:numId w:val="2"/>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Locations and periods at a location</w:t>
            </w:r>
          </w:p>
          <w:p w:rsidR="00000000" w:rsidDel="00000000" w:rsidP="00000000" w:rsidRDefault="00000000" w:rsidRPr="00000000" w14:paraId="0000006E">
            <w:pPr>
              <w:numPr>
                <w:ilvl w:val="0"/>
                <w:numId w:val="2"/>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Home Address</w:t>
            </w:r>
          </w:p>
          <w:p w:rsidR="00000000" w:rsidDel="00000000" w:rsidP="00000000" w:rsidRDefault="00000000" w:rsidRPr="00000000" w14:paraId="0000006F">
            <w:pPr>
              <w:numPr>
                <w:ilvl w:val="0"/>
                <w:numId w:val="2"/>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 number</w:t>
            </w:r>
          </w:p>
          <w:p w:rsidR="00000000" w:rsidDel="00000000" w:rsidP="00000000" w:rsidRDefault="00000000" w:rsidRPr="00000000" w14:paraId="00000070">
            <w:pPr>
              <w:numPr>
                <w:ilvl w:val="0"/>
                <w:numId w:val="2"/>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Next of kin details</w:t>
            </w:r>
          </w:p>
          <w:p w:rsidR="00000000" w:rsidDel="00000000" w:rsidP="00000000" w:rsidRDefault="00000000" w:rsidRPr="00000000" w14:paraId="00000071">
            <w:pPr>
              <w:numPr>
                <w:ilvl w:val="0"/>
                <w:numId w:val="2"/>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Photo</w:t>
            </w:r>
          </w:p>
          <w:p w:rsidR="00000000" w:rsidDel="00000000" w:rsidP="00000000" w:rsidRDefault="00000000" w:rsidRPr="00000000" w14:paraId="00000072">
            <w:pPr>
              <w:numPr>
                <w:ilvl w:val="0"/>
                <w:numId w:val="2"/>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Place of birth</w:t>
            </w:r>
          </w:p>
          <w:p w:rsidR="00000000" w:rsidDel="00000000" w:rsidP="00000000" w:rsidRDefault="00000000" w:rsidRPr="00000000" w14:paraId="00000073">
            <w:pPr>
              <w:numPr>
                <w:ilvl w:val="0"/>
                <w:numId w:val="2"/>
              </w:numPr>
              <w:spacing w:after="0" w:lineRule="auto"/>
              <w:ind w:left="720" w:hanging="360"/>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Any other personal data volunteered by the data subject</w:t>
            </w:r>
            <w:r w:rsidDel="00000000" w:rsidR="00000000" w:rsidRPr="00000000">
              <w:rPr>
                <w:rFonts w:ascii="Arial" w:cs="Arial" w:eastAsia="Arial" w:hAnsi="Arial"/>
                <w:i w:val="1"/>
                <w:sz w:val="24"/>
                <w:szCs w:val="24"/>
                <w:rtl w:val="0"/>
              </w:rPr>
              <w:t xml:space="preserve"> </w:t>
            </w:r>
          </w:p>
        </w:tc>
      </w:tr>
      <w:tr>
        <w:trPr>
          <w:cantSplit w:val="0"/>
          <w:trHeight w:val="1400" w:hRule="atLeast"/>
          <w:tblHeader w:val="0"/>
        </w:trPr>
        <w:tc>
          <w:tcPr>
            <w:shd w:fill="auto" w:val="clear"/>
          </w:tcPr>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Special Category Date </w:t>
            </w:r>
          </w:p>
        </w:tc>
        <w:tc>
          <w:tcPr>
            <w:shd w:fill="auto" w:val="clear"/>
          </w:tcPr>
          <w:p w:rsidR="00000000" w:rsidDel="00000000" w:rsidP="00000000" w:rsidRDefault="00000000" w:rsidRPr="00000000" w14:paraId="00000075">
            <w:pPr>
              <w:numPr>
                <w:ilvl w:val="0"/>
                <w:numId w:val="2"/>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medical condition;</w:t>
            </w:r>
          </w:p>
          <w:p w:rsidR="00000000" w:rsidDel="00000000" w:rsidP="00000000" w:rsidRDefault="00000000" w:rsidRPr="00000000" w14:paraId="00000076">
            <w:pPr>
              <w:numPr>
                <w:ilvl w:val="0"/>
                <w:numId w:val="2"/>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Dietary requirements;</w:t>
            </w:r>
          </w:p>
          <w:p w:rsidR="00000000" w:rsidDel="00000000" w:rsidP="00000000" w:rsidRDefault="00000000" w:rsidRPr="00000000" w14:paraId="00000077">
            <w:pPr>
              <w:numPr>
                <w:ilvl w:val="0"/>
                <w:numId w:val="2"/>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Religion or Philosophical beliefs;</w:t>
            </w:r>
          </w:p>
          <w:p w:rsidR="00000000" w:rsidDel="00000000" w:rsidP="00000000" w:rsidRDefault="00000000" w:rsidRPr="00000000" w14:paraId="00000078">
            <w:pPr>
              <w:numPr>
                <w:ilvl w:val="0"/>
                <w:numId w:val="2"/>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Sexual orientation;</w:t>
            </w:r>
          </w:p>
          <w:p w:rsidR="00000000" w:rsidDel="00000000" w:rsidP="00000000" w:rsidRDefault="00000000" w:rsidRPr="00000000" w14:paraId="00000079">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with any other Travellers.</w:t>
            </w:r>
          </w:p>
        </w:tc>
      </w:tr>
      <w:tr>
        <w:trPr>
          <w:cantSplit w:val="0"/>
          <w:trHeight w:val="927" w:hRule="atLeast"/>
          <w:tblHeader w:val="0"/>
        </w:trPr>
        <w:tc>
          <w:tcPr>
            <w:shd w:fill="auto" w:val="clear"/>
          </w:tcPr>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Categories of Data Subject</w:t>
            </w:r>
          </w:p>
        </w:tc>
        <w:tc>
          <w:tcPr>
            <w:shd w:fill="auto" w:val="clear"/>
          </w:tcPr>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Travellers.</w:t>
            </w:r>
          </w:p>
          <w:p w:rsidR="00000000" w:rsidDel="00000000" w:rsidP="00000000" w:rsidRDefault="00000000" w:rsidRPr="00000000" w14:paraId="0000007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Employees of the Buyer, British and foreign nationals in the event that the UK Government is supporting them as part of a crisis management response.</w:t>
            </w:r>
          </w:p>
        </w:tc>
      </w:tr>
      <w:tr>
        <w:trPr>
          <w:cantSplit w:val="0"/>
          <w:trHeight w:val="927" w:hRule="atLeast"/>
          <w:tblHeader w:val="0"/>
        </w:trPr>
        <w:tc>
          <w:tcPr>
            <w:shd w:fill="auto" w:val="clear"/>
          </w:tcPr>
          <w:p w:rsidR="00000000" w:rsidDel="00000000" w:rsidP="00000000" w:rsidRDefault="00000000" w:rsidRPr="00000000" w14:paraId="0000007D">
            <w:pPr>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transfers and legal gateway</w:t>
            </w:r>
            <w:r w:rsidDel="00000000" w:rsidR="00000000" w:rsidRPr="00000000">
              <w:rPr>
                <w:rtl w:val="0"/>
              </w:rPr>
            </w:r>
          </w:p>
        </w:tc>
        <w:tc>
          <w:tcPr>
            <w:shd w:fill="auto" w:val="clear"/>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[Explain where geographically personal data may be stored or accessed from. Explain the legal gateway you are relying on to export the data e.g. adequacy decision, EU SCCs, UK IDTA. Annex any SCCs or IDTA to this contract]</w:t>
            </w:r>
            <w:r w:rsidDel="00000000" w:rsidR="00000000" w:rsidRPr="00000000">
              <w:rPr>
                <w:rtl w:val="0"/>
              </w:rPr>
            </w:r>
          </w:p>
        </w:tc>
      </w:tr>
      <w:tr>
        <w:trPr>
          <w:cantSplit w:val="0"/>
          <w:trHeight w:val="1660" w:hRule="atLeast"/>
          <w:tblHeader w:val="0"/>
        </w:trPr>
        <w:tc>
          <w:tcPr>
            <w:shd w:fill="auto" w:val="clear"/>
          </w:tcPr>
          <w:p w:rsidR="00000000" w:rsidDel="00000000" w:rsidP="00000000" w:rsidRDefault="00000000" w:rsidRPr="00000000" w14:paraId="0000007F">
            <w:pPr>
              <w:rPr>
                <w:rFonts w:ascii="Arial" w:cs="Arial" w:eastAsia="Arial" w:hAnsi="Arial"/>
                <w:sz w:val="24"/>
                <w:szCs w:val="24"/>
              </w:rPr>
            </w:pPr>
            <w:r w:rsidDel="00000000" w:rsidR="00000000" w:rsidRPr="00000000">
              <w:rPr>
                <w:rFonts w:ascii="Arial" w:cs="Arial" w:eastAsia="Arial" w:hAnsi="Arial"/>
                <w:sz w:val="24"/>
                <w:szCs w:val="24"/>
                <w:rtl w:val="0"/>
              </w:rPr>
              <w:t xml:space="preserve">Plan for return and destruction of the data once the Processing is complete</w:t>
            </w:r>
          </w:p>
          <w:p w:rsidR="00000000" w:rsidDel="00000000" w:rsidP="00000000" w:rsidRDefault="00000000" w:rsidRPr="00000000" w14:paraId="00000080">
            <w:pPr>
              <w:rPr>
                <w:rFonts w:ascii="Arial" w:cs="Arial" w:eastAsia="Arial" w:hAnsi="Arial"/>
                <w:sz w:val="24"/>
                <w:szCs w:val="24"/>
              </w:rPr>
            </w:pPr>
            <w:r w:rsidDel="00000000" w:rsidR="00000000" w:rsidRPr="00000000">
              <w:rPr>
                <w:rFonts w:ascii="Arial" w:cs="Arial" w:eastAsia="Arial" w:hAnsi="Arial"/>
                <w:sz w:val="24"/>
                <w:szCs w:val="24"/>
                <w:rtl w:val="0"/>
              </w:rPr>
              <w:t xml:space="preserve">UNLESS requirement under Union or Member State law to preserve that type of data</w:t>
            </w:r>
          </w:p>
        </w:tc>
        <w:tc>
          <w:tcPr>
            <w:shd w:fill="auto" w:val="clear"/>
          </w:tcPr>
          <w:p w:rsidR="00000000" w:rsidDel="00000000" w:rsidP="00000000" w:rsidRDefault="00000000" w:rsidRPr="00000000" w14:paraId="00000081">
            <w:pPr>
              <w:jc w:val="both"/>
              <w:rPr>
                <w:rFonts w:ascii="Arial" w:cs="Arial" w:eastAsia="Arial" w:hAnsi="Arial"/>
                <w:color w:val="ff0000"/>
                <w:sz w:val="24"/>
                <w:szCs w:val="24"/>
              </w:rPr>
            </w:pPr>
            <w:r w:rsidDel="00000000" w:rsidR="00000000" w:rsidRPr="00000000">
              <w:rPr>
                <w:rFonts w:ascii="Arial" w:cs="Arial" w:eastAsia="Arial" w:hAnsi="Arial"/>
                <w:color w:val="000000"/>
                <w:sz w:val="24"/>
                <w:szCs w:val="24"/>
                <w:rtl w:val="0"/>
              </w:rPr>
              <w:t xml:space="preserve">Personal Data will be retained in accordance with each Party’s retention schedule or privacy notice, unless required by law or retain this information for longer, and then securely and irretrievably deleted.</w:t>
            </w:r>
            <w:r w:rsidDel="00000000" w:rsidR="00000000" w:rsidRPr="00000000">
              <w:rPr>
                <w:rtl w:val="0"/>
              </w:rPr>
            </w:r>
          </w:p>
        </w:tc>
      </w:tr>
    </w:tbl>
    <w:p w:rsidR="00000000" w:rsidDel="00000000" w:rsidP="00000000" w:rsidRDefault="00000000" w:rsidRPr="00000000" w14:paraId="00000082">
      <w:pPr>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83">
      <w:pP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84">
      <w:pPr>
        <w:jc w:val="both"/>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3 - (Condition for Output price index based VOP Arrangement)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Variation of the Charges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The Charges stated in the Order Form are FIXED as at the Start Date. The Charges do not include provision beyond the Start Date for increases or decreases in the market price of the Deliverables being purchased. Any such variation shall be calculated in accordance with the following formula: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 P (a+b (Oi/O0)) - P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Where: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represents the variation of price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represents the FIXED price as stated in the Schedule of Requirements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represents the index HQTI - Top Level SPPI, Sections H to U excl. Section K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represents the average OUTPUT Price Index figure for the base period from the date which is three years from the Start Date to the End Date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represents the average OUTPUT Price Index figure for the period from the date which is three years from the Start Date to the End Date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represents the Non- Variable Element (NVE)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represents the Variable Element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a+b=1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The Index referred to in Paragraph 1 above shall be taken from the following Tables: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OUTPUT Price Index - e.g. ONS Publication MM22 Table 2 'Price Indices of UK OUTPUT: All Manufacturing and Selected Industries', or, Table 4 'Price Indices of Products Manufactured in the UK'.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Indices published with a ‘B’ or ‘F’ marker, or a suppressed value, in the last 3 years are not valid for Variation of Price clauses and shall not be used. Where the price index has an ‘F’ marker or suppression applied to it during the Contract Period, the Buyer and the Supplier shall agree an appropriate replacement index or indices. The replacement index or indices shall cover, to the maximum extent possible, the same economic activities as the original index or indices.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In the event that any material changes are made to the indices (e.g. a revised statistical base date) during the Contract Period and before final adjustment of the final contract price, then the re-basing methodology outlined by the Office for National Statistics (ONS, the series providers) to match the original index to the new series shall be applied.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In the event the agreed index or indices cease to be published (e.g. because of a change in the Standard Industrial Classification) the Buyer and the Supplier shall agree an appropriate replacement index or indices, which shall cover to the maximum extent possible the same economic activities as the original index or indices. The methodology outlined by the Office for National Statistics used for rebasing indices (as in Paragraph 4 above) shall then be applied.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Notwithstanding the above, any extant index / indices agreed in this Contract shall continue to be used as long as it is / they are available and subject to ONS revisions policy. Charges calculated using the extant index / indices during its / their currency shall not be amended retrospectively as a result of any change to the index or indices.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The Supplier shall notify the Buyer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Charges shall be adjusted taking into account the effect of the above formula as soon as possible after publication of the relevant indices or at a later date if so agreed between the Buyer and the Supplier. Where an index value is subsequently amended, the Buyer and the Supplier shall agree a fair and reasonable adjustment to the Charges, as necessary.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Claims under this Annex 3 shall be submitted to the Bill Paying Branch, certified to the effect that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requirements of Annex 3 of Call-Off Schedule 17 (MOD Additional and Data Processing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have been met. </w:t>
      </w:r>
    </w:p>
    <w:p w:rsidR="00000000" w:rsidDel="00000000" w:rsidP="00000000" w:rsidRDefault="00000000" w:rsidRPr="00000000" w14:paraId="000000A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jc w:val="both"/>
        <w:rPr>
          <w:rFonts w:ascii="Arial" w:cs="Arial" w:eastAsia="Arial" w:hAnsi="Arial"/>
          <w:b w:val="1"/>
          <w:sz w:val="24"/>
          <w:szCs w:val="24"/>
        </w:rPr>
      </w:pPr>
      <w:r w:rsidDel="00000000" w:rsidR="00000000" w:rsidRPr="00000000">
        <w:rPr>
          <w:rtl w:val="0"/>
        </w:rPr>
      </w:r>
    </w:p>
    <w:sectPr>
      <w:headerReference r:id="rId8" w:type="defaul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Courier New"/>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A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RM6342</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B0">
    <w:pPr>
      <w:tabs>
        <w:tab w:val="center" w:leader="none" w:pos="4513"/>
        <w:tab w:val="right" w:leader="none" w:pos="9026"/>
      </w:tabs>
      <w:spacing w:after="0" w:lineRule="auto"/>
      <w:rPr/>
    </w:pPr>
    <w:r w:rsidDel="00000000" w:rsidR="00000000" w:rsidRPr="00000000">
      <w:rPr>
        <w:rtl w:val="0"/>
      </w:rPr>
      <w:t xml:space="preserve">Framework Ref: RM</w:t>
      <w:tab/>
      <w:t xml:space="preserve">                                           </w:t>
    </w:r>
  </w:p>
  <w:p w:rsidR="00000000" w:rsidDel="00000000" w:rsidP="00000000" w:rsidRDefault="00000000" w:rsidRPr="00000000" w14:paraId="000000B1">
    <w:pPr>
      <w:tabs>
        <w:tab w:val="center" w:leader="none" w:pos="4513"/>
        <w:tab w:val="right" w:leader="none" w:pos="9026"/>
      </w:tabs>
      <w:spacing w:after="0" w:lineRule="auto"/>
      <w:rPr/>
    </w:pPr>
    <w:r w:rsidDel="00000000" w:rsidR="00000000" w:rsidRPr="00000000">
      <w:rPr>
        <w:rtl w:val="0"/>
      </w:rPr>
      <w:t xml:space="preserve">Project Version: v1.0</w:t>
      <w:tab/>
      <w:tab/>
      <w:tab/>
      <w:t xml:space="preserve"> -1-</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color w:val="000000"/>
        <w:rtl w:val="0"/>
      </w:rPr>
      <w:t xml:space="preserve">Model Version : v2.9</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17 (MOD Additional and Data Processing Terms) </w:t>
    </w:r>
    <w:r w:rsidDel="00000000" w:rsidR="00000000" w:rsidRPr="00000000">
      <w:rPr>
        <w:rtl w:val="0"/>
      </w:rPr>
    </w:r>
  </w:p>
  <w:p w:rsidR="00000000" w:rsidDel="00000000" w:rsidP="00000000" w:rsidRDefault="00000000" w:rsidRPr="00000000" w14:paraId="000000A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A9">
    <w:pPr>
      <w:spacing w:after="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p w:rsidR="00000000" w:rsidDel="00000000" w:rsidP="00000000" w:rsidRDefault="00000000" w:rsidRPr="00000000" w14:paraId="000000AA">
    <w:pPr>
      <w:spacing w:after="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9"/>
      <w:numFmt w:val="bullet"/>
      <w:lvlText w:val="-"/>
      <w:lvlJc w:val="left"/>
      <w:pPr>
        <w:ind w:left="720" w:hanging="360"/>
      </w:pPr>
      <w:rPr>
        <w:rFonts w:ascii="Arial" w:cs="Arial" w:eastAsia="Arial" w:hAnsi="Arial"/>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lineRule="auto"/>
      <w:ind w:left="720" w:hanging="720"/>
    </w:pPr>
    <w:rPr>
      <w:rFonts w:ascii="Calibri" w:cs="Calibri" w:eastAsia="Calibri" w:hAnsi="Calibri"/>
      <w:b w:val="1"/>
    </w:rPr>
  </w:style>
  <w:style w:type="paragraph" w:styleId="Heading2">
    <w:name w:val="heading 2"/>
    <w:basedOn w:val="Normal"/>
    <w:next w:val="Normal"/>
    <w:pPr>
      <w:keepNext w:val="1"/>
      <w:keepLines w:val="1"/>
      <w:spacing w:after="240" w:lineRule="auto"/>
      <w:ind w:left="1440" w:hanging="720"/>
      <w:jc w:val="both"/>
    </w:pPr>
    <w:rPr>
      <w:rFonts w:ascii="Calibri" w:cs="Calibri" w:eastAsia="Calibri" w:hAnsi="Calibri"/>
    </w:rPr>
  </w:style>
  <w:style w:type="paragraph" w:styleId="Heading3">
    <w:name w:val="heading 3"/>
    <w:basedOn w:val="Normal"/>
    <w:next w:val="Normal"/>
    <w:pPr>
      <w:keepNext w:val="1"/>
      <w:keepLines w:val="1"/>
      <w:spacing w:after="0" w:before="200" w:lineRule="auto"/>
      <w:ind w:left="2160" w:hanging="72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2880" w:hanging="720"/>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ind w:left="3600" w:hanging="72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4320" w:hanging="720"/>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link w:val="Heading1Char"/>
    <w:uiPriority w:val="9"/>
    <w:qFormat w:val="1"/>
    <w:pPr>
      <w:keepNext w:val="1"/>
      <w:keepLines w:val="1"/>
      <w:numPr>
        <w:numId w:val="2"/>
      </w:numPr>
      <w:spacing w:after="240"/>
      <w:outlineLvl w:val="0"/>
    </w:pPr>
    <w:rPr>
      <w:rFonts w:asciiTheme="minorHAnsi" w:cstheme="majorBidi" w:eastAsiaTheme="majorEastAsia" w:hAnsiTheme="minorHAnsi"/>
      <w:b w:val="1"/>
      <w:bCs w:val="1"/>
      <w:szCs w:val="28"/>
    </w:rPr>
  </w:style>
  <w:style w:type="paragraph" w:styleId="Heading2">
    <w:name w:val="heading 2"/>
    <w:basedOn w:val="Normal"/>
    <w:next w:val="Normal"/>
    <w:link w:val="Heading2Char"/>
    <w:uiPriority w:val="9"/>
    <w:unhideWhenUsed w:val="1"/>
    <w:qFormat w:val="1"/>
    <w:pPr>
      <w:keepNext w:val="1"/>
      <w:keepLines w:val="1"/>
      <w:numPr>
        <w:ilvl w:val="1"/>
        <w:numId w:val="2"/>
      </w:numPr>
      <w:spacing w:after="240"/>
      <w:jc w:val="both"/>
      <w:outlineLvl w:val="1"/>
    </w:pPr>
    <w:rPr>
      <w:rFonts w:asciiTheme="minorHAnsi" w:cstheme="majorBidi" w:eastAsiaTheme="majorEastAsia" w:hAnsiTheme="minorHAnsi"/>
      <w:bCs w:val="1"/>
      <w:szCs w:val="26"/>
    </w:rPr>
  </w:style>
  <w:style w:type="paragraph" w:styleId="Heading3">
    <w:name w:val="heading 3"/>
    <w:basedOn w:val="Normal"/>
    <w:next w:val="Normal"/>
    <w:link w:val="Heading3Char"/>
    <w:uiPriority w:val="9"/>
    <w:semiHidden w:val="1"/>
    <w:unhideWhenUsed w:val="1"/>
    <w:qFormat w:val="1"/>
    <w:pPr>
      <w:keepNext w:val="1"/>
      <w:keepLines w:val="1"/>
      <w:numPr>
        <w:ilvl w:val="2"/>
        <w:numId w:val="2"/>
      </w:numPr>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pPr>
      <w:keepNext w:val="1"/>
      <w:keepLines w:val="1"/>
      <w:numPr>
        <w:ilvl w:val="3"/>
        <w:numId w:val="2"/>
      </w:numPr>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pPr>
      <w:keepNext w:val="1"/>
      <w:keepLines w:val="1"/>
      <w:numPr>
        <w:ilvl w:val="4"/>
        <w:numId w:val="2"/>
      </w:numPr>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pPr>
      <w:keepNext w:val="1"/>
      <w:keepLines w:val="1"/>
      <w:numPr>
        <w:ilvl w:val="5"/>
        <w:numId w:val="2"/>
      </w:numPr>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pPr>
      <w:keepNext w:val="1"/>
      <w:keepLines w:val="1"/>
      <w:numPr>
        <w:ilvl w:val="6"/>
        <w:numId w:val="2"/>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numPr>
        <w:ilvl w:val="7"/>
        <w:numId w:val="2"/>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numPr>
        <w:ilvl w:val="8"/>
        <w:numId w:val="2"/>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GPSL1CLAUSEHEADING" w:customStyle="1">
    <w:name w:val="GPS L1 CLAUSE HEADING"/>
    <w:basedOn w:val="Normal"/>
    <w:next w:val="Normal"/>
    <w:qFormat w:val="1"/>
    <w:pPr>
      <w:adjustRightInd w:val="0"/>
      <w:spacing w:after="240" w:before="120"/>
      <w:ind w:firstLine="360"/>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tabs>
        <w:tab w:val="left" w:pos="1985"/>
      </w:tabs>
      <w:adjustRightInd w:val="0"/>
      <w:spacing w:after="120" w:before="120"/>
      <w:jc w:val="both"/>
    </w:pPr>
    <w:rPr>
      <w:rFonts w:cs="Arial" w:eastAsia="Times New Roman"/>
      <w:lang w:eastAsia="zh-CN"/>
    </w:rPr>
  </w:style>
  <w:style w:type="paragraph" w:styleId="GPSL4numberedclause" w:customStyle="1">
    <w:name w:val="GPS L4 numbered clause"/>
    <w:basedOn w:val="GPSL3numberedclause"/>
    <w:qFormat w:val="1"/>
    <w:pPr>
      <w:numPr>
        <w:ilvl w:val="3"/>
      </w:numPr>
      <w:tabs>
        <w:tab w:val="num" w:pos="360"/>
        <w:tab w:val="left" w:pos="2552"/>
      </w:tabs>
      <w:ind w:left="2552" w:hanging="567"/>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tabs>
        <w:tab w:val="left" w:pos="1134"/>
      </w:tabs>
      <w:adjustRightInd w:val="0"/>
      <w:spacing w:after="120" w:before="120"/>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ORDERFORML1PraraNo" w:customStyle="1">
    <w:name w:val="ORDER FORM L1 Prara No"/>
    <w:basedOn w:val="Normal"/>
    <w:qFormat w:val="1"/>
    <w:pPr>
      <w:tabs>
        <w:tab w:val="num" w:pos="720"/>
      </w:tabs>
      <w:adjustRightInd w:val="0"/>
      <w:spacing w:after="0"/>
      <w:ind w:left="426" w:hanging="426"/>
      <w:jc w:val="both"/>
    </w:pPr>
    <w:rPr>
      <w:rFonts w:eastAsia="STZhongsong"/>
      <w:b w:val="1"/>
      <w:caps w:val="1"/>
      <w:lang w:eastAsia="zh-CN"/>
    </w:rPr>
  </w:style>
  <w:style w:type="paragraph" w:styleId="ORDERFORML2Title" w:customStyle="1">
    <w:name w:val="ORDER FORM L2 Title"/>
    <w:basedOn w:val="Normal"/>
    <w:qFormat w:val="1"/>
    <w:pPr>
      <w:tabs>
        <w:tab w:val="num" w:pos="1440"/>
      </w:tabs>
      <w:adjustRightInd w:val="0"/>
      <w:spacing w:after="120"/>
      <w:ind w:left="993" w:hanging="567"/>
      <w:jc w:val="both"/>
    </w:pPr>
    <w:rPr>
      <w:rFonts w:ascii="Arial" w:eastAsia="STZhongsong" w:hAnsi="Arial"/>
      <w:b w:val="1"/>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tabs>
        <w:tab w:val="left" w:pos="0"/>
      </w:tabs>
      <w:spacing w:before="240"/>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Calibri" w:cs="Times New Roman" w:eastAsia="Calibri" w:hAnsi="Calibri"/>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rPr>
      <w:rFonts w:ascii="Calibri" w:cs="Times New Roman" w:eastAsia="Calibri" w:hAnsi="Calibri"/>
    </w:rPr>
  </w:style>
  <w:style w:type="character" w:styleId="Emphasis">
    <w:name w:val="Emphasis"/>
    <w:basedOn w:val="DefaultParagraphFont"/>
    <w:rPr>
      <w:i w:val="1"/>
      <w:iCs w:val="1"/>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table" w:styleId="TableGrid">
    <w:name w:val="Table Grid"/>
    <w:basedOn w:val="TableNormal"/>
    <w:uiPriority w:val="59"/>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Pr>
      <w:rFonts w:cstheme="majorBidi" w:eastAsiaTheme="majorEastAsia"/>
      <w:b w:val="1"/>
      <w:bCs w:val="1"/>
      <w:szCs w:val="28"/>
    </w:rPr>
  </w:style>
  <w:style w:type="character" w:styleId="Heading2Char" w:customStyle="1">
    <w:name w:val="Heading 2 Char"/>
    <w:basedOn w:val="DefaultParagraphFont"/>
    <w:link w:val="Heading2"/>
    <w:uiPriority w:val="9"/>
    <w:rPr>
      <w:rFonts w:cstheme="majorBidi" w:eastAsiaTheme="majorEastAsia"/>
      <w:bCs w:val="1"/>
      <w:szCs w:val="26"/>
    </w:rPr>
  </w:style>
  <w:style w:type="character" w:styleId="Heading3Char" w:customStyle="1">
    <w:name w:val="Heading 3 Char"/>
    <w:basedOn w:val="DefaultParagraphFont"/>
    <w:link w:val="Heading3"/>
    <w:uiPriority w:val="9"/>
    <w:semiHidden w:val="1"/>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404040" w:themeColor="text1" w:themeTint="0000BF"/>
      <w:sz w:val="20"/>
      <w:szCs w:val="20"/>
    </w:rPr>
  </w:style>
  <w:style w:type="paragraph" w:styleId="GPSL2Numbered" w:customStyle="1">
    <w:name w:val="GPS L2 Numbered"/>
    <w:basedOn w:val="GPSL2NumberedBoldHeading"/>
    <w:link w:val="GPSL2NumberedChar"/>
    <w:qFormat w:val="1"/>
    <w:pPr>
      <w:tabs>
        <w:tab w:val="left" w:pos="709"/>
      </w:tabs>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Hyperlink">
    <w:name w:val="Hyperlink"/>
    <w:basedOn w:val="DefaultParagraphFont"/>
    <w:uiPriority w:val="99"/>
    <w:unhideWhenUsed w:val="1"/>
    <w:rPr>
      <w:color w:val="0000ff" w:themeColor="hyperlink"/>
      <w:u w:val="single"/>
    </w:rPr>
  </w:style>
  <w:style w:type="paragraph" w:styleId="GPSSchTitleandNumber" w:customStyle="1">
    <w:name w:val="GPS Sch Title and Number"/>
    <w:basedOn w:val="Normal"/>
    <w:link w:val="GPSSchTitleandNumberChar"/>
    <w:qFormat w:val="1"/>
    <w:rsid w:val="003E62C4"/>
    <w:pPr>
      <w:keepNext w:val="1"/>
      <w:adjustRightInd w:val="0"/>
      <w:spacing w:after="240"/>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sid w:val="003E62C4"/>
    <w:rPr>
      <w:rFonts w:ascii="Arial Bold" w:cs="Times New Roman" w:eastAsia="STZhongsong" w:hAnsi="Arial Bold"/>
      <w:b w:val="1"/>
      <w:caps w:val="1"/>
      <w:lang w:eastAsia="zh-C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pPr>
      <w:spacing w:after="0"/>
    </w:pPr>
    <w:tblPr>
      <w:tblStyleRowBandSize w:val="1"/>
      <w:tblStyleColBandSize w:val="1"/>
    </w:tblPr>
  </w:style>
  <w:style w:type="table" w:styleId="a1" w:customStyle="1">
    <w:basedOn w:val="TableNormal"/>
    <w:pPr>
      <w:spacing w:after="0"/>
    </w:pPr>
    <w:tblPr>
      <w:tblStyleRowBandSize w:val="1"/>
      <w:tblStyleColBandSize w:val="1"/>
    </w:tblPr>
  </w:style>
  <w:style w:type="table" w:styleId="a2" w:customStyle="1">
    <w:basedOn w:val="TableNormal"/>
    <w:pPr>
      <w:spacing w:after="0"/>
    </w:pPr>
    <w:tblPr>
      <w:tblStyleRowBandSize w:val="1"/>
      <w:tblStyleColBandSize w:val="1"/>
    </w:tblPr>
  </w:style>
  <w:style w:type="table" w:styleId="a3" w:customStyle="1">
    <w:basedOn w:val="TableNormal"/>
    <w:pPr>
      <w:spacing w:after="0"/>
    </w:pPr>
    <w:tblPr>
      <w:tblStyleRowBandSize w:val="1"/>
      <w:tblStyleColBandSize w:val="1"/>
    </w:tblPr>
  </w:style>
  <w:style w:type="table" w:styleId="a4" w:customStyle="1">
    <w:basedOn w:val="TableNormal"/>
    <w:pPr>
      <w:spacing w:after="0"/>
    </w:pPr>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tcPr>
      <w:shd w:color="auto" w:fill="ffffff" w:val="clear"/>
    </w:tcPr>
  </w:style>
  <w:style w:type="paragraph" w:styleId="Default" w:customStyle="1">
    <w:name w:val="Default"/>
    <w:rsid w:val="00617246"/>
    <w:pPr>
      <w:autoSpaceDE w:val="0"/>
      <w:autoSpaceDN w:val="0"/>
      <w:adjustRightInd w:val="0"/>
      <w:spacing w:after="0"/>
    </w:pPr>
    <w:rPr>
      <w:rFonts w:ascii="Verdana" w:cs="Verdana" w:hAnsi="Verdana" w:eastAsiaTheme="minorHAnsi"/>
      <w:color w:val="000000"/>
      <w:sz w:val="24"/>
      <w:szCs w:val="24"/>
      <w:lang w:eastAsia="en-US"/>
    </w:rPr>
  </w:style>
  <w:style w:type="paragraph" w:styleId="ListParagraph">
    <w:name w:val="List Paragraph"/>
    <w:basedOn w:val="Normal"/>
    <w:uiPriority w:val="34"/>
    <w:qFormat w:val="1"/>
    <w:rsid w:val="005777D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pPr>
      <w:spacing w:after="0" w:lineRule="auto"/>
    </w:pPr>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knowledge-in-defence-ki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TkIZwTo4JQ5sFaeP15WeQ0g+Q==">CgMxLjAyCGguZ2pkZ3hzOABqRAo1c3VnZ2VzdElkSW1wb3J0ZTk0YjQwYTItNTQ1Mi00NmM0LTkzNmYtZTIwZjVmNTkwMTlkXzISC1NhbCBUZW1wZXJhakQKNXN1Z2dlc3RJZEltcG9ydGU5NGI0MGEyLTU0NTItNDZjNC05MzZmLWUyMGY1ZjU5MDE5ZF8xEgtTYWwgVGVtcGVyYXIhMW5qVmVJUTViVkd1MFNpazJieXNwUU1EekY5NkliYzFy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2024-02-29T13:35:00Z</dcterms:created>
  <dc:creator>Michael Aspden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