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499" w:rsidRDefault="009844A5">
      <w:pPr>
        <w:widowControl/>
        <w:pBdr>
          <w:top w:val="nil"/>
          <w:left w:val="nil"/>
          <w:bottom w:val="nil"/>
          <w:right w:val="nil"/>
          <w:between w:val="nil"/>
        </w:pBdr>
        <w:spacing w:before="240" w:after="120"/>
        <w:rPr>
          <w:rFonts w:ascii="Arial" w:eastAsia="Arial" w:hAnsi="Arial" w:cs="Arial"/>
          <w:b/>
          <w:color w:val="000000"/>
          <w:sz w:val="36"/>
          <w:szCs w:val="36"/>
        </w:rPr>
      </w:pPr>
      <w:r>
        <w:rPr>
          <w:rFonts w:ascii="Arial" w:eastAsia="Arial" w:hAnsi="Arial" w:cs="Arial"/>
          <w:b/>
          <w:color w:val="000000"/>
          <w:sz w:val="36"/>
          <w:szCs w:val="36"/>
        </w:rPr>
        <w:t>Framework Schedule 7 (Call-Off Award Procedure</w:t>
      </w:r>
      <w:bookmarkStart w:id="0" w:name="bookmark=id.gjdgxs" w:colFirst="0" w:colLast="0"/>
      <w:bookmarkEnd w:id="0"/>
      <w:r>
        <w:rPr>
          <w:rFonts w:ascii="Arial" w:eastAsia="Arial" w:hAnsi="Arial" w:cs="Arial"/>
          <w:b/>
          <w:color w:val="000000"/>
          <w:sz w:val="36"/>
          <w:szCs w:val="36"/>
        </w:rPr>
        <w:t xml:space="preserve">) </w:t>
      </w:r>
    </w:p>
    <w:p w:rsidR="00317499" w:rsidRDefault="009844A5">
      <w:pPr>
        <w:widowControl/>
        <w:pBdr>
          <w:top w:val="nil"/>
          <w:left w:val="nil"/>
          <w:bottom w:val="nil"/>
          <w:right w:val="nil"/>
          <w:between w:val="nil"/>
        </w:pBdr>
        <w:spacing w:before="240" w:after="120"/>
        <w:rPr>
          <w:rFonts w:ascii="Arial" w:eastAsia="Arial" w:hAnsi="Arial" w:cs="Arial"/>
          <w:b/>
          <w:color w:val="000000"/>
          <w:sz w:val="36"/>
          <w:szCs w:val="36"/>
        </w:rPr>
      </w:pPr>
      <w:r>
        <w:rPr>
          <w:rFonts w:ascii="Arial" w:eastAsia="Arial" w:hAnsi="Arial" w:cs="Arial"/>
          <w:b/>
          <w:color w:val="000000"/>
          <w:sz w:val="36"/>
          <w:szCs w:val="36"/>
        </w:rPr>
        <w:t>Part 1: Order Procedure</w:t>
      </w:r>
    </w:p>
    <w:p w:rsidR="00317499" w:rsidRDefault="009844A5">
      <w:pPr>
        <w:keepNext/>
        <w:widowControl/>
        <w:numPr>
          <w:ilvl w:val="0"/>
          <w:numId w:val="3"/>
        </w:numPr>
        <w:pBdr>
          <w:top w:val="nil"/>
          <w:left w:val="nil"/>
          <w:bottom w:val="nil"/>
          <w:right w:val="nil"/>
          <w:between w:val="nil"/>
        </w:pBdr>
        <w:tabs>
          <w:tab w:val="left" w:pos="142"/>
        </w:tabs>
        <w:spacing w:before="120" w:after="240"/>
        <w:rPr>
          <w:rFonts w:ascii="Arial Bold" w:eastAsia="Arial Bold" w:hAnsi="Arial Bold" w:cs="Arial Bold"/>
          <w:b/>
          <w:color w:val="000000"/>
          <w:sz w:val="24"/>
          <w:szCs w:val="24"/>
        </w:rPr>
      </w:pPr>
      <w:r>
        <w:rPr>
          <w:rFonts w:ascii="Arial Bold" w:eastAsia="Arial Bold" w:hAnsi="Arial Bold" w:cs="Arial Bold"/>
          <w:b/>
          <w:color w:val="000000"/>
          <w:sz w:val="24"/>
          <w:szCs w:val="24"/>
        </w:rPr>
        <w:t>How a Call-Off Contract is awarded</w:t>
      </w:r>
    </w:p>
    <w:p w:rsidR="00317499" w:rsidRDefault="009844A5">
      <w:pPr>
        <w:widowControl/>
        <w:numPr>
          <w:ilvl w:val="1"/>
          <w:numId w:val="2"/>
        </w:numPr>
        <w:pBdr>
          <w:top w:val="nil"/>
          <w:left w:val="nil"/>
          <w:bottom w:val="nil"/>
          <w:right w:val="nil"/>
          <w:between w:val="nil"/>
        </w:pBdr>
        <w:tabs>
          <w:tab w:val="left" w:pos="3054"/>
        </w:tabs>
        <w:spacing w:before="120" w:after="120"/>
        <w:rPr>
          <w:rFonts w:ascii="Arial" w:eastAsia="Arial" w:hAnsi="Arial" w:cs="Arial"/>
          <w:color w:val="000000"/>
          <w:sz w:val="24"/>
          <w:szCs w:val="24"/>
        </w:rPr>
      </w:pPr>
      <w:bookmarkStart w:id="1" w:name="_heading=h.30j0zll" w:colFirst="0" w:colLast="0"/>
      <w:bookmarkEnd w:id="1"/>
      <w:r>
        <w:rPr>
          <w:rFonts w:ascii="Arial" w:eastAsia="Arial" w:hAnsi="Arial" w:cs="Arial"/>
          <w:color w:val="000000"/>
          <w:sz w:val="24"/>
          <w:szCs w:val="24"/>
        </w:rPr>
        <w:t>If a potential Buyer decides to source Deliverables through this Contract then it will award its Deliverables in accordance with the procedure in this Schedule and the requirements of the Regulations.</w:t>
      </w:r>
    </w:p>
    <w:p w:rsidR="00317499" w:rsidRDefault="009844A5">
      <w:pPr>
        <w:keepNext/>
        <w:widowControl/>
        <w:numPr>
          <w:ilvl w:val="1"/>
          <w:numId w:val="2"/>
        </w:numPr>
        <w:pBdr>
          <w:top w:val="nil"/>
          <w:left w:val="nil"/>
          <w:bottom w:val="nil"/>
          <w:right w:val="nil"/>
          <w:between w:val="nil"/>
        </w:pBdr>
        <w:tabs>
          <w:tab w:val="left" w:pos="3054"/>
        </w:tabs>
        <w:spacing w:before="120" w:after="120"/>
        <w:rPr>
          <w:rFonts w:ascii="Arial" w:eastAsia="Arial" w:hAnsi="Arial" w:cs="Arial"/>
          <w:color w:val="000000"/>
          <w:sz w:val="24"/>
          <w:szCs w:val="24"/>
        </w:rPr>
      </w:pPr>
      <w:bookmarkStart w:id="2" w:name="_heading=h.1fob9te" w:colFirst="0" w:colLast="0"/>
      <w:bookmarkEnd w:id="2"/>
      <w:r>
        <w:rPr>
          <w:rFonts w:ascii="Arial" w:eastAsia="Arial" w:hAnsi="Arial" w:cs="Arial"/>
          <w:color w:val="000000"/>
          <w:sz w:val="24"/>
          <w:szCs w:val="24"/>
        </w:rPr>
        <w:t>If the potential Buyer can determine that:</w:t>
      </w:r>
    </w:p>
    <w:p w:rsidR="00317499" w:rsidRDefault="009844A5">
      <w:pPr>
        <w:widowControl/>
        <w:numPr>
          <w:ilvl w:val="2"/>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its Deliverables as set out in Framework Schedule 1 (Specification) and Framework Schedule 2 (Framework Tender); and</w:t>
      </w:r>
    </w:p>
    <w:p w:rsidR="00317499" w:rsidRDefault="009844A5">
      <w:pPr>
        <w:widowControl/>
        <w:numPr>
          <w:ilvl w:val="2"/>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all of the terms of the proposed Call-Off Contract are laid down in this Contract and do not require amendment or any supplementary terms and conditions;</w:t>
      </w:r>
    </w:p>
    <w:p w:rsidR="00317499" w:rsidRDefault="009844A5">
      <w:pPr>
        <w:widowControl/>
        <w:pBdr>
          <w:top w:val="nil"/>
          <w:left w:val="nil"/>
          <w:bottom w:val="nil"/>
          <w:right w:val="nil"/>
          <w:between w:val="nil"/>
        </w:pBdr>
        <w:tabs>
          <w:tab w:val="left" w:pos="4536"/>
        </w:tabs>
        <w:spacing w:after="220"/>
        <w:ind w:left="936"/>
        <w:rPr>
          <w:rFonts w:ascii="Arial" w:eastAsia="Arial" w:hAnsi="Arial" w:cs="Arial"/>
          <w:color w:val="000000"/>
          <w:sz w:val="24"/>
          <w:szCs w:val="24"/>
        </w:rPr>
      </w:pPr>
      <w:r>
        <w:rPr>
          <w:rFonts w:ascii="Arial" w:eastAsia="Arial" w:hAnsi="Arial" w:cs="Arial"/>
          <w:color w:val="000000"/>
          <w:sz w:val="24"/>
          <w:szCs w:val="24"/>
        </w:rPr>
        <w:t>then the Buyer may award a Call-Off Contract in accordance with the procedure set out in Paragraph 2 below.</w:t>
      </w:r>
    </w:p>
    <w:p w:rsidR="00317499" w:rsidRDefault="009844A5">
      <w:pPr>
        <w:keepNext/>
        <w:widowControl/>
        <w:numPr>
          <w:ilvl w:val="1"/>
          <w:numId w:val="2"/>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If all of the terms of the proposed Call-Off Contract are not laid down in this Contract and the potential Buyer:</w:t>
      </w:r>
    </w:p>
    <w:p w:rsidR="00317499" w:rsidRDefault="009844A5">
      <w:pPr>
        <w:widowControl/>
        <w:numPr>
          <w:ilvl w:val="2"/>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requires the Supplier to develop proposals or a solution in respect of such Deliverables; and/or</w:t>
      </w:r>
    </w:p>
    <w:p w:rsidR="00317499" w:rsidRDefault="009844A5">
      <w:pPr>
        <w:widowControl/>
        <w:numPr>
          <w:ilvl w:val="2"/>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needs to amend or refine the terms of the Framework Contract to reflect its Deliverables to the extent permitted by and in accordance with the Regulations;</w:t>
      </w:r>
    </w:p>
    <w:p w:rsidR="00317499" w:rsidRDefault="009844A5">
      <w:pPr>
        <w:widowControl/>
        <w:pBdr>
          <w:top w:val="nil"/>
          <w:left w:val="nil"/>
          <w:bottom w:val="nil"/>
          <w:right w:val="nil"/>
          <w:between w:val="nil"/>
        </w:pBdr>
        <w:tabs>
          <w:tab w:val="left" w:pos="4536"/>
        </w:tabs>
        <w:spacing w:after="220"/>
        <w:ind w:left="900"/>
        <w:rPr>
          <w:rFonts w:ascii="Arial" w:eastAsia="Arial" w:hAnsi="Arial" w:cs="Arial"/>
          <w:color w:val="000000"/>
          <w:sz w:val="24"/>
          <w:szCs w:val="24"/>
        </w:rPr>
      </w:pPr>
      <w:r>
        <w:rPr>
          <w:rFonts w:ascii="Arial" w:eastAsia="Arial" w:hAnsi="Arial" w:cs="Arial"/>
          <w:color w:val="000000"/>
          <w:sz w:val="24"/>
          <w:szCs w:val="24"/>
        </w:rPr>
        <w:t>then the Buyer may award a Call-Off Contract in accordance with the Further Competition Procedure set out in Paragraph 3 below.</w:t>
      </w:r>
    </w:p>
    <w:p w:rsidR="00317499" w:rsidRDefault="009844A5">
      <w:pPr>
        <w:keepNext/>
        <w:widowControl/>
        <w:numPr>
          <w:ilvl w:val="0"/>
          <w:numId w:val="2"/>
        </w:numPr>
        <w:pBdr>
          <w:top w:val="nil"/>
          <w:left w:val="nil"/>
          <w:bottom w:val="nil"/>
          <w:right w:val="nil"/>
          <w:between w:val="nil"/>
        </w:pBdr>
        <w:tabs>
          <w:tab w:val="left" w:pos="142"/>
        </w:tabs>
        <w:spacing w:before="120" w:after="240"/>
        <w:rPr>
          <w:rFonts w:ascii="Arial Bold" w:eastAsia="Arial Bold" w:hAnsi="Arial Bold" w:cs="Arial Bold"/>
          <w:b/>
          <w:color w:val="000000"/>
          <w:sz w:val="24"/>
          <w:szCs w:val="24"/>
        </w:rPr>
      </w:pPr>
      <w:r>
        <w:rPr>
          <w:rFonts w:ascii="Arial Bold" w:eastAsia="Arial Bold" w:hAnsi="Arial Bold" w:cs="Arial Bold"/>
          <w:b/>
          <w:color w:val="000000"/>
          <w:sz w:val="24"/>
          <w:szCs w:val="24"/>
        </w:rPr>
        <w:t>How a direct award works</w:t>
      </w:r>
    </w:p>
    <w:p w:rsidR="00317499" w:rsidRDefault="009844A5">
      <w:pPr>
        <w:keepNext/>
        <w:widowControl/>
        <w:numPr>
          <w:ilvl w:val="1"/>
          <w:numId w:val="2"/>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Subject to Paragraph 1.2 above the Buyer awarding a Call-Off Contract under this Contract without holding a further competition shall:</w:t>
      </w:r>
    </w:p>
    <w:p w:rsidR="00317499" w:rsidRDefault="009844A5">
      <w:pPr>
        <w:widowControl/>
        <w:numPr>
          <w:ilvl w:val="2"/>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develop a clear Statement of Requirements;</w:t>
      </w:r>
    </w:p>
    <w:p w:rsidR="00317499" w:rsidRDefault="009844A5">
      <w:pPr>
        <w:widowControl/>
        <w:numPr>
          <w:ilvl w:val="2"/>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apply the direct award criteria to the Deliverables as set out in Framework Schedule 1 (Specification) and Framework Schedule 2 (Framework Tender) for all Suppliers capable of meeting the Statement of Requirements in order to establish which Supplier provides the most economically advantageous solution; and</w:t>
      </w:r>
    </w:p>
    <w:p w:rsidR="00317499" w:rsidRDefault="009844A5">
      <w:pPr>
        <w:widowControl/>
        <w:numPr>
          <w:ilvl w:val="2"/>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on the basis set out above, award the Call-Off Contract with the successful Supplier in accordance with Paragraph 6 below.</w:t>
      </w:r>
    </w:p>
    <w:p w:rsidR="00317499" w:rsidRDefault="00317499">
      <w:pPr>
        <w:widowControl/>
        <w:pBdr>
          <w:top w:val="nil"/>
          <w:left w:val="nil"/>
          <w:bottom w:val="nil"/>
          <w:right w:val="nil"/>
          <w:between w:val="nil"/>
        </w:pBdr>
        <w:tabs>
          <w:tab w:val="left" w:pos="3641"/>
        </w:tabs>
        <w:spacing w:before="120" w:after="120"/>
        <w:ind w:left="1985"/>
        <w:rPr>
          <w:rFonts w:ascii="Arial" w:eastAsia="Arial" w:hAnsi="Arial" w:cs="Arial"/>
          <w:color w:val="000000"/>
          <w:sz w:val="24"/>
          <w:szCs w:val="24"/>
        </w:rPr>
      </w:pPr>
    </w:p>
    <w:p w:rsidR="00317499" w:rsidRDefault="009844A5">
      <w:pPr>
        <w:keepNext/>
        <w:widowControl/>
        <w:numPr>
          <w:ilvl w:val="0"/>
          <w:numId w:val="2"/>
        </w:numPr>
        <w:pBdr>
          <w:top w:val="nil"/>
          <w:left w:val="nil"/>
          <w:bottom w:val="nil"/>
          <w:right w:val="nil"/>
          <w:between w:val="nil"/>
        </w:pBdr>
        <w:tabs>
          <w:tab w:val="left" w:pos="142"/>
        </w:tabs>
        <w:spacing w:before="120" w:after="240"/>
        <w:rPr>
          <w:rFonts w:ascii="Arial Bold" w:eastAsia="Arial Bold" w:hAnsi="Arial Bold" w:cs="Arial Bold"/>
          <w:b/>
          <w:color w:val="000000"/>
          <w:sz w:val="24"/>
          <w:szCs w:val="24"/>
        </w:rPr>
      </w:pPr>
      <w:r>
        <w:rPr>
          <w:rFonts w:ascii="Arial Bold" w:eastAsia="Arial Bold" w:hAnsi="Arial Bold" w:cs="Arial Bold"/>
          <w:b/>
          <w:color w:val="000000"/>
          <w:sz w:val="24"/>
          <w:szCs w:val="24"/>
        </w:rPr>
        <w:lastRenderedPageBreak/>
        <w:t>How a further competition works</w:t>
      </w:r>
    </w:p>
    <w:p w:rsidR="00317499" w:rsidRDefault="009844A5">
      <w:pPr>
        <w:keepNext/>
        <w:widowControl/>
        <w:pBdr>
          <w:top w:val="nil"/>
          <w:left w:val="nil"/>
          <w:bottom w:val="nil"/>
          <w:right w:val="nil"/>
          <w:between w:val="nil"/>
        </w:pBdr>
        <w:tabs>
          <w:tab w:val="left" w:pos="3054"/>
        </w:tabs>
        <w:spacing w:before="120" w:after="120"/>
        <w:ind w:left="1134" w:hanging="774"/>
        <w:rPr>
          <w:rFonts w:ascii="Arial" w:eastAsia="Arial" w:hAnsi="Arial" w:cs="Arial"/>
          <w:b/>
          <w:color w:val="000000"/>
          <w:sz w:val="24"/>
          <w:szCs w:val="24"/>
        </w:rPr>
      </w:pPr>
      <w:r>
        <w:rPr>
          <w:rFonts w:ascii="Arial" w:eastAsia="Arial" w:hAnsi="Arial" w:cs="Arial"/>
          <w:b/>
          <w:color w:val="000000"/>
          <w:sz w:val="24"/>
          <w:szCs w:val="24"/>
        </w:rPr>
        <w:t>What the Buyer has to do</w:t>
      </w:r>
    </w:p>
    <w:p w:rsidR="00317499" w:rsidRDefault="009844A5">
      <w:pPr>
        <w:keepNext/>
        <w:widowControl/>
        <w:numPr>
          <w:ilvl w:val="1"/>
          <w:numId w:val="2"/>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The Buyer awarding a Call-Off Contract under this Contract through a Further Competition Procedure shall:</w:t>
      </w:r>
    </w:p>
    <w:p w:rsidR="00317499" w:rsidRDefault="009844A5">
      <w:pPr>
        <w:widowControl/>
        <w:numPr>
          <w:ilvl w:val="2"/>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bookmarkStart w:id="3" w:name="_heading=h.3znysh7" w:colFirst="0" w:colLast="0"/>
      <w:bookmarkEnd w:id="3"/>
      <w:r>
        <w:rPr>
          <w:rFonts w:ascii="Arial" w:eastAsia="Arial" w:hAnsi="Arial" w:cs="Arial"/>
          <w:color w:val="000000"/>
          <w:sz w:val="24"/>
          <w:szCs w:val="24"/>
        </w:rPr>
        <w:t>develop a Statement of Requirements setting out its requirements for the Deliverables and identify the Suppliers capable of supplying the them;</w:t>
      </w:r>
    </w:p>
    <w:p w:rsidR="00317499" w:rsidRDefault="009844A5">
      <w:pPr>
        <w:widowControl/>
        <w:numPr>
          <w:ilvl w:val="2"/>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bookmarkStart w:id="4" w:name="_heading=h.2et92p0" w:colFirst="0" w:colLast="0"/>
      <w:bookmarkEnd w:id="4"/>
      <w:r>
        <w:rPr>
          <w:rFonts w:ascii="Arial" w:eastAsia="Arial" w:hAnsi="Arial" w:cs="Arial"/>
          <w:color w:val="000000"/>
          <w:sz w:val="24"/>
          <w:szCs w:val="24"/>
        </w:rPr>
        <w:t>amend or refine the Deliverables to reflect its requirements by using the Order Form only to the extent permitted by and in accordance with the requirements of the Regulations;</w:t>
      </w:r>
    </w:p>
    <w:p w:rsidR="00317499" w:rsidRDefault="009844A5">
      <w:pPr>
        <w:keepNext/>
        <w:widowControl/>
        <w:numPr>
          <w:ilvl w:val="2"/>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bookmarkStart w:id="5" w:name="_heading=h.tyjcwt" w:colFirst="0" w:colLast="0"/>
      <w:bookmarkEnd w:id="5"/>
      <w:r>
        <w:rPr>
          <w:rFonts w:ascii="Arial" w:eastAsia="Arial" w:hAnsi="Arial" w:cs="Arial"/>
          <w:color w:val="000000"/>
          <w:sz w:val="24"/>
          <w:szCs w:val="24"/>
        </w:rPr>
        <w:t>invite tenders by conducting a Further Competition Procedure for its Deliverables in accordance with the Regulations and in particular:</w:t>
      </w:r>
    </w:p>
    <w:p w:rsidR="00317499" w:rsidRDefault="009844A5">
      <w:pPr>
        <w:widowControl/>
        <w:numPr>
          <w:ilvl w:val="3"/>
          <w:numId w:val="2"/>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if an Electronic Reverse Auction (as defined in Paragraph 7 below) is to be held, the Buyer shall notify the Suppliers identified in accordance with Paragraph 3.1.1 and shall conduct the Further Competition Procedure in accordance with the procedures set out in Paragraph 3; or</w:t>
      </w:r>
    </w:p>
    <w:p w:rsidR="00317499" w:rsidRDefault="009844A5">
      <w:pPr>
        <w:keepNext/>
        <w:widowControl/>
        <w:numPr>
          <w:ilvl w:val="3"/>
          <w:numId w:val="2"/>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if an Electronic Reverse Auction is not used, the Buyer shall:</w:t>
      </w:r>
    </w:p>
    <w:p w:rsidR="00317499" w:rsidRDefault="009844A5">
      <w:pPr>
        <w:widowControl/>
        <w:numPr>
          <w:ilvl w:val="4"/>
          <w:numId w:val="2"/>
        </w:numPr>
        <w:pBdr>
          <w:top w:val="nil"/>
          <w:left w:val="nil"/>
          <w:bottom w:val="nil"/>
          <w:right w:val="nil"/>
          <w:between w:val="nil"/>
        </w:pBdr>
        <w:tabs>
          <w:tab w:val="left" w:pos="6238"/>
        </w:tabs>
        <w:spacing w:before="120" w:after="120"/>
        <w:ind w:left="3119" w:hanging="566"/>
        <w:rPr>
          <w:rFonts w:ascii="Arial" w:eastAsia="Arial" w:hAnsi="Arial" w:cs="Arial"/>
          <w:color w:val="000000"/>
          <w:sz w:val="24"/>
          <w:szCs w:val="24"/>
        </w:rPr>
      </w:pPr>
      <w:r>
        <w:rPr>
          <w:rFonts w:ascii="Arial" w:eastAsia="Arial" w:hAnsi="Arial" w:cs="Arial"/>
          <w:color w:val="000000"/>
          <w:sz w:val="24"/>
          <w:szCs w:val="24"/>
        </w:rPr>
        <w:t>invite the Suppliers identified in accordance with Paragraph 3.1.1 to submit a tender in writing for each proposed Call-Off Contract to be awarded by giving written notice by email to the relevant Supplier Representative of each Supplier;</w:t>
      </w:r>
    </w:p>
    <w:p w:rsidR="00317499" w:rsidRDefault="009844A5">
      <w:pPr>
        <w:widowControl/>
        <w:numPr>
          <w:ilvl w:val="4"/>
          <w:numId w:val="2"/>
        </w:numPr>
        <w:pBdr>
          <w:top w:val="nil"/>
          <w:left w:val="nil"/>
          <w:bottom w:val="nil"/>
          <w:right w:val="nil"/>
          <w:between w:val="nil"/>
        </w:pBdr>
        <w:tabs>
          <w:tab w:val="left" w:pos="6238"/>
        </w:tabs>
        <w:spacing w:before="120" w:after="120"/>
        <w:ind w:left="3119" w:hanging="566"/>
        <w:rPr>
          <w:rFonts w:ascii="Arial" w:eastAsia="Arial" w:hAnsi="Arial" w:cs="Arial"/>
          <w:color w:val="000000"/>
          <w:sz w:val="24"/>
          <w:szCs w:val="24"/>
        </w:rPr>
      </w:pPr>
      <w:r>
        <w:rPr>
          <w:rFonts w:ascii="Arial" w:eastAsia="Arial" w:hAnsi="Arial" w:cs="Arial"/>
          <w:color w:val="000000"/>
          <w:sz w:val="24"/>
          <w:szCs w:val="24"/>
        </w:rPr>
        <w:t>set a time limit for the receipt by it of the tenders which takes into account factors such as the complexity of the subject matter of the proposed Call-Off Contract and the time needed to submit tenders; and</w:t>
      </w:r>
    </w:p>
    <w:p w:rsidR="00317499" w:rsidRDefault="009844A5">
      <w:pPr>
        <w:widowControl/>
        <w:numPr>
          <w:ilvl w:val="4"/>
          <w:numId w:val="2"/>
        </w:numPr>
        <w:pBdr>
          <w:top w:val="nil"/>
          <w:left w:val="nil"/>
          <w:bottom w:val="nil"/>
          <w:right w:val="nil"/>
          <w:between w:val="nil"/>
        </w:pBdr>
        <w:tabs>
          <w:tab w:val="left" w:pos="6238"/>
        </w:tabs>
        <w:spacing w:before="120" w:after="120"/>
        <w:ind w:left="3119" w:hanging="566"/>
        <w:rPr>
          <w:rFonts w:ascii="Arial" w:eastAsia="Arial" w:hAnsi="Arial" w:cs="Arial"/>
          <w:color w:val="000000"/>
          <w:sz w:val="24"/>
          <w:szCs w:val="24"/>
        </w:rPr>
      </w:pPr>
      <w:r>
        <w:rPr>
          <w:rFonts w:ascii="Arial" w:eastAsia="Arial" w:hAnsi="Arial" w:cs="Arial"/>
          <w:color w:val="000000"/>
          <w:sz w:val="24"/>
          <w:szCs w:val="24"/>
        </w:rPr>
        <w:t>keep each tender confidential until the time limit set out for the return of tenders has expired.</w:t>
      </w:r>
    </w:p>
    <w:p w:rsidR="00317499" w:rsidRDefault="009844A5">
      <w:pPr>
        <w:widowControl/>
        <w:numPr>
          <w:ilvl w:val="2"/>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apply the further competition award criteria to the Suppliers' compliant tenders submitted through the Further Competition Procedure as the basis of its decision to award a Call-Off Contract for its Deliverables;</w:t>
      </w:r>
    </w:p>
    <w:p w:rsidR="00317499" w:rsidRDefault="009844A5">
      <w:pPr>
        <w:keepNext/>
        <w:widowControl/>
        <w:numPr>
          <w:ilvl w:val="2"/>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on the basis set out above, award its Call-Off Contract to the successful Supplier in accordance with Paragraph 6. The Call-Off Contract shall:</w:t>
      </w:r>
    </w:p>
    <w:p w:rsidR="00317499" w:rsidRDefault="009844A5">
      <w:pPr>
        <w:widowControl/>
        <w:numPr>
          <w:ilvl w:val="3"/>
          <w:numId w:val="2"/>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state the Deliverables;</w:t>
      </w:r>
    </w:p>
    <w:p w:rsidR="00317499" w:rsidRDefault="009844A5">
      <w:pPr>
        <w:widowControl/>
        <w:numPr>
          <w:ilvl w:val="3"/>
          <w:numId w:val="2"/>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state the tender submitted by the successful Supplier;</w:t>
      </w:r>
    </w:p>
    <w:p w:rsidR="00317499" w:rsidRDefault="009844A5">
      <w:pPr>
        <w:widowControl/>
        <w:numPr>
          <w:ilvl w:val="3"/>
          <w:numId w:val="2"/>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state the Charges payable for the Deliverables in accordance with the tender submitted by the successful Supplier; and</w:t>
      </w:r>
    </w:p>
    <w:p w:rsidR="00317499" w:rsidRDefault="009844A5">
      <w:pPr>
        <w:widowControl/>
        <w:numPr>
          <w:ilvl w:val="3"/>
          <w:numId w:val="2"/>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lastRenderedPageBreak/>
        <w:t>incorporate the terms [of the Order Form and Contract] (as may be amended or refined by the Buyer in accordance with Paragraph 3.1.2. above) applicable to the Deliverables,</w:t>
      </w:r>
    </w:p>
    <w:p w:rsidR="00317499" w:rsidRDefault="009844A5">
      <w:pPr>
        <w:widowControl/>
        <w:numPr>
          <w:ilvl w:val="2"/>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provide unsuccessful Suppliers with written feedback in relation to the reasons why their tenders were unsuccessful.</w:t>
      </w:r>
    </w:p>
    <w:p w:rsidR="00317499" w:rsidRDefault="009844A5">
      <w:pPr>
        <w:keepNext/>
        <w:widowControl/>
        <w:pBdr>
          <w:top w:val="nil"/>
          <w:left w:val="nil"/>
          <w:bottom w:val="nil"/>
          <w:right w:val="nil"/>
          <w:between w:val="nil"/>
        </w:pBdr>
        <w:tabs>
          <w:tab w:val="left" w:pos="3054"/>
        </w:tabs>
        <w:spacing w:before="120" w:after="120"/>
        <w:rPr>
          <w:rFonts w:ascii="Arial" w:eastAsia="Arial" w:hAnsi="Arial" w:cs="Arial"/>
          <w:b/>
          <w:color w:val="000000"/>
          <w:sz w:val="24"/>
          <w:szCs w:val="24"/>
        </w:rPr>
      </w:pPr>
      <w:r>
        <w:rPr>
          <w:rFonts w:ascii="Arial" w:eastAsia="Arial" w:hAnsi="Arial" w:cs="Arial"/>
          <w:b/>
          <w:color w:val="000000"/>
          <w:sz w:val="24"/>
          <w:szCs w:val="24"/>
        </w:rPr>
        <w:t>What the Supplier has to do</w:t>
      </w:r>
    </w:p>
    <w:p w:rsidR="00317499" w:rsidRDefault="009844A5">
      <w:pPr>
        <w:keepNext/>
        <w:widowControl/>
        <w:numPr>
          <w:ilvl w:val="1"/>
          <w:numId w:val="2"/>
        </w:numPr>
        <w:pBdr>
          <w:top w:val="nil"/>
          <w:left w:val="nil"/>
          <w:bottom w:val="nil"/>
          <w:right w:val="nil"/>
          <w:between w:val="nil"/>
        </w:pBdr>
        <w:tabs>
          <w:tab w:val="left" w:pos="3054"/>
        </w:tabs>
        <w:spacing w:before="120" w:after="120"/>
        <w:rPr>
          <w:rFonts w:ascii="Arial" w:eastAsia="Arial" w:hAnsi="Arial" w:cs="Arial"/>
          <w:b/>
          <w:color w:val="000000"/>
          <w:sz w:val="24"/>
          <w:szCs w:val="24"/>
        </w:rPr>
      </w:pPr>
      <w:r>
        <w:rPr>
          <w:rFonts w:ascii="Arial" w:eastAsia="Arial" w:hAnsi="Arial" w:cs="Arial"/>
          <w:color w:val="000000"/>
          <w:sz w:val="24"/>
          <w:szCs w:val="24"/>
        </w:rPr>
        <w:t>The Supplier shall in writing, by the time and date specified by the Buyer following an invitation to tender pursuant to Paragraph 3.1.3 above, provide CCS and the Buyer with either:</w:t>
      </w:r>
    </w:p>
    <w:p w:rsidR="00317499" w:rsidRDefault="00317499">
      <w:pPr>
        <w:widowControl/>
        <w:pBdr>
          <w:top w:val="nil"/>
          <w:left w:val="nil"/>
          <w:bottom w:val="nil"/>
          <w:right w:val="nil"/>
          <w:between w:val="nil"/>
        </w:pBdr>
        <w:tabs>
          <w:tab w:val="left" w:pos="3641"/>
        </w:tabs>
        <w:spacing w:before="120" w:after="120"/>
        <w:rPr>
          <w:rFonts w:ascii="Arial" w:eastAsia="Arial" w:hAnsi="Arial" w:cs="Arial"/>
          <w:color w:val="000000"/>
          <w:sz w:val="24"/>
          <w:szCs w:val="24"/>
        </w:rPr>
      </w:pPr>
    </w:p>
    <w:p w:rsidR="00317499" w:rsidRDefault="009844A5">
      <w:pPr>
        <w:widowControl/>
        <w:numPr>
          <w:ilvl w:val="2"/>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a statement to the effect that it does not wish to tender in relation to the Deliverables; or</w:t>
      </w:r>
    </w:p>
    <w:p w:rsidR="00317499" w:rsidRDefault="009844A5">
      <w:pPr>
        <w:keepNext/>
        <w:widowControl/>
        <w:numPr>
          <w:ilvl w:val="2"/>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the full details of its tender made in respect of the relevant Statement of Requirements. In the event that the Supplier submits such a tender, it should include, as a minimum:</w:t>
      </w:r>
    </w:p>
    <w:p w:rsidR="00317499" w:rsidRDefault="009844A5">
      <w:pPr>
        <w:widowControl/>
        <w:numPr>
          <w:ilvl w:val="3"/>
          <w:numId w:val="2"/>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an email response subject line to comprise unique reference number and Supplier name, so as to clearly identify the Supplier;</w:t>
      </w:r>
    </w:p>
    <w:p w:rsidR="00317499" w:rsidRDefault="009844A5">
      <w:pPr>
        <w:widowControl/>
        <w:numPr>
          <w:ilvl w:val="3"/>
          <w:numId w:val="2"/>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a brief summary, in the email (followed by a confirmation letter), stating that the Supplier is bidding for the Statement of Requirements;</w:t>
      </w:r>
    </w:p>
    <w:p w:rsidR="00317499" w:rsidRDefault="009844A5">
      <w:pPr>
        <w:widowControl/>
        <w:numPr>
          <w:ilvl w:val="3"/>
          <w:numId w:val="2"/>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a proposal covering the Deliverables;</w:t>
      </w:r>
    </w:p>
    <w:p w:rsidR="00317499" w:rsidRDefault="009844A5">
      <w:pPr>
        <w:widowControl/>
        <w:numPr>
          <w:ilvl w:val="3"/>
          <w:numId w:val="2"/>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CVs of key staff – as a minimum any lead consultant, with others, as considered appropriate along with required staff levels (if necessary); and</w:t>
      </w:r>
    </w:p>
    <w:p w:rsidR="00317499" w:rsidRDefault="009844A5">
      <w:pPr>
        <w:widowControl/>
        <w:numPr>
          <w:ilvl w:val="3"/>
          <w:numId w:val="2"/>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confirmation of discounts applicable to the Deliverables, as referenced in Framework Schedule 3 (Framework Prices) (if applicable).</w:t>
      </w:r>
    </w:p>
    <w:p w:rsidR="00317499" w:rsidRDefault="009844A5">
      <w:pPr>
        <w:widowControl/>
        <w:numPr>
          <w:ilvl w:val="2"/>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The Supplier shall ensure that any prices submitted in relation to a Further Competition Procedure held pursuant to this Paragraph 3 shall be based on the charging structure and take into account any discount to which the Buyer may be entitled as set out in Framework Schedule 3 (Framework Prices).</w:t>
      </w:r>
    </w:p>
    <w:p w:rsidR="00317499" w:rsidRDefault="009844A5">
      <w:pPr>
        <w:keepNext/>
        <w:widowControl/>
        <w:numPr>
          <w:ilvl w:val="2"/>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The Supplier agrees that:</w:t>
      </w:r>
    </w:p>
    <w:p w:rsidR="00317499" w:rsidRDefault="009844A5">
      <w:pPr>
        <w:widowControl/>
        <w:numPr>
          <w:ilvl w:val="3"/>
          <w:numId w:val="2"/>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all tenders submitted by the Supplier in relation to a Further Competition Procedure held pursuant to this Paragraph 3 shall remain open for acceptance by the Buyer for ninety (90) Working Days (or such other period specified in the invitation to tender issued by the Buyer in accordance with the Call-Off Procedure); and</w:t>
      </w:r>
    </w:p>
    <w:p w:rsidR="00317499" w:rsidRDefault="009844A5">
      <w:pPr>
        <w:widowControl/>
        <w:numPr>
          <w:ilvl w:val="3"/>
          <w:numId w:val="2"/>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 xml:space="preserve">all tenders submitted by the Supplier are made and will be made in good faith and that the Supplier has not fixed or adjusted and will not  fix or adjust the price of the tender by </w:t>
      </w:r>
      <w:r>
        <w:rPr>
          <w:rFonts w:ascii="Arial" w:eastAsia="Arial" w:hAnsi="Arial" w:cs="Arial"/>
          <w:color w:val="000000"/>
          <w:sz w:val="24"/>
          <w:szCs w:val="24"/>
        </w:rPr>
        <w:lastRenderedPageBreak/>
        <w:t>or in accordance with any agreement or arrangement with any other person. The Supplier certifies that it has not and undertakes that it will not:</w:t>
      </w:r>
    </w:p>
    <w:p w:rsidR="00317499" w:rsidRDefault="009844A5">
      <w:pPr>
        <w:widowControl/>
        <w:numPr>
          <w:ilvl w:val="4"/>
          <w:numId w:val="2"/>
        </w:numPr>
        <w:pBdr>
          <w:top w:val="nil"/>
          <w:left w:val="nil"/>
          <w:bottom w:val="nil"/>
          <w:right w:val="nil"/>
          <w:between w:val="nil"/>
        </w:pBdr>
        <w:tabs>
          <w:tab w:val="left" w:pos="6238"/>
        </w:tabs>
        <w:spacing w:before="120" w:after="120"/>
        <w:ind w:left="3119" w:hanging="566"/>
        <w:rPr>
          <w:rFonts w:ascii="Arial" w:eastAsia="Arial" w:hAnsi="Arial" w:cs="Arial"/>
          <w:color w:val="000000"/>
          <w:sz w:val="24"/>
          <w:szCs w:val="24"/>
        </w:rPr>
      </w:pPr>
      <w:r>
        <w:rPr>
          <w:rFonts w:ascii="Arial" w:eastAsia="Arial" w:hAnsi="Arial" w:cs="Arial"/>
          <w:color w:val="000000"/>
          <w:sz w:val="24"/>
          <w:szCs w:val="24"/>
        </w:rPr>
        <w:t>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rsidR="00317499" w:rsidRDefault="009844A5">
      <w:pPr>
        <w:widowControl/>
        <w:numPr>
          <w:ilvl w:val="4"/>
          <w:numId w:val="2"/>
        </w:numPr>
        <w:pBdr>
          <w:top w:val="nil"/>
          <w:left w:val="nil"/>
          <w:bottom w:val="nil"/>
          <w:right w:val="nil"/>
          <w:between w:val="nil"/>
        </w:pBdr>
        <w:tabs>
          <w:tab w:val="left" w:pos="6238"/>
        </w:tabs>
        <w:spacing w:before="120" w:after="120"/>
        <w:ind w:left="3119" w:hanging="566"/>
        <w:rPr>
          <w:rFonts w:ascii="Arial" w:eastAsia="Arial" w:hAnsi="Arial" w:cs="Arial"/>
          <w:color w:val="000000"/>
          <w:sz w:val="24"/>
          <w:szCs w:val="24"/>
        </w:rPr>
      </w:pPr>
      <w:r>
        <w:rPr>
          <w:rFonts w:ascii="Arial" w:eastAsia="Arial" w:hAnsi="Arial" w:cs="Arial"/>
          <w:color w:val="000000"/>
          <w:sz w:val="24"/>
          <w:szCs w:val="24"/>
        </w:rPr>
        <w:t>enter into any arrangement or agreement with any other person that he or the other person(s) shall refrain from submitting a tender or as to the amount of any tenders to be submitted.</w:t>
      </w:r>
    </w:p>
    <w:p w:rsidR="00317499" w:rsidRDefault="009844A5">
      <w:pPr>
        <w:keepNext/>
        <w:widowControl/>
        <w:numPr>
          <w:ilvl w:val="0"/>
          <w:numId w:val="2"/>
        </w:numPr>
        <w:pBdr>
          <w:top w:val="nil"/>
          <w:left w:val="nil"/>
          <w:bottom w:val="nil"/>
          <w:right w:val="nil"/>
          <w:between w:val="nil"/>
        </w:pBdr>
        <w:tabs>
          <w:tab w:val="left" w:pos="142"/>
        </w:tabs>
        <w:spacing w:before="120" w:after="240"/>
        <w:rPr>
          <w:rFonts w:ascii="Arial" w:eastAsia="Arial" w:hAnsi="Arial" w:cs="Arial"/>
          <w:b/>
          <w:smallCaps/>
          <w:color w:val="000000"/>
          <w:sz w:val="24"/>
          <w:szCs w:val="24"/>
        </w:rPr>
      </w:pPr>
      <w:r>
        <w:rPr>
          <w:rFonts w:ascii="Arial Bold" w:eastAsia="Arial Bold" w:hAnsi="Arial Bold" w:cs="Arial Bold"/>
          <w:b/>
          <w:color w:val="000000"/>
          <w:sz w:val="24"/>
          <w:szCs w:val="24"/>
        </w:rPr>
        <w:t>No requirement to award</w:t>
      </w:r>
    </w:p>
    <w:p w:rsidR="00317499" w:rsidRDefault="009844A5">
      <w:pPr>
        <w:widowControl/>
        <w:numPr>
          <w:ilvl w:val="1"/>
          <w:numId w:val="2"/>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Notwithstanding the fact that the Buyer has followed a procedure as set out above in Paragraph 2 or 3 (as applicable), the Supplier acknowledges and agrees that the Buyer shall be entitled at all times to decline to make an award for its Deliverables and that nothing in this Contract shall oblige the Buyer to award any Call-Off Contract.</w:t>
      </w:r>
    </w:p>
    <w:p w:rsidR="00317499" w:rsidRDefault="009844A5">
      <w:pPr>
        <w:keepNext/>
        <w:widowControl/>
        <w:numPr>
          <w:ilvl w:val="0"/>
          <w:numId w:val="2"/>
        </w:numPr>
        <w:pBdr>
          <w:top w:val="nil"/>
          <w:left w:val="nil"/>
          <w:bottom w:val="nil"/>
          <w:right w:val="nil"/>
          <w:between w:val="nil"/>
        </w:pBdr>
        <w:tabs>
          <w:tab w:val="left" w:pos="142"/>
        </w:tabs>
        <w:spacing w:before="120" w:after="240"/>
        <w:rPr>
          <w:rFonts w:ascii="Arial Bold" w:eastAsia="Arial Bold" w:hAnsi="Arial Bold" w:cs="Arial Bold"/>
          <w:b/>
          <w:color w:val="000000"/>
          <w:sz w:val="24"/>
          <w:szCs w:val="24"/>
        </w:rPr>
      </w:pPr>
      <w:r>
        <w:rPr>
          <w:rFonts w:ascii="Arial Bold" w:eastAsia="Arial Bold" w:hAnsi="Arial Bold" w:cs="Arial Bold"/>
          <w:b/>
          <w:color w:val="000000"/>
          <w:sz w:val="24"/>
          <w:szCs w:val="24"/>
        </w:rPr>
        <w:t>Who is responsible for the award</w:t>
      </w:r>
    </w:p>
    <w:p w:rsidR="00317499" w:rsidRDefault="009844A5">
      <w:pPr>
        <w:widowControl/>
        <w:numPr>
          <w:ilvl w:val="1"/>
          <w:numId w:val="2"/>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The Supplier acknowledges that the Buyer is independently responsible for the conduct of its award of Call-Off Contracts under this Contract and that CCS is not responsible or accountable for and shall have no liability whatsoever, except where it is the Buyer, in relation to:</w:t>
      </w:r>
    </w:p>
    <w:p w:rsidR="00317499" w:rsidRDefault="009844A5">
      <w:pPr>
        <w:widowControl/>
        <w:numPr>
          <w:ilvl w:val="2"/>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the conduct of Buyer in relation to this Contract; or</w:t>
      </w:r>
    </w:p>
    <w:p w:rsidR="00317499" w:rsidRDefault="009844A5">
      <w:pPr>
        <w:widowControl/>
        <w:numPr>
          <w:ilvl w:val="2"/>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the performance or non-performance of any Call-Off Contracts between the Supplier and Buyer entered into pursuant to this Contract.</w:t>
      </w:r>
    </w:p>
    <w:p w:rsidR="00317499" w:rsidRDefault="009844A5">
      <w:pPr>
        <w:keepNext/>
        <w:widowControl/>
        <w:numPr>
          <w:ilvl w:val="0"/>
          <w:numId w:val="2"/>
        </w:numPr>
        <w:pBdr>
          <w:top w:val="nil"/>
          <w:left w:val="nil"/>
          <w:bottom w:val="nil"/>
          <w:right w:val="nil"/>
          <w:between w:val="nil"/>
        </w:pBdr>
        <w:tabs>
          <w:tab w:val="left" w:pos="142"/>
        </w:tabs>
        <w:spacing w:before="120" w:after="240"/>
        <w:rPr>
          <w:rFonts w:ascii="Arial" w:eastAsia="Arial" w:hAnsi="Arial" w:cs="Arial"/>
          <w:b/>
          <w:smallCaps/>
          <w:color w:val="000000"/>
          <w:sz w:val="24"/>
          <w:szCs w:val="24"/>
        </w:rPr>
      </w:pPr>
      <w:r>
        <w:rPr>
          <w:rFonts w:ascii="Arial Bold" w:eastAsia="Arial Bold" w:hAnsi="Arial Bold" w:cs="Arial Bold"/>
          <w:b/>
          <w:color w:val="000000"/>
          <w:sz w:val="24"/>
          <w:szCs w:val="24"/>
        </w:rPr>
        <w:t>Awarding and creating a Call-Off Contract</w:t>
      </w:r>
    </w:p>
    <w:p w:rsidR="00317499" w:rsidRDefault="009844A5">
      <w:pPr>
        <w:widowControl/>
        <w:numPr>
          <w:ilvl w:val="1"/>
          <w:numId w:val="2"/>
        </w:numPr>
        <w:pBdr>
          <w:top w:val="nil"/>
          <w:left w:val="nil"/>
          <w:bottom w:val="nil"/>
          <w:right w:val="nil"/>
          <w:between w:val="nil"/>
        </w:pBdr>
        <w:tabs>
          <w:tab w:val="left" w:pos="3054"/>
        </w:tabs>
        <w:spacing w:before="120" w:after="120"/>
        <w:rPr>
          <w:rFonts w:ascii="Arial" w:eastAsia="Arial" w:hAnsi="Arial" w:cs="Arial"/>
          <w:color w:val="000000"/>
          <w:sz w:val="24"/>
          <w:szCs w:val="24"/>
        </w:rPr>
      </w:pPr>
      <w:bookmarkStart w:id="6" w:name="_heading=h.3dy6vkm" w:colFirst="0" w:colLast="0"/>
      <w:bookmarkEnd w:id="6"/>
      <w:r>
        <w:rPr>
          <w:rFonts w:ascii="Arial" w:eastAsia="Arial" w:hAnsi="Arial" w:cs="Arial"/>
          <w:color w:val="000000"/>
          <w:sz w:val="24"/>
          <w:szCs w:val="24"/>
        </w:rPr>
        <w:t>Subject to Paragraphs 1 to 5 above and 7, a Buyer may award a Call-Off Contract with the Supplier by sending (including electronically) a signed order form substantially in the form (as may be amended or refined by the Buyer in accordance with Paragraph 3.1.2 above) of the Order Form Template set out in Framework Schedule 6a Further Competition (Order Form Template and Call-Off Schedules)  and 6b Direct Award (Order Form Template and Call-Off Schedules).</w:t>
      </w:r>
    </w:p>
    <w:p w:rsidR="00317499" w:rsidRDefault="009844A5">
      <w:pPr>
        <w:widowControl/>
        <w:numPr>
          <w:ilvl w:val="1"/>
          <w:numId w:val="2"/>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The Parties agree that any document or communication (including any document or communication in the apparent form of a Call-Off Contract) which is not as described in this Paragraph 6 shall not constitute a Call-Off Contract under this Contract.</w:t>
      </w:r>
    </w:p>
    <w:p w:rsidR="00317499" w:rsidRDefault="009844A5">
      <w:pPr>
        <w:widowControl/>
        <w:numPr>
          <w:ilvl w:val="1"/>
          <w:numId w:val="2"/>
        </w:numPr>
        <w:pBdr>
          <w:top w:val="nil"/>
          <w:left w:val="nil"/>
          <w:bottom w:val="nil"/>
          <w:right w:val="nil"/>
          <w:between w:val="nil"/>
        </w:pBdr>
        <w:tabs>
          <w:tab w:val="left" w:pos="3054"/>
        </w:tabs>
        <w:spacing w:before="120" w:after="120"/>
        <w:rPr>
          <w:rFonts w:ascii="Arial" w:eastAsia="Arial" w:hAnsi="Arial" w:cs="Arial"/>
          <w:color w:val="000000"/>
          <w:sz w:val="24"/>
          <w:szCs w:val="24"/>
        </w:rPr>
      </w:pPr>
      <w:bookmarkStart w:id="7" w:name="_heading=h.1t3h5sf" w:colFirst="0" w:colLast="0"/>
      <w:bookmarkEnd w:id="7"/>
      <w:r>
        <w:rPr>
          <w:rFonts w:ascii="Arial" w:eastAsia="Arial" w:hAnsi="Arial" w:cs="Arial"/>
          <w:color w:val="000000"/>
          <w:sz w:val="24"/>
          <w:szCs w:val="24"/>
        </w:rPr>
        <w:t>On receipt of an order form as described in Paragraph 6.1 from a Buyer the Supplier shall accept the Call-Off Contract by promptly signing and returning (including by electronic means) a copy of the order form to the Buyer concerned.</w:t>
      </w:r>
    </w:p>
    <w:p w:rsidR="00317499" w:rsidRDefault="009844A5">
      <w:pPr>
        <w:widowControl/>
        <w:numPr>
          <w:ilvl w:val="1"/>
          <w:numId w:val="2"/>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lastRenderedPageBreak/>
        <w:t>On receipt of the countersigned Order Form from the Supplier, the Buyer shall send (including by electronic means) a written notice of receipt to the Supplier within two (2) Working Days and the Call Off Contract shall be formed with effect from the Call Off Start Date stated in the Order Form.</w:t>
      </w:r>
    </w:p>
    <w:p w:rsidR="00317499" w:rsidRDefault="009844A5">
      <w:pPr>
        <w:keepNext/>
        <w:widowControl/>
        <w:numPr>
          <w:ilvl w:val="0"/>
          <w:numId w:val="2"/>
        </w:numPr>
        <w:pBdr>
          <w:top w:val="nil"/>
          <w:left w:val="nil"/>
          <w:bottom w:val="nil"/>
          <w:right w:val="nil"/>
          <w:between w:val="nil"/>
        </w:pBdr>
        <w:tabs>
          <w:tab w:val="left" w:pos="142"/>
        </w:tabs>
        <w:spacing w:before="120" w:after="240"/>
        <w:rPr>
          <w:rFonts w:ascii="Arial Bold" w:eastAsia="Arial Bold" w:hAnsi="Arial Bold" w:cs="Arial Bold"/>
          <w:b/>
          <w:color w:val="000000"/>
          <w:sz w:val="24"/>
          <w:szCs w:val="24"/>
        </w:rPr>
      </w:pPr>
      <w:r>
        <w:rPr>
          <w:rFonts w:ascii="Arial Bold" w:eastAsia="Arial Bold" w:hAnsi="Arial Bold" w:cs="Arial Bold"/>
          <w:b/>
          <w:color w:val="000000"/>
          <w:sz w:val="24"/>
          <w:szCs w:val="24"/>
        </w:rPr>
        <w:t>Awarding and creating an Exempt Call-off Contract</w:t>
      </w:r>
    </w:p>
    <w:p w:rsidR="00317499" w:rsidRDefault="009844A5">
      <w:pPr>
        <w:keepNext/>
        <w:widowControl/>
        <w:numPr>
          <w:ilvl w:val="1"/>
          <w:numId w:val="2"/>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Paragraph 1 above shall not apply to an Exempt Buyer.</w:t>
      </w:r>
    </w:p>
    <w:p w:rsidR="00317499" w:rsidRDefault="009844A5">
      <w:pPr>
        <w:keepNext/>
        <w:widowControl/>
        <w:numPr>
          <w:ilvl w:val="1"/>
          <w:numId w:val="2"/>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 If a potential Exempt Buyer decides to source Deliverables through this Framework Contract, it will award an Exempt Call-off Contract for Deliverables in accordance with the procedure in this Schedule as modified by this Paragraph 8 and in accordance with any legal requirements applicable to that potential Exempt Buyer.</w:t>
      </w:r>
    </w:p>
    <w:p w:rsidR="00317499" w:rsidRDefault="009844A5">
      <w:pPr>
        <w:keepNext/>
        <w:widowControl/>
        <w:numPr>
          <w:ilvl w:val="1"/>
          <w:numId w:val="2"/>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A potential Exempt Buyer may award an Exempt Call-off Contract under this Framework Contract without holding a further competition in accordance with Paragraph 2 above as modified by Paragraph 8.4 below or through a Further Competition Procedure in accordance with Paragraph 3 as modified by Paragraph 8.5 below.</w:t>
      </w:r>
    </w:p>
    <w:p w:rsidR="00317499" w:rsidRDefault="009844A5">
      <w:pPr>
        <w:keepNext/>
        <w:widowControl/>
        <w:numPr>
          <w:ilvl w:val="1"/>
          <w:numId w:val="2"/>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Notwithstanding the procedure set out in Paragraph 2 above, if the potential Exempt Buyer can determine that:</w:t>
      </w:r>
    </w:p>
    <w:p w:rsidR="00317499" w:rsidRDefault="009844A5">
      <w:pPr>
        <w:widowControl/>
        <w:numPr>
          <w:ilvl w:val="2"/>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its Deliverables can be met by as set out in Framework Schedule 1 (Specification) and Framework Schedule 2 (Framework Tender); and</w:t>
      </w:r>
    </w:p>
    <w:p w:rsidR="00317499" w:rsidRDefault="009844A5">
      <w:pPr>
        <w:widowControl/>
        <w:numPr>
          <w:ilvl w:val="2"/>
          <w:numId w:val="2"/>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the Supplier will accept any required Exempt Procurement Amendments,</w:t>
      </w:r>
    </w:p>
    <w:p w:rsidR="00317499" w:rsidRDefault="009844A5">
      <w:pPr>
        <w:widowControl/>
        <w:pBdr>
          <w:top w:val="nil"/>
          <w:left w:val="nil"/>
          <w:bottom w:val="nil"/>
          <w:right w:val="nil"/>
          <w:between w:val="nil"/>
        </w:pBdr>
        <w:tabs>
          <w:tab w:val="left" w:pos="3641"/>
        </w:tabs>
        <w:spacing w:before="120" w:after="120"/>
        <w:ind w:left="1890"/>
        <w:rPr>
          <w:rFonts w:ascii="Arial" w:eastAsia="Arial" w:hAnsi="Arial" w:cs="Arial"/>
          <w:color w:val="000000"/>
          <w:sz w:val="24"/>
          <w:szCs w:val="24"/>
        </w:rPr>
      </w:pPr>
      <w:r>
        <w:rPr>
          <w:rFonts w:ascii="Arial" w:eastAsia="Arial" w:hAnsi="Arial" w:cs="Arial"/>
          <w:color w:val="000000"/>
          <w:sz w:val="24"/>
          <w:szCs w:val="24"/>
        </w:rPr>
        <w:t>then the Exempt Buyer may award an Exempt Call-off Contract to that Supplier in accordance with Paragraph 6 above.</w:t>
      </w:r>
    </w:p>
    <w:p w:rsidR="00317499" w:rsidRDefault="009844A5">
      <w:pPr>
        <w:keepNext/>
        <w:widowControl/>
        <w:numPr>
          <w:ilvl w:val="1"/>
          <w:numId w:val="2"/>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If the potential Exempt Buyer requires the Supplier to develop proposals or a solution in respect of Deliverables, then the potential Exempt Buyer may at its discretion use the procedure set out in Paragraph 3 above as modified by this Paragraph 8.5. In that case, references to “the Regulations” in Paragraph 3 above shall be read as references to “any legal requirements applicable to that potential Exempt Buyer”, and the Exempt Buyer shall be permitted to modify the Further Competition Procedure in accordance with any legal requirements applicable to the Exempt Buyer.</w:t>
      </w:r>
    </w:p>
    <w:p w:rsidR="00317499" w:rsidRDefault="009844A5">
      <w:pPr>
        <w:keepNext/>
        <w:widowControl/>
        <w:numPr>
          <w:ilvl w:val="1"/>
          <w:numId w:val="2"/>
        </w:numPr>
        <w:pBdr>
          <w:top w:val="nil"/>
          <w:left w:val="nil"/>
          <w:bottom w:val="nil"/>
          <w:right w:val="nil"/>
          <w:between w:val="nil"/>
        </w:pBdr>
        <w:tabs>
          <w:tab w:val="left" w:pos="3054"/>
        </w:tabs>
        <w:spacing w:before="120" w:after="120"/>
        <w:rPr>
          <w:rFonts w:ascii="Arial" w:eastAsia="Arial" w:hAnsi="Arial" w:cs="Arial"/>
          <w:color w:val="000000"/>
          <w:sz w:val="24"/>
          <w:szCs w:val="24"/>
        </w:rPr>
      </w:pPr>
      <w:bookmarkStart w:id="8" w:name="_heading=h.3rdcrjn" w:colFirst="0" w:colLast="0"/>
      <w:bookmarkEnd w:id="8"/>
      <w:r>
        <w:rPr>
          <w:rFonts w:ascii="Arial" w:eastAsia="Arial" w:hAnsi="Arial" w:cs="Arial"/>
          <w:color w:val="000000"/>
          <w:sz w:val="24"/>
          <w:szCs w:val="24"/>
        </w:rPr>
        <w:t>Paragraphs 8.1 to 8.5 above are without prejudice to an Exempt Buyer’s ability to make such further modifications to the Call-Off Procedure as it considers necessary and in accordance with any legal requirements applicable to that potential Exempt Buyer.</w:t>
      </w:r>
    </w:p>
    <w:p w:rsidR="00317499" w:rsidRDefault="009844A5">
      <w:pPr>
        <w:rPr>
          <w:rFonts w:ascii="Arial" w:eastAsia="Arial" w:hAnsi="Arial" w:cs="Arial"/>
          <w:sz w:val="24"/>
          <w:szCs w:val="24"/>
        </w:rPr>
      </w:pPr>
      <w:r>
        <w:br w:type="page"/>
      </w:r>
    </w:p>
    <w:p w:rsidR="00317499" w:rsidRDefault="00317499">
      <w:pPr>
        <w:widowControl/>
        <w:pBdr>
          <w:top w:val="nil"/>
          <w:left w:val="nil"/>
          <w:bottom w:val="nil"/>
          <w:right w:val="nil"/>
          <w:between w:val="nil"/>
        </w:pBdr>
        <w:tabs>
          <w:tab w:val="left" w:pos="3054"/>
        </w:tabs>
        <w:spacing w:before="120" w:after="120"/>
        <w:ind w:left="936" w:hanging="576"/>
        <w:rPr>
          <w:rFonts w:ascii="Arial" w:eastAsia="Arial" w:hAnsi="Arial" w:cs="Arial"/>
          <w:color w:val="000000"/>
          <w:sz w:val="24"/>
          <w:szCs w:val="24"/>
        </w:rPr>
      </w:pPr>
    </w:p>
    <w:p w:rsidR="00317499" w:rsidRDefault="009844A5">
      <w:pPr>
        <w:widowControl/>
        <w:pBdr>
          <w:top w:val="nil"/>
          <w:left w:val="nil"/>
          <w:bottom w:val="nil"/>
          <w:right w:val="nil"/>
          <w:between w:val="nil"/>
        </w:pBdr>
        <w:tabs>
          <w:tab w:val="left" w:pos="3054"/>
        </w:tabs>
        <w:spacing w:before="120" w:after="120"/>
        <w:ind w:left="936" w:hanging="576"/>
        <w:rPr>
          <w:rFonts w:ascii="Arial" w:eastAsia="Arial" w:hAnsi="Arial" w:cs="Arial"/>
          <w:color w:val="000000"/>
          <w:sz w:val="36"/>
          <w:szCs w:val="36"/>
        </w:rPr>
      </w:pPr>
      <w:r>
        <w:rPr>
          <w:rFonts w:ascii="Arial" w:eastAsia="Arial" w:hAnsi="Arial" w:cs="Arial"/>
          <w:b/>
          <w:color w:val="000000"/>
          <w:sz w:val="36"/>
          <w:szCs w:val="36"/>
        </w:rPr>
        <w:t>Part 2: Award Criteria</w:t>
      </w:r>
    </w:p>
    <w:p w:rsidR="00317499" w:rsidRDefault="009844A5">
      <w:pPr>
        <w:widowControl/>
        <w:numPr>
          <w:ilvl w:val="0"/>
          <w:numId w:val="1"/>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This Part 2 lays out award criteria for direct award (Annex A) and for further competition (Annex B) in accordance with the Call-Off Procedure.</w:t>
      </w:r>
    </w:p>
    <w:p w:rsidR="00317499" w:rsidRDefault="009844A5">
      <w:pPr>
        <w:widowControl/>
        <w:numPr>
          <w:ilvl w:val="0"/>
          <w:numId w:val="1"/>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A Call-Off Contract may be awarded on the basis of most economically advantageous tender ("MEAT").</w:t>
      </w:r>
    </w:p>
    <w:p w:rsidR="00317499" w:rsidRDefault="009844A5">
      <w:pPr>
        <w:rPr>
          <w:rFonts w:ascii="Arial" w:eastAsia="Arial" w:hAnsi="Arial" w:cs="Arial"/>
          <w:b/>
          <w:smallCaps/>
          <w:sz w:val="24"/>
          <w:szCs w:val="24"/>
        </w:rPr>
      </w:pPr>
      <w:r>
        <w:br w:type="page"/>
      </w:r>
    </w:p>
    <w:p w:rsidR="00317499" w:rsidRDefault="009844A5">
      <w:pPr>
        <w:keepNext/>
        <w:widowControl/>
        <w:pBdr>
          <w:top w:val="nil"/>
          <w:left w:val="nil"/>
          <w:bottom w:val="nil"/>
          <w:right w:val="nil"/>
          <w:between w:val="nil"/>
        </w:pBdr>
        <w:spacing w:before="240" w:after="240"/>
        <w:ind w:firstLine="426"/>
        <w:rPr>
          <w:rFonts w:ascii="Arial Bold" w:eastAsia="Arial Bold" w:hAnsi="Arial Bold" w:cs="Arial Bold"/>
          <w:b/>
          <w:color w:val="000000"/>
          <w:sz w:val="36"/>
          <w:szCs w:val="36"/>
        </w:rPr>
      </w:pPr>
      <w:r>
        <w:rPr>
          <w:rFonts w:ascii="Arial Bold" w:eastAsia="Arial Bold" w:hAnsi="Arial Bold" w:cs="Arial Bold"/>
          <w:b/>
          <w:color w:val="000000"/>
          <w:sz w:val="36"/>
          <w:szCs w:val="36"/>
        </w:rPr>
        <w:lastRenderedPageBreak/>
        <w:t>Annex A: Direct award criteria</w:t>
      </w:r>
    </w:p>
    <w:p w:rsidR="00317499" w:rsidRDefault="009844A5">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Pr>
          <w:rFonts w:ascii="Arial" w:eastAsia="Arial" w:hAnsi="Arial" w:cs="Arial"/>
          <w:color w:val="000000"/>
          <w:sz w:val="24"/>
          <w:szCs w:val="24"/>
        </w:rPr>
        <w:t>The following criteria and weightings shall apply to the evaluation for direct award of each Call-Off.</w:t>
      </w:r>
    </w:p>
    <w:tbl>
      <w:tblPr>
        <w:tblStyle w:val="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3"/>
        <w:gridCol w:w="4513"/>
      </w:tblGrid>
      <w:tr w:rsidR="00317499">
        <w:tc>
          <w:tcPr>
            <w:tcW w:w="4513" w:type="dxa"/>
          </w:tcPr>
          <w:p w:rsidR="00317499" w:rsidRDefault="009844A5">
            <w:pPr>
              <w:widowControl/>
              <w:pBdr>
                <w:top w:val="nil"/>
                <w:left w:val="nil"/>
                <w:bottom w:val="nil"/>
                <w:right w:val="nil"/>
                <w:between w:val="nil"/>
              </w:pBdr>
              <w:tabs>
                <w:tab w:val="left" w:pos="851"/>
              </w:tabs>
              <w:spacing w:before="120" w:after="120"/>
              <w:jc w:val="both"/>
              <w:rPr>
                <w:rFonts w:ascii="Arial" w:eastAsia="Arial" w:hAnsi="Arial" w:cs="Arial"/>
                <w:color w:val="000000"/>
              </w:rPr>
            </w:pPr>
            <w:r>
              <w:rPr>
                <w:rFonts w:ascii="Arial" w:eastAsia="Arial" w:hAnsi="Arial" w:cs="Arial"/>
                <w:b/>
                <w:color w:val="000000"/>
              </w:rPr>
              <w:t>Criteria</w:t>
            </w:r>
          </w:p>
        </w:tc>
        <w:tc>
          <w:tcPr>
            <w:tcW w:w="4513" w:type="dxa"/>
          </w:tcPr>
          <w:p w:rsidR="00317499" w:rsidRDefault="009844A5">
            <w:pPr>
              <w:widowControl/>
              <w:pBdr>
                <w:top w:val="nil"/>
                <w:left w:val="nil"/>
                <w:bottom w:val="nil"/>
                <w:right w:val="nil"/>
                <w:between w:val="nil"/>
              </w:pBdr>
              <w:tabs>
                <w:tab w:val="left" w:pos="851"/>
              </w:tabs>
              <w:spacing w:before="120" w:after="120"/>
              <w:jc w:val="both"/>
              <w:rPr>
                <w:rFonts w:ascii="Arial" w:eastAsia="Arial" w:hAnsi="Arial" w:cs="Arial"/>
                <w:b/>
                <w:color w:val="000000"/>
              </w:rPr>
            </w:pPr>
            <w:r>
              <w:rPr>
                <w:rFonts w:ascii="Arial" w:eastAsia="Arial" w:hAnsi="Arial" w:cs="Arial"/>
                <w:b/>
                <w:sz w:val="24"/>
                <w:szCs w:val="24"/>
              </w:rPr>
              <w:t>Relative weighting percentage</w:t>
            </w:r>
          </w:p>
        </w:tc>
      </w:tr>
      <w:tr w:rsidR="00317499">
        <w:tc>
          <w:tcPr>
            <w:tcW w:w="4513" w:type="dxa"/>
          </w:tcPr>
          <w:p w:rsidR="00317499" w:rsidRDefault="009844A5">
            <w:pPr>
              <w:widowControl/>
              <w:pBdr>
                <w:top w:val="nil"/>
                <w:left w:val="nil"/>
                <w:bottom w:val="nil"/>
                <w:right w:val="nil"/>
                <w:between w:val="nil"/>
              </w:pBdr>
              <w:tabs>
                <w:tab w:val="left" w:pos="851"/>
              </w:tabs>
              <w:rPr>
                <w:rFonts w:ascii="Arial" w:eastAsia="Arial" w:hAnsi="Arial" w:cs="Arial"/>
                <w:color w:val="000000"/>
              </w:rPr>
            </w:pPr>
            <w:r>
              <w:rPr>
                <w:rFonts w:ascii="Arial" w:eastAsia="Arial" w:hAnsi="Arial" w:cs="Arial"/>
                <w:color w:val="000000"/>
                <w:u w:val="single"/>
              </w:rPr>
              <w:t xml:space="preserve">Quality </w:t>
            </w:r>
            <w:r>
              <w:rPr>
                <w:rFonts w:ascii="Arial" w:eastAsia="Arial" w:hAnsi="Arial" w:cs="Arial"/>
                <w:color w:val="000000"/>
              </w:rPr>
              <w:t>- Which may include but is not limited to:</w:t>
            </w:r>
          </w:p>
          <w:p w:rsidR="00317499" w:rsidRDefault="009844A5">
            <w:pPr>
              <w:widowControl/>
              <w:pBdr>
                <w:top w:val="nil"/>
                <w:left w:val="nil"/>
                <w:bottom w:val="nil"/>
                <w:right w:val="nil"/>
                <w:between w:val="nil"/>
              </w:pBdr>
              <w:tabs>
                <w:tab w:val="left" w:pos="592"/>
              </w:tabs>
              <w:ind w:left="592" w:hanging="309"/>
            </w:pPr>
            <w:r>
              <w:t xml:space="preserve">[Delivery time, </w:t>
            </w:r>
          </w:p>
          <w:p w:rsidR="00317499" w:rsidRDefault="009844A5">
            <w:pPr>
              <w:widowControl/>
              <w:pBdr>
                <w:top w:val="nil"/>
                <w:left w:val="nil"/>
                <w:bottom w:val="nil"/>
                <w:right w:val="nil"/>
                <w:between w:val="nil"/>
              </w:pBdr>
              <w:tabs>
                <w:tab w:val="left" w:pos="592"/>
              </w:tabs>
              <w:ind w:left="592" w:hanging="309"/>
            </w:pPr>
            <w:r>
              <w:t xml:space="preserve">Sales service, </w:t>
            </w:r>
          </w:p>
          <w:p w:rsidR="00317499" w:rsidRDefault="009844A5">
            <w:pPr>
              <w:widowControl/>
              <w:pBdr>
                <w:top w:val="nil"/>
                <w:left w:val="nil"/>
                <w:bottom w:val="nil"/>
                <w:right w:val="nil"/>
                <w:between w:val="nil"/>
              </w:pBdr>
              <w:tabs>
                <w:tab w:val="left" w:pos="592"/>
              </w:tabs>
              <w:ind w:left="592" w:hanging="309"/>
            </w:pPr>
            <w:r>
              <w:t xml:space="preserve">Added Value, </w:t>
            </w:r>
          </w:p>
          <w:p w:rsidR="00317499" w:rsidRDefault="009844A5">
            <w:pPr>
              <w:widowControl/>
              <w:pBdr>
                <w:top w:val="nil"/>
                <w:left w:val="nil"/>
                <w:bottom w:val="nil"/>
                <w:right w:val="nil"/>
                <w:between w:val="nil"/>
              </w:pBdr>
              <w:tabs>
                <w:tab w:val="left" w:pos="592"/>
              </w:tabs>
              <w:ind w:left="592" w:hanging="309"/>
            </w:pPr>
            <w:r>
              <w:t>Accessories</w:t>
            </w:r>
          </w:p>
          <w:p w:rsidR="00317499" w:rsidRDefault="009844A5">
            <w:pPr>
              <w:widowControl/>
              <w:pBdr>
                <w:top w:val="nil"/>
                <w:left w:val="nil"/>
                <w:bottom w:val="nil"/>
                <w:right w:val="nil"/>
                <w:between w:val="nil"/>
              </w:pBdr>
              <w:tabs>
                <w:tab w:val="left" w:pos="592"/>
              </w:tabs>
              <w:ind w:left="592" w:hanging="309"/>
            </w:pPr>
            <w:r>
              <w:t>Service fitness for purpose]</w:t>
            </w:r>
          </w:p>
          <w:p w:rsidR="00317499" w:rsidRDefault="009844A5">
            <w:pPr>
              <w:widowControl/>
              <w:pBdr>
                <w:top w:val="nil"/>
                <w:left w:val="nil"/>
                <w:bottom w:val="nil"/>
                <w:right w:val="nil"/>
                <w:between w:val="nil"/>
              </w:pBdr>
              <w:tabs>
                <w:tab w:val="left" w:pos="309"/>
              </w:tabs>
              <w:ind w:left="309" w:hanging="309"/>
            </w:pPr>
            <w:r>
              <w:t>[Use Of Supply Chain / Partners]</w:t>
            </w:r>
          </w:p>
        </w:tc>
        <w:tc>
          <w:tcPr>
            <w:tcW w:w="4513" w:type="dxa"/>
          </w:tcPr>
          <w:p w:rsidR="00317499" w:rsidRDefault="009844A5">
            <w:pPr>
              <w:widowControl/>
              <w:pBdr>
                <w:top w:val="nil"/>
                <w:left w:val="nil"/>
                <w:bottom w:val="nil"/>
                <w:right w:val="nil"/>
                <w:between w:val="nil"/>
              </w:pBdr>
              <w:tabs>
                <w:tab w:val="left" w:pos="851"/>
              </w:tabs>
              <w:spacing w:after="240"/>
              <w:jc w:val="both"/>
              <w:rPr>
                <w:rFonts w:ascii="Arial" w:eastAsia="Arial" w:hAnsi="Arial" w:cs="Arial"/>
                <w:color w:val="000000"/>
              </w:rPr>
            </w:pPr>
            <w:r>
              <w:rPr>
                <w:rFonts w:ascii="Arial" w:eastAsia="Arial" w:hAnsi="Arial" w:cs="Arial"/>
                <w:b/>
                <w:sz w:val="24"/>
                <w:szCs w:val="24"/>
              </w:rPr>
              <w:t>10-80%</w:t>
            </w:r>
          </w:p>
        </w:tc>
      </w:tr>
      <w:tr w:rsidR="00317499">
        <w:tc>
          <w:tcPr>
            <w:tcW w:w="4513" w:type="dxa"/>
          </w:tcPr>
          <w:p w:rsidR="00317499" w:rsidRDefault="009844A5">
            <w:pPr>
              <w:widowControl/>
              <w:pBdr>
                <w:top w:val="nil"/>
                <w:left w:val="nil"/>
                <w:bottom w:val="nil"/>
                <w:right w:val="nil"/>
                <w:between w:val="nil"/>
              </w:pBdr>
              <w:tabs>
                <w:tab w:val="left" w:pos="851"/>
              </w:tabs>
              <w:spacing w:after="240"/>
              <w:jc w:val="both"/>
              <w:rPr>
                <w:rFonts w:ascii="Arial" w:eastAsia="Arial" w:hAnsi="Arial" w:cs="Arial"/>
                <w:color w:val="000000"/>
              </w:rPr>
            </w:pPr>
            <w:r>
              <w:rPr>
                <w:rFonts w:ascii="Arial" w:eastAsia="Arial" w:hAnsi="Arial" w:cs="Arial"/>
                <w:color w:val="000000"/>
              </w:rPr>
              <w:t xml:space="preserve">Price </w:t>
            </w:r>
          </w:p>
        </w:tc>
        <w:tc>
          <w:tcPr>
            <w:tcW w:w="4513" w:type="dxa"/>
          </w:tcPr>
          <w:p w:rsidR="00317499" w:rsidRDefault="009844A5">
            <w:pPr>
              <w:widowControl/>
              <w:pBdr>
                <w:top w:val="nil"/>
                <w:left w:val="nil"/>
                <w:bottom w:val="nil"/>
                <w:right w:val="nil"/>
                <w:between w:val="nil"/>
              </w:pBdr>
              <w:tabs>
                <w:tab w:val="left" w:pos="851"/>
              </w:tabs>
              <w:spacing w:after="240"/>
              <w:jc w:val="both"/>
              <w:rPr>
                <w:rFonts w:ascii="Arial" w:eastAsia="Arial" w:hAnsi="Arial" w:cs="Arial"/>
                <w:b/>
                <w:sz w:val="24"/>
                <w:szCs w:val="24"/>
              </w:rPr>
            </w:pPr>
            <w:r>
              <w:rPr>
                <w:rFonts w:ascii="Arial" w:eastAsia="Arial" w:hAnsi="Arial" w:cs="Arial"/>
                <w:b/>
                <w:sz w:val="24"/>
                <w:szCs w:val="24"/>
              </w:rPr>
              <w:t>10-80%</w:t>
            </w:r>
          </w:p>
        </w:tc>
      </w:tr>
      <w:tr w:rsidR="00C824AB" w:rsidTr="00C824AB">
        <w:tc>
          <w:tcPr>
            <w:tcW w:w="4513" w:type="dxa"/>
            <w:shd w:val="clear" w:color="auto" w:fill="DBDBDB" w:themeFill="accent3" w:themeFillTint="66"/>
          </w:tcPr>
          <w:p w:rsidR="00C824AB" w:rsidRPr="00C824AB" w:rsidRDefault="00C824AB">
            <w:pPr>
              <w:widowControl/>
              <w:pBdr>
                <w:top w:val="nil"/>
                <w:left w:val="nil"/>
                <w:bottom w:val="nil"/>
                <w:right w:val="nil"/>
                <w:between w:val="nil"/>
              </w:pBdr>
              <w:tabs>
                <w:tab w:val="left" w:pos="851"/>
              </w:tabs>
              <w:spacing w:after="240"/>
              <w:jc w:val="both"/>
              <w:rPr>
                <w:rFonts w:ascii="Arial" w:eastAsia="Arial" w:hAnsi="Arial" w:cs="Arial"/>
                <w:color w:val="FF0000"/>
              </w:rPr>
            </w:pPr>
            <w:r w:rsidRPr="00B47935">
              <w:rPr>
                <w:rFonts w:ascii="Arial" w:eastAsia="Arial" w:hAnsi="Arial" w:cs="Arial"/>
              </w:rPr>
              <w:t>Post Call-Off Contract inclusion (if required)</w:t>
            </w:r>
          </w:p>
        </w:tc>
        <w:tc>
          <w:tcPr>
            <w:tcW w:w="4513" w:type="dxa"/>
            <w:shd w:val="clear" w:color="auto" w:fill="DBDBDB" w:themeFill="accent3" w:themeFillTint="66"/>
          </w:tcPr>
          <w:p w:rsidR="00C824AB" w:rsidRPr="00C824AB" w:rsidRDefault="00C824AB">
            <w:pPr>
              <w:widowControl/>
              <w:pBdr>
                <w:top w:val="nil"/>
                <w:left w:val="nil"/>
                <w:bottom w:val="nil"/>
                <w:right w:val="nil"/>
                <w:between w:val="nil"/>
              </w:pBdr>
              <w:tabs>
                <w:tab w:val="left" w:pos="851"/>
              </w:tabs>
              <w:spacing w:after="240"/>
              <w:jc w:val="both"/>
              <w:rPr>
                <w:rFonts w:ascii="Arial" w:eastAsia="Arial" w:hAnsi="Arial" w:cs="Arial"/>
                <w:b/>
                <w:color w:val="FF0000"/>
                <w:sz w:val="24"/>
                <w:szCs w:val="24"/>
              </w:rPr>
            </w:pPr>
          </w:p>
        </w:tc>
      </w:tr>
      <w:tr w:rsidR="00317499">
        <w:tc>
          <w:tcPr>
            <w:tcW w:w="4513" w:type="dxa"/>
          </w:tcPr>
          <w:p w:rsidR="00317499" w:rsidRDefault="009844A5">
            <w:pPr>
              <w:widowControl/>
              <w:pBdr>
                <w:top w:val="nil"/>
                <w:left w:val="nil"/>
                <w:bottom w:val="nil"/>
                <w:right w:val="nil"/>
                <w:between w:val="nil"/>
              </w:pBdr>
              <w:tabs>
                <w:tab w:val="left" w:pos="851"/>
              </w:tabs>
              <w:spacing w:after="240"/>
              <w:jc w:val="both"/>
              <w:rPr>
                <w:rFonts w:ascii="Arial" w:eastAsia="Arial" w:hAnsi="Arial" w:cs="Arial"/>
                <w:color w:val="000000"/>
              </w:rPr>
            </w:pPr>
            <w:r>
              <w:rPr>
                <w:rFonts w:ascii="Arial" w:eastAsia="Arial" w:hAnsi="Arial" w:cs="Arial"/>
                <w:color w:val="000000"/>
              </w:rPr>
              <w:t>Social Value</w:t>
            </w:r>
          </w:p>
        </w:tc>
        <w:tc>
          <w:tcPr>
            <w:tcW w:w="4513" w:type="dxa"/>
          </w:tcPr>
          <w:p w:rsidR="00317499" w:rsidRDefault="009844A5">
            <w:pPr>
              <w:widowControl/>
              <w:pBdr>
                <w:top w:val="nil"/>
                <w:left w:val="nil"/>
                <w:bottom w:val="nil"/>
                <w:right w:val="nil"/>
                <w:between w:val="nil"/>
              </w:pBdr>
              <w:tabs>
                <w:tab w:val="left" w:pos="851"/>
              </w:tabs>
              <w:spacing w:after="240"/>
              <w:jc w:val="both"/>
              <w:rPr>
                <w:rFonts w:ascii="Arial" w:eastAsia="Arial" w:hAnsi="Arial" w:cs="Arial"/>
                <w:b/>
                <w:sz w:val="24"/>
                <w:szCs w:val="24"/>
              </w:rPr>
            </w:pPr>
            <w:r>
              <w:rPr>
                <w:rFonts w:ascii="Arial" w:eastAsia="Arial" w:hAnsi="Arial" w:cs="Arial"/>
                <w:b/>
                <w:sz w:val="24"/>
                <w:szCs w:val="24"/>
              </w:rPr>
              <w:t>10%</w:t>
            </w:r>
          </w:p>
        </w:tc>
      </w:tr>
    </w:tbl>
    <w:p w:rsidR="00317499" w:rsidRDefault="00317499">
      <w:pPr>
        <w:widowControl/>
        <w:pBdr>
          <w:top w:val="nil"/>
          <w:left w:val="nil"/>
          <w:bottom w:val="nil"/>
          <w:right w:val="nil"/>
          <w:between w:val="nil"/>
        </w:pBdr>
        <w:ind w:left="1080"/>
        <w:jc w:val="both"/>
        <w:rPr>
          <w:rFonts w:ascii="Arial" w:eastAsia="Arial" w:hAnsi="Arial" w:cs="Arial"/>
          <w:color w:val="FFFFFF"/>
          <w:sz w:val="24"/>
          <w:szCs w:val="24"/>
        </w:rPr>
      </w:pPr>
    </w:p>
    <w:p w:rsidR="00C824AB" w:rsidRPr="00B47935" w:rsidRDefault="00C824AB" w:rsidP="00C824AB">
      <w:pPr>
        <w:rPr>
          <w:b/>
        </w:rPr>
      </w:pPr>
      <w:r w:rsidRPr="00B47935">
        <w:rPr>
          <w:b/>
        </w:rPr>
        <w:t>Social Value</w:t>
      </w:r>
    </w:p>
    <w:p w:rsidR="00C824AB" w:rsidRPr="00B47935" w:rsidRDefault="00C824AB" w:rsidP="00C824AB">
      <w:r w:rsidRPr="00B47935">
        <w:t>Social Value should not be used as part of the objective criteria for direct awards. If the Buyer wishes to include Social Value into the Call-Off Contract then the Buyer and Supplier will mutually agree on the social value inclusion into the resultant Call-Off Contract.</w:t>
      </w:r>
    </w:p>
    <w:p w:rsidR="00C824AB" w:rsidRDefault="00C824AB" w:rsidP="00C824AB">
      <w:r w:rsidRPr="00721E90">
        <w:t>In keeping with PPN 06/20, the Buyer should agree with the Su</w:t>
      </w:r>
      <w:bookmarkStart w:id="9" w:name="_GoBack"/>
      <w:bookmarkEnd w:id="9"/>
      <w:r w:rsidRPr="00721E90">
        <w:t>pplier what they can and will do to help work towards the social value priorities set out in the Framework Schedule 1 (Specification).  Buyers should discuss with the Supplier what would be an appropriate and proportionate commitment, and this commitment will form part of the Call-off Contract.  Buyers would then evaluate the Supplier’s performance against this commitment as part of ongoing contract management.</w:t>
      </w:r>
    </w:p>
    <w:p w:rsidR="00317499" w:rsidRDefault="009844A5">
      <w:pPr>
        <w:keepNext/>
        <w:widowControl/>
        <w:pBdr>
          <w:top w:val="nil"/>
          <w:left w:val="nil"/>
          <w:bottom w:val="nil"/>
          <w:right w:val="nil"/>
          <w:between w:val="nil"/>
        </w:pBdr>
        <w:spacing w:before="240" w:after="240"/>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Annex B: Further Competition Award Criteria</w:t>
      </w:r>
    </w:p>
    <w:p w:rsidR="00317499" w:rsidRDefault="009844A5">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Pr>
          <w:rFonts w:ascii="Arial" w:eastAsia="Arial" w:hAnsi="Arial" w:cs="Arial"/>
          <w:color w:val="000000"/>
          <w:sz w:val="24"/>
          <w:szCs w:val="24"/>
        </w:rPr>
        <w:t>The following criteria and weightings shall apply to the evaluation of tenders received through the Further Competition Procedure:</w:t>
      </w:r>
    </w:p>
    <w:tbl>
      <w:tblPr>
        <w:tblStyle w:val="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8"/>
        <w:gridCol w:w="3008"/>
        <w:gridCol w:w="3008"/>
      </w:tblGrid>
      <w:tr w:rsidR="00317499">
        <w:tc>
          <w:tcPr>
            <w:tcW w:w="3008" w:type="dxa"/>
            <w:shd w:val="clear" w:color="auto" w:fill="E7E6E6"/>
          </w:tcPr>
          <w:p w:rsidR="00317499" w:rsidRDefault="009844A5">
            <w:pPr>
              <w:widowControl/>
              <w:pBdr>
                <w:top w:val="nil"/>
                <w:left w:val="nil"/>
                <w:bottom w:val="nil"/>
                <w:right w:val="nil"/>
                <w:between w:val="nil"/>
              </w:pBdr>
              <w:tabs>
                <w:tab w:val="left" w:pos="851"/>
              </w:tabs>
              <w:spacing w:before="120" w:after="120"/>
              <w:jc w:val="both"/>
              <w:rPr>
                <w:rFonts w:ascii="Arial" w:eastAsia="Arial" w:hAnsi="Arial" w:cs="Arial"/>
                <w:color w:val="000000"/>
                <w:sz w:val="24"/>
                <w:szCs w:val="24"/>
              </w:rPr>
            </w:pPr>
            <w:r>
              <w:rPr>
                <w:rFonts w:ascii="Arial" w:eastAsia="Arial" w:hAnsi="Arial" w:cs="Arial"/>
                <w:color w:val="000000"/>
                <w:sz w:val="24"/>
                <w:szCs w:val="24"/>
              </w:rPr>
              <w:t>Criteria</w:t>
            </w:r>
          </w:p>
        </w:tc>
        <w:tc>
          <w:tcPr>
            <w:tcW w:w="3008" w:type="dxa"/>
            <w:shd w:val="clear" w:color="auto" w:fill="E7E6E6"/>
          </w:tcPr>
          <w:p w:rsidR="00317499" w:rsidRDefault="009844A5">
            <w:pPr>
              <w:widowControl/>
              <w:pBdr>
                <w:top w:val="nil"/>
                <w:left w:val="nil"/>
                <w:bottom w:val="nil"/>
                <w:right w:val="nil"/>
                <w:between w:val="nil"/>
              </w:pBdr>
              <w:tabs>
                <w:tab w:val="left" w:pos="851"/>
              </w:tabs>
              <w:spacing w:before="120" w:after="120"/>
              <w:jc w:val="both"/>
              <w:rPr>
                <w:rFonts w:ascii="Arial" w:eastAsia="Arial" w:hAnsi="Arial" w:cs="Arial"/>
                <w:color w:val="000000"/>
                <w:sz w:val="24"/>
                <w:szCs w:val="24"/>
              </w:rPr>
            </w:pPr>
            <w:r>
              <w:rPr>
                <w:rFonts w:ascii="Arial" w:eastAsia="Arial" w:hAnsi="Arial" w:cs="Arial"/>
                <w:color w:val="000000"/>
                <w:sz w:val="24"/>
                <w:szCs w:val="24"/>
              </w:rPr>
              <w:t>Percentage Weightings - to be set by the Customer  conducting the Further Competition Procedure</w:t>
            </w:r>
          </w:p>
        </w:tc>
        <w:tc>
          <w:tcPr>
            <w:tcW w:w="3008" w:type="dxa"/>
            <w:shd w:val="clear" w:color="auto" w:fill="E7E6E6"/>
          </w:tcPr>
          <w:p w:rsidR="00317499" w:rsidRDefault="009844A5">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Pr>
                <w:rFonts w:ascii="Arial" w:eastAsia="Arial" w:hAnsi="Arial" w:cs="Arial"/>
                <w:color w:val="000000"/>
                <w:sz w:val="24"/>
                <w:szCs w:val="24"/>
              </w:rPr>
              <w:t xml:space="preserve">Allowable Variance </w:t>
            </w:r>
          </w:p>
          <w:p w:rsidR="00317499" w:rsidRDefault="009844A5">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Pr>
                <w:rFonts w:ascii="Arial" w:eastAsia="Arial" w:hAnsi="Arial" w:cs="Arial"/>
                <w:color w:val="000000"/>
                <w:sz w:val="24"/>
                <w:szCs w:val="24"/>
              </w:rPr>
              <w:t xml:space="preserve">(This may be modified by the Customer within the range below) </w:t>
            </w:r>
          </w:p>
        </w:tc>
      </w:tr>
      <w:tr w:rsidR="00317499">
        <w:tc>
          <w:tcPr>
            <w:tcW w:w="3008" w:type="dxa"/>
          </w:tcPr>
          <w:p w:rsidR="00317499" w:rsidRDefault="009844A5">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Pr>
                <w:rFonts w:ascii="Arial" w:eastAsia="Arial" w:hAnsi="Arial" w:cs="Arial"/>
                <w:color w:val="000000"/>
                <w:sz w:val="24"/>
                <w:szCs w:val="24"/>
              </w:rPr>
              <w:t xml:space="preserve">Quality </w:t>
            </w:r>
          </w:p>
          <w:p w:rsidR="00317499" w:rsidRDefault="009844A5">
            <w:pPr>
              <w:widowControl/>
              <w:pBdr>
                <w:top w:val="nil"/>
                <w:left w:val="nil"/>
                <w:bottom w:val="nil"/>
                <w:right w:val="nil"/>
                <w:between w:val="nil"/>
              </w:pBdr>
              <w:tabs>
                <w:tab w:val="left" w:pos="592"/>
              </w:tabs>
              <w:ind w:left="592" w:hanging="309"/>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color w:val="000000"/>
                <w:sz w:val="24"/>
                <w:szCs w:val="24"/>
              </w:rPr>
              <w:tab/>
              <w:t>Added Value</w:t>
            </w:r>
          </w:p>
          <w:p w:rsidR="00317499" w:rsidRDefault="009844A5">
            <w:pPr>
              <w:widowControl/>
              <w:pBdr>
                <w:top w:val="nil"/>
                <w:left w:val="nil"/>
                <w:bottom w:val="nil"/>
                <w:right w:val="nil"/>
                <w:between w:val="nil"/>
              </w:pBdr>
              <w:tabs>
                <w:tab w:val="left" w:pos="592"/>
              </w:tabs>
              <w:ind w:left="592" w:hanging="309"/>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color w:val="000000"/>
                <w:sz w:val="24"/>
                <w:szCs w:val="24"/>
              </w:rPr>
              <w:tab/>
              <w:t>Innovation</w:t>
            </w:r>
          </w:p>
          <w:p w:rsidR="00317499" w:rsidRDefault="009844A5">
            <w:pPr>
              <w:widowControl/>
              <w:pBdr>
                <w:top w:val="nil"/>
                <w:left w:val="nil"/>
                <w:bottom w:val="nil"/>
                <w:right w:val="nil"/>
                <w:between w:val="nil"/>
              </w:pBdr>
              <w:tabs>
                <w:tab w:val="left" w:pos="592"/>
              </w:tabs>
              <w:ind w:left="592" w:hanging="309"/>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color w:val="000000"/>
                <w:sz w:val="24"/>
                <w:szCs w:val="24"/>
              </w:rPr>
              <w:tab/>
              <w:t>Approach To Delivery Of The Services</w:t>
            </w:r>
          </w:p>
          <w:p w:rsidR="00317499" w:rsidRDefault="009844A5">
            <w:pPr>
              <w:widowControl/>
              <w:pBdr>
                <w:top w:val="nil"/>
                <w:left w:val="nil"/>
                <w:bottom w:val="nil"/>
                <w:right w:val="nil"/>
                <w:between w:val="nil"/>
              </w:pBdr>
              <w:tabs>
                <w:tab w:val="left" w:pos="592"/>
              </w:tabs>
              <w:ind w:left="592" w:hanging="309"/>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color w:val="000000"/>
                <w:sz w:val="24"/>
                <w:szCs w:val="24"/>
              </w:rPr>
              <w:tab/>
              <w:t>Implementation</w:t>
            </w:r>
          </w:p>
          <w:p w:rsidR="00317499" w:rsidRDefault="009844A5">
            <w:pPr>
              <w:widowControl/>
              <w:pBdr>
                <w:top w:val="nil"/>
                <w:left w:val="nil"/>
                <w:bottom w:val="nil"/>
                <w:right w:val="nil"/>
                <w:between w:val="nil"/>
              </w:pBdr>
              <w:tabs>
                <w:tab w:val="left" w:pos="592"/>
              </w:tabs>
              <w:ind w:left="592" w:hanging="309"/>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color w:val="000000"/>
                <w:sz w:val="24"/>
                <w:szCs w:val="24"/>
              </w:rPr>
              <w:tab/>
              <w:t>Use Of Supply Chain / Partners</w:t>
            </w:r>
          </w:p>
          <w:p w:rsidR="00317499" w:rsidRDefault="00317499">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p>
        </w:tc>
        <w:tc>
          <w:tcPr>
            <w:tcW w:w="3008" w:type="dxa"/>
          </w:tcPr>
          <w:p w:rsidR="00317499" w:rsidRDefault="009844A5">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Pr>
                <w:rFonts w:ascii="Arial" w:eastAsia="Arial" w:hAnsi="Arial" w:cs="Arial"/>
                <w:color w:val="000000"/>
                <w:sz w:val="24"/>
                <w:szCs w:val="24"/>
              </w:rPr>
              <w:t>45%</w:t>
            </w:r>
          </w:p>
        </w:tc>
        <w:tc>
          <w:tcPr>
            <w:tcW w:w="3008" w:type="dxa"/>
          </w:tcPr>
          <w:p w:rsidR="00317499" w:rsidRDefault="009844A5">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Pr>
                <w:rFonts w:ascii="Arial" w:eastAsia="Arial" w:hAnsi="Arial" w:cs="Arial"/>
                <w:color w:val="000000"/>
                <w:sz w:val="24"/>
                <w:szCs w:val="24"/>
              </w:rPr>
              <w:t>10%-80%</w:t>
            </w:r>
          </w:p>
        </w:tc>
      </w:tr>
      <w:tr w:rsidR="00317499">
        <w:tc>
          <w:tcPr>
            <w:tcW w:w="3008" w:type="dxa"/>
          </w:tcPr>
          <w:p w:rsidR="00317499" w:rsidRDefault="009844A5">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bookmarkStart w:id="10" w:name="_heading=h.26in1rg" w:colFirst="0" w:colLast="0"/>
            <w:bookmarkEnd w:id="10"/>
            <w:r>
              <w:rPr>
                <w:rFonts w:ascii="Arial" w:eastAsia="Arial" w:hAnsi="Arial" w:cs="Arial"/>
                <w:color w:val="000000"/>
                <w:sz w:val="24"/>
                <w:szCs w:val="24"/>
              </w:rPr>
              <w:t>Price  (life cycle costs, cost effectiveness &amp; price; price and running costs)]</w:t>
            </w:r>
          </w:p>
        </w:tc>
        <w:tc>
          <w:tcPr>
            <w:tcW w:w="3008" w:type="dxa"/>
          </w:tcPr>
          <w:p w:rsidR="00317499" w:rsidRDefault="009844A5">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Pr>
                <w:rFonts w:ascii="Arial" w:eastAsia="Arial" w:hAnsi="Arial" w:cs="Arial"/>
                <w:color w:val="000000"/>
                <w:sz w:val="24"/>
                <w:szCs w:val="24"/>
              </w:rPr>
              <w:t>45%</w:t>
            </w:r>
          </w:p>
        </w:tc>
        <w:tc>
          <w:tcPr>
            <w:tcW w:w="3008" w:type="dxa"/>
          </w:tcPr>
          <w:p w:rsidR="00317499" w:rsidRDefault="009844A5">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Pr>
                <w:rFonts w:ascii="Arial" w:eastAsia="Arial" w:hAnsi="Arial" w:cs="Arial"/>
                <w:color w:val="000000"/>
                <w:sz w:val="24"/>
                <w:szCs w:val="24"/>
              </w:rPr>
              <w:t>10%-80%</w:t>
            </w:r>
          </w:p>
        </w:tc>
      </w:tr>
      <w:tr w:rsidR="00317499">
        <w:tc>
          <w:tcPr>
            <w:tcW w:w="3008" w:type="dxa"/>
          </w:tcPr>
          <w:p w:rsidR="00317499" w:rsidRDefault="009844A5">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Pr>
                <w:rFonts w:ascii="Arial" w:eastAsia="Arial" w:hAnsi="Arial" w:cs="Arial"/>
                <w:color w:val="000000"/>
                <w:sz w:val="24"/>
                <w:szCs w:val="24"/>
              </w:rPr>
              <w:t>Social Value</w:t>
            </w:r>
          </w:p>
        </w:tc>
        <w:tc>
          <w:tcPr>
            <w:tcW w:w="3008" w:type="dxa"/>
          </w:tcPr>
          <w:p w:rsidR="00317499" w:rsidRDefault="009844A5">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Pr>
                <w:rFonts w:ascii="Arial" w:eastAsia="Arial" w:hAnsi="Arial" w:cs="Arial"/>
                <w:color w:val="000000"/>
                <w:sz w:val="24"/>
                <w:szCs w:val="24"/>
              </w:rPr>
              <w:t>10%</w:t>
            </w:r>
          </w:p>
        </w:tc>
        <w:tc>
          <w:tcPr>
            <w:tcW w:w="3008" w:type="dxa"/>
          </w:tcPr>
          <w:p w:rsidR="00317499" w:rsidRDefault="009844A5">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Pr>
                <w:rFonts w:ascii="Arial" w:eastAsia="Arial" w:hAnsi="Arial" w:cs="Arial"/>
                <w:sz w:val="24"/>
                <w:szCs w:val="24"/>
              </w:rPr>
              <w:t>10% Minimum</w:t>
            </w:r>
          </w:p>
        </w:tc>
      </w:tr>
    </w:tbl>
    <w:p w:rsidR="00317499" w:rsidRDefault="00317499">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p>
    <w:p w:rsidR="00317499" w:rsidRDefault="009844A5">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Pr>
          <w:rFonts w:ascii="Arial" w:eastAsia="Arial" w:hAnsi="Arial" w:cs="Arial"/>
          <w:color w:val="000000"/>
          <w:sz w:val="24"/>
          <w:szCs w:val="24"/>
        </w:rPr>
        <w:t>The total weighting must equal 100% with Social Value composing a minimum of 10% in keeping with PPN 06/20 and guidance document 12/20 may have their own social value priorities which they will make clear to the suppliers involved in that competition. To test the tenderers’ social value during the call-off stage, buyers must adhere to the standard evaluation procedure,including the award criteria and sub-criteria, described in the framework agreement terms, conditions and instructions.</w:t>
      </w:r>
    </w:p>
    <w:p w:rsidR="00317499" w:rsidRDefault="00317499">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p>
    <w:p w:rsidR="00317499" w:rsidRDefault="00317499">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sectPr w:rsidR="0031749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1"/>
          <w:cols w:space="720"/>
        </w:sectPr>
      </w:pPr>
    </w:p>
    <w:p w:rsidR="00317499" w:rsidRDefault="00317499">
      <w:pPr>
        <w:widowControl/>
        <w:pBdr>
          <w:top w:val="nil"/>
          <w:left w:val="nil"/>
          <w:bottom w:val="nil"/>
          <w:right w:val="nil"/>
          <w:between w:val="nil"/>
        </w:pBdr>
        <w:jc w:val="both"/>
        <w:rPr>
          <w:rFonts w:ascii="Arial" w:eastAsia="Arial" w:hAnsi="Arial" w:cs="Arial"/>
          <w:color w:val="FFFFFF"/>
          <w:sz w:val="24"/>
          <w:szCs w:val="24"/>
        </w:rPr>
      </w:pPr>
    </w:p>
    <w:sectPr w:rsidR="00317499">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22F" w:rsidRDefault="0033122F">
      <w:r>
        <w:separator/>
      </w:r>
    </w:p>
  </w:endnote>
  <w:endnote w:type="continuationSeparator" w:id="0">
    <w:p w:rsidR="0033122F" w:rsidRDefault="00331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499" w:rsidRDefault="00317499">
    <w:pPr>
      <w:widowControl/>
      <w:pBdr>
        <w:top w:val="nil"/>
        <w:left w:val="nil"/>
        <w:bottom w:val="nil"/>
        <w:right w:val="nil"/>
        <w:between w:val="nil"/>
      </w:pBdr>
      <w:tabs>
        <w:tab w:val="center" w:pos="4513"/>
        <w:tab w:val="right" w:pos="9026"/>
      </w:tabs>
      <w:jc w:val="both"/>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499" w:rsidRDefault="009844A5">
    <w:pPr>
      <w:tabs>
        <w:tab w:val="center" w:pos="4513"/>
        <w:tab w:val="right" w:pos="9026"/>
      </w:tabs>
      <w:rPr>
        <w:rFonts w:ascii="Arial" w:eastAsia="Arial" w:hAnsi="Arial" w:cs="Arial"/>
        <w:sz w:val="20"/>
        <w:szCs w:val="20"/>
      </w:rPr>
    </w:pPr>
    <w:r>
      <w:rPr>
        <w:rFonts w:ascii="Arial" w:eastAsia="Arial" w:hAnsi="Arial" w:cs="Arial"/>
        <w:sz w:val="20"/>
        <w:szCs w:val="20"/>
      </w:rPr>
      <w:t>Framework Ref: RM6342</w:t>
    </w:r>
    <w:r>
      <w:rPr>
        <w:rFonts w:ascii="Arial" w:eastAsia="Arial" w:hAnsi="Arial" w:cs="Arial"/>
        <w:sz w:val="20"/>
        <w:szCs w:val="20"/>
      </w:rPr>
      <w:tab/>
      <w:t xml:space="preserve">                                           </w:t>
    </w:r>
  </w:p>
  <w:p w:rsidR="00317499" w:rsidRDefault="009844A5">
    <w:pPr>
      <w:widowControl/>
      <w:pBdr>
        <w:top w:val="nil"/>
        <w:left w:val="nil"/>
        <w:bottom w:val="nil"/>
        <w:right w:val="nil"/>
        <w:between w:val="nil"/>
      </w:pBdr>
      <w:tabs>
        <w:tab w:val="center" w:pos="4513"/>
        <w:tab w:val="right" w:pos="9026"/>
      </w:tabs>
      <w:rPr>
        <w:rFonts w:ascii="Arial" w:eastAsia="Arial" w:hAnsi="Arial" w:cs="Arial"/>
        <w:color w:val="000000"/>
        <w:sz w:val="20"/>
        <w:szCs w:val="20"/>
      </w:rPr>
    </w:pPr>
    <w:r>
      <w:rPr>
        <w:rFonts w:ascii="Arial" w:eastAsia="Arial" w:hAnsi="Arial" w:cs="Arial"/>
        <w:color w:val="000000"/>
        <w:sz w:val="20"/>
        <w:szCs w:val="20"/>
      </w:rPr>
      <w:t>Project Version: v</w:t>
    </w:r>
    <w:r w:rsidR="00B47935">
      <w:rPr>
        <w:rFonts w:ascii="Arial" w:eastAsia="Arial" w:hAnsi="Arial" w:cs="Arial"/>
        <w:color w:val="000000"/>
        <w:sz w:val="20"/>
        <w:szCs w:val="20"/>
      </w:rPr>
      <w:t>3</w:t>
    </w:r>
    <w:r>
      <w:rPr>
        <w:rFonts w:ascii="Arial" w:eastAsia="Arial" w:hAnsi="Arial" w:cs="Arial"/>
        <w:color w:val="000000"/>
        <w:sz w:val="20"/>
        <w:szCs w:val="20"/>
      </w:rPr>
      <w:t>.0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B47935">
      <w:rPr>
        <w:rFonts w:ascii="Arial" w:eastAsia="Arial" w:hAnsi="Arial" w:cs="Arial"/>
        <w:noProof/>
        <w:color w:val="000000"/>
        <w:sz w:val="20"/>
        <w:szCs w:val="20"/>
      </w:rPr>
      <w:t>7</w:t>
    </w:r>
    <w:r>
      <w:rPr>
        <w:rFonts w:ascii="Arial" w:eastAsia="Arial" w:hAnsi="Arial" w:cs="Arial"/>
        <w:color w:val="000000"/>
        <w:sz w:val="20"/>
        <w:szCs w:val="20"/>
      </w:rPr>
      <w:fldChar w:fldCharType="end"/>
    </w:r>
  </w:p>
  <w:p w:rsidR="00317499" w:rsidRDefault="009844A5">
    <w:pPr>
      <w:tabs>
        <w:tab w:val="left" w:pos="720"/>
        <w:tab w:val="left" w:pos="1440"/>
        <w:tab w:val="left" w:pos="2160"/>
        <w:tab w:val="left" w:pos="2880"/>
        <w:tab w:val="left" w:pos="3600"/>
        <w:tab w:val="center" w:pos="4513"/>
      </w:tabs>
      <w:rPr>
        <w:rFonts w:ascii="Arial" w:eastAsia="Arial" w:hAnsi="Arial" w:cs="Arial"/>
        <w:sz w:val="20"/>
        <w:szCs w:val="20"/>
      </w:rPr>
    </w:pPr>
    <w:bookmarkStart w:id="11" w:name="_heading=h.gjdgxs" w:colFirst="0" w:colLast="0"/>
    <w:bookmarkEnd w:id="11"/>
    <w:r>
      <w:rPr>
        <w:rFonts w:ascii="Arial" w:eastAsia="Arial" w:hAnsi="Arial" w:cs="Arial"/>
        <w:sz w:val="20"/>
        <w:szCs w:val="20"/>
      </w:rPr>
      <w:t>Model Version : v3.3</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499" w:rsidRDefault="00317499">
    <w:pPr>
      <w:widowControl/>
      <w:pBdr>
        <w:top w:val="nil"/>
        <w:left w:val="nil"/>
        <w:bottom w:val="nil"/>
        <w:right w:val="nil"/>
        <w:between w:val="nil"/>
      </w:pBdr>
      <w:tabs>
        <w:tab w:val="center" w:pos="4513"/>
        <w:tab w:val="right" w:pos="9026"/>
      </w:tabs>
      <w:jc w:val="both"/>
      <w:rPr>
        <w:color w:val="000000"/>
      </w:rPr>
    </w:pPr>
  </w:p>
  <w:p w:rsidR="00317499" w:rsidRDefault="009844A5">
    <w:pPr>
      <w:tabs>
        <w:tab w:val="center" w:pos="4513"/>
        <w:tab w:val="right" w:pos="9026"/>
      </w:tabs>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r>
  </w:p>
  <w:p w:rsidR="00317499" w:rsidRDefault="009844A5">
    <w:pPr>
      <w:tabs>
        <w:tab w:val="center" w:pos="4513"/>
        <w:tab w:val="right" w:pos="9026"/>
      </w:tabs>
      <w:rPr>
        <w:rFonts w:ascii="Arial" w:eastAsia="Arial" w:hAnsi="Arial" w:cs="Arial"/>
        <w:sz w:val="20"/>
        <w:szCs w:val="20"/>
      </w:rPr>
    </w:pPr>
    <w:r>
      <w:rPr>
        <w:rFonts w:ascii="Arial" w:eastAsia="Arial" w:hAnsi="Arial" w:cs="Arial"/>
        <w:sz w:val="20"/>
        <w:szCs w:val="20"/>
      </w:rPr>
      <w:t>Project Version: 1.0</w:t>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end"/>
    </w:r>
  </w:p>
  <w:p w:rsidR="00317499" w:rsidRDefault="009844A5">
    <w:pPr>
      <w:tabs>
        <w:tab w:val="left" w:pos="720"/>
        <w:tab w:val="left" w:pos="1440"/>
        <w:tab w:val="left" w:pos="2160"/>
        <w:tab w:val="left" w:pos="2880"/>
        <w:tab w:val="left" w:pos="3600"/>
        <w:tab w:val="center" w:pos="4513"/>
      </w:tabs>
      <w:rPr>
        <w:rFonts w:ascii="Arial" w:eastAsia="Arial" w:hAnsi="Arial" w:cs="Arial"/>
        <w:sz w:val="20"/>
        <w:szCs w:val="20"/>
      </w:rPr>
    </w:pPr>
    <w:r>
      <w:rPr>
        <w:rFonts w:ascii="Arial" w:eastAsia="Arial" w:hAnsi="Arial" w:cs="Arial"/>
        <w:sz w:val="20"/>
        <w:szCs w:val="20"/>
      </w:rPr>
      <w:t>Model Version :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22F" w:rsidRDefault="0033122F">
      <w:r>
        <w:separator/>
      </w:r>
    </w:p>
  </w:footnote>
  <w:footnote w:type="continuationSeparator" w:id="0">
    <w:p w:rsidR="0033122F" w:rsidRDefault="00331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499" w:rsidRDefault="00317499">
    <w:pPr>
      <w:widowControl/>
      <w:pBdr>
        <w:top w:val="nil"/>
        <w:left w:val="nil"/>
        <w:bottom w:val="nil"/>
        <w:right w:val="nil"/>
        <w:between w:val="nil"/>
      </w:pBdr>
      <w:tabs>
        <w:tab w:val="center" w:pos="4513"/>
        <w:tab w:val="right" w:pos="9026"/>
      </w:tabs>
      <w:jc w:val="both"/>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499" w:rsidRDefault="009844A5">
    <w:pPr>
      <w:widowControl/>
      <w:pBdr>
        <w:top w:val="nil"/>
        <w:left w:val="nil"/>
        <w:bottom w:val="nil"/>
        <w:right w:val="nil"/>
        <w:between w:val="nil"/>
      </w:pBdr>
      <w:tabs>
        <w:tab w:val="center" w:pos="4513"/>
        <w:tab w:val="right" w:pos="9026"/>
      </w:tabs>
      <w:jc w:val="both"/>
      <w:rPr>
        <w:rFonts w:ascii="Arial" w:eastAsia="Arial" w:hAnsi="Arial" w:cs="Arial"/>
        <w:b/>
        <w:color w:val="000000"/>
        <w:sz w:val="20"/>
        <w:szCs w:val="20"/>
      </w:rPr>
    </w:pPr>
    <w:r>
      <w:rPr>
        <w:rFonts w:ascii="Arial" w:eastAsia="Arial" w:hAnsi="Arial" w:cs="Arial"/>
        <w:b/>
        <w:color w:val="000000"/>
        <w:sz w:val="20"/>
        <w:szCs w:val="20"/>
      </w:rPr>
      <w:t>Framework Schedule 7 (Call-Off Award Procedure)</w:t>
    </w:r>
  </w:p>
  <w:p w:rsidR="00317499" w:rsidRDefault="009844A5">
    <w:pPr>
      <w:widowControl/>
      <w:pBdr>
        <w:top w:val="nil"/>
        <w:left w:val="nil"/>
        <w:bottom w:val="nil"/>
        <w:right w:val="nil"/>
        <w:between w:val="nil"/>
      </w:pBdr>
      <w:tabs>
        <w:tab w:val="center" w:pos="4513"/>
        <w:tab w:val="right" w:pos="9026"/>
      </w:tabs>
      <w:jc w:val="both"/>
      <w:rPr>
        <w:rFonts w:ascii="Arial" w:eastAsia="Arial" w:hAnsi="Arial" w:cs="Arial"/>
        <w:color w:val="000000"/>
        <w:sz w:val="20"/>
        <w:szCs w:val="20"/>
      </w:rPr>
    </w:pPr>
    <w:r>
      <w:rPr>
        <w:rFonts w:ascii="Arial" w:eastAsia="Arial" w:hAnsi="Arial" w:cs="Arial"/>
        <w:color w:val="000000"/>
        <w:sz w:val="20"/>
        <w:szCs w:val="20"/>
      </w:rPr>
      <w:t>Crown Copyright 20</w:t>
    </w:r>
    <w:r>
      <w:rPr>
        <w:rFonts w:ascii="Arial" w:eastAsia="Arial" w:hAnsi="Arial" w:cs="Arial"/>
        <w:sz w:val="20"/>
        <w:szCs w:val="20"/>
      </w:rPr>
      <w:t>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499" w:rsidRDefault="009844A5">
    <w:pPr>
      <w:widowControl/>
      <w:pBdr>
        <w:top w:val="nil"/>
        <w:left w:val="nil"/>
        <w:bottom w:val="nil"/>
        <w:right w:val="nil"/>
        <w:between w:val="nil"/>
      </w:pBdr>
      <w:tabs>
        <w:tab w:val="center" w:pos="4513"/>
        <w:tab w:val="right" w:pos="9026"/>
      </w:tabs>
      <w:jc w:val="both"/>
      <w:rPr>
        <w:rFonts w:ascii="Arial" w:eastAsia="Arial" w:hAnsi="Arial" w:cs="Arial"/>
        <w:b/>
        <w:color w:val="BFBFBF"/>
        <w:sz w:val="20"/>
        <w:szCs w:val="20"/>
      </w:rPr>
    </w:pPr>
    <w:r>
      <w:rPr>
        <w:rFonts w:ascii="Arial" w:eastAsia="Arial" w:hAnsi="Arial" w:cs="Arial"/>
        <w:b/>
        <w:color w:val="BFBFBF"/>
        <w:sz w:val="20"/>
        <w:szCs w:val="20"/>
      </w:rPr>
      <w:t>Framework Schedule 7 (Call-Off Award Procedure)</w:t>
    </w:r>
  </w:p>
  <w:p w:rsidR="00317499" w:rsidRDefault="009844A5">
    <w:pPr>
      <w:widowControl/>
      <w:pBdr>
        <w:top w:val="nil"/>
        <w:left w:val="nil"/>
        <w:bottom w:val="nil"/>
        <w:right w:val="nil"/>
        <w:between w:val="nil"/>
      </w:pBdr>
      <w:tabs>
        <w:tab w:val="center" w:pos="4513"/>
        <w:tab w:val="right" w:pos="9026"/>
      </w:tabs>
      <w:jc w:val="both"/>
      <w:rPr>
        <w:rFonts w:ascii="Arial" w:eastAsia="Arial" w:hAnsi="Arial" w:cs="Arial"/>
        <w:color w:val="BFBFBF"/>
        <w:sz w:val="20"/>
        <w:szCs w:val="20"/>
      </w:rPr>
    </w:pPr>
    <w:r>
      <w:rPr>
        <w:rFonts w:ascii="Arial" w:eastAsia="Arial" w:hAnsi="Arial" w:cs="Arial"/>
        <w:color w:val="BFBFBF"/>
        <w:sz w:val="20"/>
        <w:szCs w:val="20"/>
      </w:rPr>
      <w:t>Crown Copyright 2018</w:t>
    </w:r>
  </w:p>
  <w:p w:rsidR="00317499" w:rsidRDefault="00317499">
    <w:pPr>
      <w:widowControl/>
      <w:pBdr>
        <w:top w:val="nil"/>
        <w:left w:val="nil"/>
        <w:bottom w:val="nil"/>
        <w:right w:val="nil"/>
        <w:between w:val="nil"/>
      </w:pBdr>
      <w:tabs>
        <w:tab w:val="center" w:pos="4513"/>
        <w:tab w:val="right" w:pos="9026"/>
      </w:tabs>
      <w:jc w:val="both"/>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ADE"/>
    <w:multiLevelType w:val="multilevel"/>
    <w:tmpl w:val="470277C0"/>
    <w:lvl w:ilvl="0">
      <w:start w:val="1"/>
      <w:numFmt w:val="decimal"/>
      <w:lvlText w:val="%1."/>
      <w:lvlJc w:val="left"/>
      <w:pPr>
        <w:ind w:left="1080" w:hanging="360"/>
      </w:pPr>
      <w:rPr>
        <w:b w:val="0"/>
        <w:i w:val="0"/>
        <w:smallCaps w:val="0"/>
        <w:strike w:val="0"/>
        <w:color w:val="00000A"/>
        <w:sz w:val="24"/>
        <w:szCs w:val="24"/>
        <w:u w:val="none"/>
        <w:vertAlign w:val="baseline"/>
      </w:rPr>
    </w:lvl>
    <w:lvl w:ilvl="1">
      <w:start w:val="1"/>
      <w:numFmt w:val="decimal"/>
      <w:lvlText w:val="%1.%2"/>
      <w:lvlJc w:val="left"/>
      <w:pPr>
        <w:ind w:left="1800" w:hanging="360"/>
      </w:pPr>
      <w:rPr>
        <w:b w:val="0"/>
        <w:i w:val="0"/>
        <w:smallCaps w:val="0"/>
        <w:strike w:val="0"/>
        <w:color w:val="00000A"/>
        <w:sz w:val="22"/>
        <w:szCs w:val="22"/>
        <w:u w:val="none"/>
        <w:vertAlign w:val="baseline"/>
      </w:rPr>
    </w:lvl>
    <w:lvl w:ilvl="2">
      <w:start w:val="1"/>
      <w:numFmt w:val="decimal"/>
      <w:lvlText w:val="%1.%2.%3"/>
      <w:lvlJc w:val="left"/>
      <w:pPr>
        <w:ind w:left="3330" w:hanging="720"/>
      </w:pPr>
      <w:rPr>
        <w:b w:val="0"/>
        <w:i w:val="0"/>
        <w:smallCaps w:val="0"/>
        <w:strike w:val="0"/>
        <w:color w:val="00000A"/>
        <w:sz w:val="22"/>
        <w:szCs w:val="22"/>
        <w:u w:val="none"/>
        <w:vertAlign w:val="baseline"/>
      </w:rPr>
    </w:lvl>
    <w:lvl w:ilvl="3">
      <w:start w:val="1"/>
      <w:numFmt w:val="lowerLetter"/>
      <w:lvlText w:val="(%4)"/>
      <w:lvlJc w:val="left"/>
      <w:pPr>
        <w:ind w:left="3567" w:hanging="720"/>
      </w:pPr>
      <w:rPr>
        <w:b w:val="0"/>
        <w:i w:val="0"/>
        <w:smallCaps w:val="0"/>
        <w:strike w:val="0"/>
        <w:color w:val="00000A"/>
        <w:sz w:val="22"/>
        <w:szCs w:val="22"/>
        <w:u w:val="none"/>
        <w:vertAlign w:val="baseline"/>
      </w:rPr>
    </w:lvl>
    <w:lvl w:ilvl="4">
      <w:start w:val="1"/>
      <w:numFmt w:val="lowerRoman"/>
      <w:lvlText w:val="(%5)"/>
      <w:lvlJc w:val="left"/>
      <w:pPr>
        <w:ind w:left="2160" w:hanging="1080"/>
      </w:pPr>
      <w:rPr>
        <w:b w:val="0"/>
        <w:i w:val="0"/>
        <w:smallCaps w:val="0"/>
        <w:strike w:val="0"/>
        <w:color w:val="000000"/>
        <w:u w:val="none"/>
        <w:vertAlign w:val="baseline"/>
      </w:rPr>
    </w:lvl>
    <w:lvl w:ilvl="5">
      <w:start w:val="1"/>
      <w:numFmt w:val="upperLetter"/>
      <w:lvlText w:val="(%6)"/>
      <w:lvlJc w:val="left"/>
      <w:pPr>
        <w:ind w:left="2160" w:hanging="1080"/>
      </w:pPr>
      <w:rPr>
        <w:b w:val="0"/>
        <w:i w:val="0"/>
        <w:smallCaps w:val="0"/>
        <w:strike w:val="0"/>
        <w:color w:val="000000"/>
        <w:u w:val="none"/>
        <w:vertAlign w:val="baseline"/>
      </w:r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1" w15:restartNumberingAfterBreak="0">
    <w:nsid w:val="4D6726E4"/>
    <w:multiLevelType w:val="multilevel"/>
    <w:tmpl w:val="4EE4D626"/>
    <w:lvl w:ilvl="0">
      <w:start w:val="1"/>
      <w:numFmt w:val="decimal"/>
      <w:lvlText w:val="%1."/>
      <w:lvlJc w:val="left"/>
      <w:pPr>
        <w:ind w:left="360" w:hanging="360"/>
      </w:pPr>
      <w:rPr>
        <w:b/>
        <w:i w:val="0"/>
        <w:smallCaps w:val="0"/>
        <w:strike w:val="0"/>
        <w:color w:val="00000A"/>
        <w:sz w:val="24"/>
        <w:szCs w:val="24"/>
        <w:u w:val="none"/>
        <w:vertAlign w:val="baseline"/>
      </w:rPr>
    </w:lvl>
    <w:lvl w:ilvl="1">
      <w:start w:val="1"/>
      <w:numFmt w:val="decimal"/>
      <w:lvlText w:val="%1.%2"/>
      <w:lvlJc w:val="left"/>
      <w:pPr>
        <w:ind w:left="1080" w:hanging="360"/>
      </w:pPr>
      <w:rPr>
        <w:b w:val="0"/>
        <w:i w:val="0"/>
        <w:smallCaps w:val="0"/>
        <w:strike w:val="0"/>
        <w:color w:val="00000A"/>
        <w:sz w:val="24"/>
        <w:szCs w:val="24"/>
        <w:u w:val="none"/>
        <w:vertAlign w:val="baseline"/>
      </w:rPr>
    </w:lvl>
    <w:lvl w:ilvl="2">
      <w:start w:val="1"/>
      <w:numFmt w:val="decimal"/>
      <w:lvlText w:val="%1.%2.%3"/>
      <w:lvlJc w:val="left"/>
      <w:pPr>
        <w:ind w:left="2610" w:hanging="720"/>
      </w:pPr>
      <w:rPr>
        <w:b w:val="0"/>
        <w:i w:val="0"/>
        <w:smallCaps w:val="0"/>
        <w:strike w:val="0"/>
        <w:color w:val="00000A"/>
        <w:sz w:val="24"/>
        <w:szCs w:val="24"/>
        <w:u w:val="none"/>
        <w:vertAlign w:val="baseline"/>
      </w:rPr>
    </w:lvl>
    <w:lvl w:ilvl="3">
      <w:start w:val="1"/>
      <w:numFmt w:val="lowerLetter"/>
      <w:lvlText w:val="(%4)"/>
      <w:lvlJc w:val="left"/>
      <w:pPr>
        <w:ind w:left="2847" w:hanging="720"/>
      </w:pPr>
      <w:rPr>
        <w:b w:val="0"/>
        <w:i w:val="0"/>
        <w:smallCaps w:val="0"/>
        <w:strike w:val="0"/>
        <w:color w:val="00000A"/>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7A4457EF"/>
    <w:multiLevelType w:val="multilevel"/>
    <w:tmpl w:val="56E4C4CA"/>
    <w:lvl w:ilvl="0">
      <w:start w:val="1"/>
      <w:numFmt w:val="decimal"/>
      <w:lvlText w:val="%1."/>
      <w:lvlJc w:val="left"/>
      <w:pPr>
        <w:ind w:left="360" w:hanging="360"/>
      </w:pPr>
      <w:rPr>
        <w:b/>
        <w:i w:val="0"/>
        <w:smallCaps w:val="0"/>
        <w:strike w:val="0"/>
        <w:color w:val="00000A"/>
        <w:sz w:val="24"/>
        <w:szCs w:val="24"/>
        <w:u w:val="none"/>
        <w:vertAlign w:val="baseline"/>
      </w:rPr>
    </w:lvl>
    <w:lvl w:ilvl="1">
      <w:start w:val="1"/>
      <w:numFmt w:val="decimal"/>
      <w:lvlText w:val="%1.%2"/>
      <w:lvlJc w:val="left"/>
      <w:pPr>
        <w:ind w:left="1080" w:hanging="360"/>
      </w:pPr>
      <w:rPr>
        <w:b w:val="0"/>
        <w:i w:val="0"/>
        <w:smallCaps w:val="0"/>
        <w:strike w:val="0"/>
        <w:color w:val="00000A"/>
        <w:sz w:val="22"/>
        <w:szCs w:val="22"/>
        <w:u w:val="none"/>
        <w:vertAlign w:val="baseline"/>
      </w:rPr>
    </w:lvl>
    <w:lvl w:ilvl="2">
      <w:start w:val="1"/>
      <w:numFmt w:val="decimal"/>
      <w:lvlText w:val="%1.%2.%3"/>
      <w:lvlJc w:val="left"/>
      <w:pPr>
        <w:ind w:left="2610" w:hanging="720"/>
      </w:pPr>
      <w:rPr>
        <w:b w:val="0"/>
        <w:i w:val="0"/>
        <w:smallCaps w:val="0"/>
        <w:strike w:val="0"/>
        <w:color w:val="00000A"/>
        <w:sz w:val="22"/>
        <w:szCs w:val="22"/>
        <w:u w:val="none"/>
        <w:vertAlign w:val="baseline"/>
      </w:rPr>
    </w:lvl>
    <w:lvl w:ilvl="3">
      <w:start w:val="1"/>
      <w:numFmt w:val="lowerLetter"/>
      <w:lvlText w:val="(%4)"/>
      <w:lvlJc w:val="left"/>
      <w:pPr>
        <w:ind w:left="2847" w:hanging="720"/>
      </w:pPr>
      <w:rPr>
        <w:b w:val="0"/>
        <w:i w:val="0"/>
        <w:smallCaps w:val="0"/>
        <w:strike w:val="0"/>
        <w:color w:val="00000A"/>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7DD47CE2"/>
    <w:multiLevelType w:val="multilevel"/>
    <w:tmpl w:val="834C78AE"/>
    <w:lvl w:ilvl="0">
      <w:start w:val="1"/>
      <w:numFmt w:val="decimal"/>
      <w:pStyle w:val="FAMainHeading"/>
      <w:lvlText w:val="%1."/>
      <w:lvlJc w:val="left"/>
      <w:pPr>
        <w:tabs>
          <w:tab w:val="num" w:pos="720"/>
        </w:tabs>
        <w:ind w:left="720" w:hanging="720"/>
      </w:pPr>
    </w:lvl>
    <w:lvl w:ilvl="1">
      <w:start w:val="1"/>
      <w:numFmt w:val="decimal"/>
      <w:pStyle w:val="FALevel1"/>
      <w:lvlText w:val="%2."/>
      <w:lvlJc w:val="left"/>
      <w:pPr>
        <w:tabs>
          <w:tab w:val="num" w:pos="1440"/>
        </w:tabs>
        <w:ind w:left="1440" w:hanging="720"/>
      </w:pPr>
    </w:lvl>
    <w:lvl w:ilvl="2">
      <w:start w:val="1"/>
      <w:numFmt w:val="decimal"/>
      <w:pStyle w:val="FALevel2"/>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499"/>
    <w:rsid w:val="002F3307"/>
    <w:rsid w:val="00317499"/>
    <w:rsid w:val="0033122F"/>
    <w:rsid w:val="00624C35"/>
    <w:rsid w:val="00736D10"/>
    <w:rsid w:val="007F0B3D"/>
    <w:rsid w:val="00871A55"/>
    <w:rsid w:val="009844A5"/>
    <w:rsid w:val="009E3D04"/>
    <w:rsid w:val="00AC5D1D"/>
    <w:rsid w:val="00B47935"/>
    <w:rsid w:val="00C06793"/>
    <w:rsid w:val="00C64E3B"/>
    <w:rsid w:val="00C824AB"/>
    <w:rsid w:val="00D225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90B50"/>
  <w15:docId w15:val="{440B8E73-E4AA-43D8-8432-A68AB024C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484"/>
  </w:style>
  <w:style w:type="paragraph" w:styleId="Heading1">
    <w:name w:val="heading 1"/>
    <w:basedOn w:val="Normal"/>
    <w:next w:val="Normal"/>
    <w:link w:val="Heading1Char"/>
    <w:uiPriority w:val="9"/>
    <w:qFormat/>
    <w:rsid w:val="00532FD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Standard">
    <w:name w:val="Standard"/>
    <w:pPr>
      <w:widowControl/>
      <w:spacing w:after="240"/>
      <w:jc w:val="both"/>
    </w:pPr>
    <w:rPr>
      <w:rFonts w:eastAsia="Times New Roman" w:cs="Arial"/>
    </w:rPr>
  </w:style>
  <w:style w:type="paragraph" w:customStyle="1" w:styleId="Heading">
    <w:name w:val="Heading"/>
    <w:basedOn w:val="Standard"/>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Standard"/>
    <w:pPr>
      <w:spacing w:after="140" w:line="288"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Header">
    <w:name w:val="header"/>
    <w:basedOn w:val="Standard"/>
    <w:pPr>
      <w:tabs>
        <w:tab w:val="center" w:pos="4513"/>
        <w:tab w:val="right" w:pos="9026"/>
      </w:tabs>
      <w:spacing w:after="0"/>
    </w:pPr>
  </w:style>
  <w:style w:type="paragraph" w:styleId="Footer">
    <w:name w:val="footer"/>
    <w:basedOn w:val="Standard"/>
    <w:uiPriority w:val="99"/>
    <w:pPr>
      <w:tabs>
        <w:tab w:val="center" w:pos="4513"/>
        <w:tab w:val="right" w:pos="9026"/>
      </w:tabs>
      <w:spacing w:after="0"/>
    </w:pPr>
  </w:style>
  <w:style w:type="paragraph" w:customStyle="1" w:styleId="MarginText">
    <w:name w:val="Margin Text"/>
    <w:basedOn w:val="Standard"/>
    <w:pPr>
      <w:keepNext/>
      <w:overflowPunct w:val="0"/>
      <w:spacing w:before="240" w:after="120"/>
      <w:ind w:left="142"/>
    </w:pPr>
    <w:rPr>
      <w:rFonts w:eastAsia="STZhongsong" w:cs="Times New Roman"/>
      <w:szCs w:val="18"/>
      <w:lang w:eastAsia="zh-CN"/>
    </w:rPr>
  </w:style>
  <w:style w:type="paragraph" w:customStyle="1" w:styleId="GPSL1CLAUSEHEADING">
    <w:name w:val="GPS L1 CLAUSE HEADING"/>
    <w:basedOn w:val="Standard"/>
    <w:next w:val="Standard"/>
    <w:pPr>
      <w:tabs>
        <w:tab w:val="left" w:pos="142"/>
      </w:tabs>
      <w:overflowPunct w:val="0"/>
      <w:spacing w:before="120"/>
      <w:outlineLvl w:val="1"/>
    </w:pPr>
    <w:rPr>
      <w:rFonts w:eastAsia="STZhongsong"/>
      <w:b/>
      <w:caps/>
      <w:lang w:eastAsia="zh-CN"/>
    </w:rPr>
  </w:style>
  <w:style w:type="paragraph" w:customStyle="1" w:styleId="GPSL3numberedclause">
    <w:name w:val="GPS L3 numbered clause"/>
    <w:basedOn w:val="Standard"/>
    <w:pPr>
      <w:tabs>
        <w:tab w:val="left" w:pos="3641"/>
      </w:tabs>
      <w:overflowPunct w:val="0"/>
      <w:spacing w:before="120" w:after="120"/>
      <w:ind w:left="1656"/>
    </w:pPr>
    <w:rPr>
      <w:lang w:eastAsia="zh-CN"/>
    </w:rPr>
  </w:style>
  <w:style w:type="paragraph" w:customStyle="1" w:styleId="GPSL4numberedclause">
    <w:name w:val="GPS L4 numbered clause"/>
    <w:basedOn w:val="GPSL3numberedclause"/>
    <w:pPr>
      <w:tabs>
        <w:tab w:val="clear" w:pos="3641"/>
      </w:tabs>
      <w:ind w:left="2592" w:hanging="936"/>
    </w:pPr>
  </w:style>
  <w:style w:type="paragraph" w:customStyle="1" w:styleId="GPSL5numberedclause">
    <w:name w:val="GPS L5 numbered clause"/>
    <w:basedOn w:val="GPSL4numberedclause"/>
    <w:pPr>
      <w:tabs>
        <w:tab w:val="left" w:pos="6238"/>
      </w:tabs>
      <w:ind w:left="3119" w:hanging="567"/>
    </w:pPr>
  </w:style>
  <w:style w:type="paragraph" w:customStyle="1" w:styleId="GPSL2NumberedBoldHeading">
    <w:name w:val="GPS L2 Numbered Bold Heading"/>
    <w:basedOn w:val="Standard"/>
    <w:pPr>
      <w:tabs>
        <w:tab w:val="left" w:pos="3054"/>
      </w:tabs>
      <w:overflowPunct w:val="0"/>
      <w:spacing w:before="120" w:after="120"/>
      <w:ind w:left="1920"/>
    </w:pPr>
    <w:rPr>
      <w:b/>
      <w:lang w:eastAsia="zh-CN"/>
    </w:rPr>
  </w:style>
  <w:style w:type="paragraph" w:customStyle="1" w:styleId="GPSL6numbered">
    <w:name w:val="GPS L6 numbered"/>
    <w:basedOn w:val="GPSL5numberedclause"/>
    <w:pPr>
      <w:tabs>
        <w:tab w:val="clear" w:pos="6238"/>
        <w:tab w:val="left" w:pos="4046"/>
        <w:tab w:val="left" w:pos="7372"/>
      </w:tabs>
      <w:ind w:left="3686"/>
    </w:pPr>
  </w:style>
  <w:style w:type="paragraph" w:customStyle="1" w:styleId="GPSL1Guidance">
    <w:name w:val="GPS L1 Guidance"/>
    <w:basedOn w:val="Standard"/>
    <w:pPr>
      <w:spacing w:before="240" w:after="120"/>
      <w:ind w:left="426"/>
    </w:pPr>
    <w:rPr>
      <w:b/>
      <w:i/>
    </w:rPr>
  </w:style>
  <w:style w:type="paragraph" w:customStyle="1" w:styleId="GPSL1SCHEDULEHeading">
    <w:name w:val="GPS L1 SCHEDULE Heading"/>
    <w:basedOn w:val="GPSL1CLAUSEHEADING"/>
    <w:pPr>
      <w:tabs>
        <w:tab w:val="clear" w:pos="142"/>
      </w:tabs>
    </w:pPr>
  </w:style>
  <w:style w:type="paragraph" w:customStyle="1" w:styleId="GPSmacrorestart">
    <w:name w:val="GPS macro restart"/>
    <w:basedOn w:val="Standard"/>
    <w:qFormat/>
    <w:pPr>
      <w:spacing w:after="0"/>
    </w:pPr>
    <w:rPr>
      <w:color w:val="FFFFFF"/>
      <w:sz w:val="16"/>
      <w:szCs w:val="16"/>
    </w:rPr>
  </w:style>
  <w:style w:type="paragraph" w:customStyle="1" w:styleId="GPSSchTitleandNumber">
    <w:name w:val="GPS Sch Title and Number"/>
    <w:basedOn w:val="Standard"/>
    <w:pPr>
      <w:keepNext/>
      <w:overflowPunct w:val="0"/>
      <w:ind w:firstLine="426"/>
      <w:jc w:val="center"/>
      <w:outlineLvl w:val="0"/>
    </w:pPr>
    <w:rPr>
      <w:rFonts w:ascii="Arial Bold" w:eastAsia="STZhongsong" w:hAnsi="Arial Bold" w:cs="Times New Roman"/>
      <w:b/>
      <w:caps/>
      <w:lang w:eastAsia="zh-CN"/>
    </w:rPr>
  </w:style>
  <w:style w:type="paragraph" w:customStyle="1" w:styleId="GPSSchPart">
    <w:name w:val="GPS Sch Part"/>
    <w:basedOn w:val="Standard"/>
    <w:qFormat/>
    <w:pPr>
      <w:keepNext/>
      <w:overflowPunct w:val="0"/>
      <w:spacing w:before="240"/>
      <w:ind w:firstLine="426"/>
      <w:jc w:val="center"/>
    </w:pPr>
    <w:rPr>
      <w:rFonts w:ascii="Arial Bold" w:eastAsia="STZhongsong" w:hAnsi="Arial Bold" w:cs="Times New Roman"/>
      <w:b/>
      <w:caps/>
      <w:lang w:eastAsia="zh-CN"/>
    </w:rPr>
  </w:style>
  <w:style w:type="paragraph" w:customStyle="1" w:styleId="GPSL2Numbered">
    <w:name w:val="GPS L2 Numbered"/>
    <w:basedOn w:val="GPSL2NumberedBoldHeading"/>
    <w:pPr>
      <w:tabs>
        <w:tab w:val="clear" w:pos="3054"/>
      </w:tabs>
      <w:ind w:left="936" w:hanging="576"/>
    </w:pPr>
    <w:rPr>
      <w:b w:val="0"/>
    </w:rPr>
  </w:style>
  <w:style w:type="paragraph" w:customStyle="1" w:styleId="GPSL1Schedulenumbered">
    <w:name w:val="GPS L1 Schedule numbered"/>
    <w:basedOn w:val="Standard"/>
    <w:qFormat/>
    <w:pPr>
      <w:tabs>
        <w:tab w:val="left" w:pos="851"/>
      </w:tabs>
    </w:pPr>
  </w:style>
  <w:style w:type="paragraph" w:styleId="BalloonText">
    <w:name w:val="Balloon Text"/>
    <w:basedOn w:val="Standard"/>
    <w:pPr>
      <w:spacing w:after="0"/>
    </w:pPr>
    <w:rPr>
      <w:rFonts w:ascii="Tahoma" w:eastAsia="Tahoma" w:hAnsi="Tahoma" w:cs="Tahoma"/>
      <w:sz w:val="16"/>
      <w:szCs w:val="16"/>
    </w:rPr>
  </w:style>
  <w:style w:type="paragraph" w:customStyle="1" w:styleId="GPSL2Guidance">
    <w:name w:val="GPS L2 Guidance"/>
    <w:basedOn w:val="Standard"/>
    <w:pPr>
      <w:tabs>
        <w:tab w:val="left" w:pos="2268"/>
      </w:tabs>
      <w:overflowPunct w:val="0"/>
      <w:spacing w:before="120" w:after="120"/>
      <w:ind w:left="1134"/>
    </w:pPr>
    <w:rPr>
      <w:b/>
      <w:i/>
      <w:lang w:eastAsia="zh-CN"/>
    </w:rPr>
  </w:style>
  <w:style w:type="paragraph" w:customStyle="1" w:styleId="GPSL2Indent">
    <w:name w:val="GPS L2 Indent"/>
    <w:basedOn w:val="Standard"/>
    <w:pPr>
      <w:tabs>
        <w:tab w:val="left" w:pos="4536"/>
      </w:tabs>
      <w:spacing w:after="220"/>
      <w:ind w:left="1134"/>
    </w:pPr>
    <w:rPr>
      <w:szCs w:val="24"/>
    </w:rPr>
  </w:style>
  <w:style w:type="paragraph" w:customStyle="1" w:styleId="GPSL4Guidance">
    <w:name w:val="GPS L4 Guidance"/>
    <w:basedOn w:val="Standard"/>
    <w:pPr>
      <w:tabs>
        <w:tab w:val="left" w:pos="3970"/>
      </w:tabs>
      <w:overflowPunct w:val="0"/>
      <w:spacing w:before="120" w:after="120"/>
      <w:ind w:left="1985"/>
    </w:pPr>
    <w:rPr>
      <w:b/>
      <w:i/>
      <w:lang w:eastAsia="zh-CN"/>
    </w:rPr>
  </w:style>
  <w:style w:type="paragraph" w:customStyle="1" w:styleId="GPSL2non-numberboldheading">
    <w:name w:val="GPS L2 non-number bold heading"/>
    <w:basedOn w:val="GPSL2NumberedBoldHeading"/>
    <w:pPr>
      <w:ind w:left="1134"/>
    </w:pPr>
  </w:style>
  <w:style w:type="paragraph" w:styleId="CommentText">
    <w:name w:val="annotation text"/>
    <w:basedOn w:val="Standard"/>
    <w:rPr>
      <w:sz w:val="20"/>
      <w:szCs w:val="20"/>
    </w:rPr>
  </w:style>
  <w:style w:type="paragraph" w:styleId="CommentSubject">
    <w:name w:val="annotation subject"/>
    <w:basedOn w:val="CommentText"/>
    <w:rPr>
      <w:b/>
      <w:bCs/>
    </w:rPr>
  </w:style>
  <w:style w:type="character" w:customStyle="1" w:styleId="HeaderChar">
    <w:name w:val="Header Char"/>
    <w:basedOn w:val="DefaultParagraphFont"/>
  </w:style>
  <w:style w:type="character" w:customStyle="1" w:styleId="FooterChar">
    <w:name w:val="Footer Char"/>
    <w:basedOn w:val="DefaultParagraphFont"/>
    <w:uiPriority w:val="99"/>
  </w:style>
  <w:style w:type="character" w:styleId="Emphasis">
    <w:name w:val="Emphasis"/>
    <w:basedOn w:val="DefaultParagraphFont"/>
    <w:rPr>
      <w:i/>
      <w:iCs/>
    </w:rPr>
  </w:style>
  <w:style w:type="character" w:customStyle="1" w:styleId="MarginTextChar">
    <w:name w:val="Margin Text Char"/>
    <w:rPr>
      <w:rFonts w:ascii="Calibri" w:eastAsia="STZhongsong" w:hAnsi="Calibri" w:cs="Times New Roman"/>
      <w:szCs w:val="18"/>
      <w:lang w:eastAsia="zh-CN"/>
    </w:rPr>
  </w:style>
  <w:style w:type="character" w:customStyle="1" w:styleId="GPSL2NumberedChar">
    <w:name w:val="GPS L2 Numbered Char"/>
    <w:rPr>
      <w:rFonts w:ascii="Calibri" w:eastAsia="Times New Roman" w:hAnsi="Calibri" w:cs="Arial"/>
      <w:lang w:eastAsia="zh-CN"/>
    </w:rPr>
  </w:style>
  <w:style w:type="character" w:customStyle="1" w:styleId="GPSL1SCHEDULEHeadingChar">
    <w:name w:val="GPS L1 SCHEDULE Heading Char"/>
    <w:rPr>
      <w:rFonts w:ascii="Calibri" w:eastAsia="STZhongsong" w:hAnsi="Calibri" w:cs="Arial"/>
      <w:b/>
      <w:caps/>
      <w:lang w:eastAsia="zh-CN"/>
    </w:rPr>
  </w:style>
  <w:style w:type="character" w:customStyle="1" w:styleId="GPSL1SchedulenumberedChar1">
    <w:name w:val="GPS L1 Schedule numbered Char1"/>
    <w:rPr>
      <w:rFonts w:ascii="Calibri" w:eastAsia="Times New Roman" w:hAnsi="Calibri" w:cs="Arial"/>
    </w:rPr>
  </w:style>
  <w:style w:type="character" w:customStyle="1" w:styleId="GPSL1GuidanceChar">
    <w:name w:val="GPS L1 Guidance Char"/>
    <w:rPr>
      <w:rFonts w:ascii="Calibri" w:eastAsia="Times New Roman" w:hAnsi="Calibri" w:cs="Arial"/>
      <w:b/>
      <w:i/>
    </w:rPr>
  </w:style>
  <w:style w:type="character" w:customStyle="1" w:styleId="GPSSchTitleandNumberChar">
    <w:name w:val="GPS Sch Title and Number Char"/>
    <w:rPr>
      <w:rFonts w:ascii="Arial Bold" w:eastAsia="STZhongsong" w:hAnsi="Arial Bold" w:cs="Times New Roman"/>
      <w:b/>
      <w:caps/>
      <w:lang w:eastAsia="zh-CN"/>
    </w:rPr>
  </w:style>
  <w:style w:type="character" w:customStyle="1" w:styleId="GPSSchPartChar">
    <w:name w:val="GPS Sch Part Char"/>
    <w:rPr>
      <w:rFonts w:ascii="Arial Bold" w:eastAsia="STZhongsong" w:hAnsi="Arial Bold" w:cs="Times New Roman"/>
      <w:b/>
      <w:caps/>
      <w:lang w:eastAsia="zh-CN"/>
    </w:rPr>
  </w:style>
  <w:style w:type="character" w:customStyle="1" w:styleId="BalloonTextChar">
    <w:name w:val="Balloon Text Char"/>
    <w:basedOn w:val="DefaultParagraphFont"/>
    <w:rPr>
      <w:rFonts w:ascii="Tahoma" w:eastAsia="Times New Roman" w:hAnsi="Tahoma" w:cs="Tahoma"/>
      <w:sz w:val="16"/>
      <w:szCs w:val="16"/>
    </w:rPr>
  </w:style>
  <w:style w:type="character" w:customStyle="1" w:styleId="GPSL4numberedclauseChar">
    <w:name w:val="GPS L4 numbered clause Char"/>
    <w:rPr>
      <w:rFonts w:ascii="Calibri" w:eastAsia="Times New Roman" w:hAnsi="Calibri" w:cs="Arial"/>
      <w:lang w:eastAsia="zh-CN"/>
    </w:rPr>
  </w:style>
  <w:style w:type="character" w:customStyle="1" w:styleId="GPSL3numberedclauseChar">
    <w:name w:val="GPS L3 numbered clause Char"/>
    <w:rPr>
      <w:rFonts w:ascii="Calibri" w:eastAsia="Times New Roman" w:hAnsi="Calibri" w:cs="Arial"/>
      <w:lang w:eastAsia="zh-CN"/>
    </w:rPr>
  </w:style>
  <w:style w:type="character" w:customStyle="1" w:styleId="GPSL5numberedclauseChar">
    <w:name w:val="GPS L5 numbered clause Char"/>
    <w:rPr>
      <w:rFonts w:ascii="Calibri" w:eastAsia="Times New Roman" w:hAnsi="Calibri" w:cs="Arial"/>
      <w:lang w:eastAsia="zh-CN"/>
    </w:rPr>
  </w:style>
  <w:style w:type="character" w:customStyle="1" w:styleId="GPSL4GuidanceChar">
    <w:name w:val="GPS L4 Guidance Char"/>
    <w:rPr>
      <w:rFonts w:ascii="Calibri" w:eastAsia="Times New Roman" w:hAnsi="Calibri" w:cs="Arial"/>
      <w:b/>
      <w:i/>
      <w:lang w:eastAsia="zh-CN"/>
    </w:rPr>
  </w:style>
  <w:style w:type="character" w:customStyle="1" w:styleId="GPSL2non-numberboldheadingChar">
    <w:name w:val="GPS L2 non-number bold heading Char"/>
    <w:rPr>
      <w:rFonts w:ascii="Calibri" w:eastAsia="Times New Roman" w:hAnsi="Calibri" w:cs="Arial"/>
      <w:b/>
      <w:lang w:eastAsia="zh-CN"/>
    </w:rPr>
  </w:style>
  <w:style w:type="character" w:customStyle="1" w:styleId="GPSL2IndentChar">
    <w:name w:val="GPS L2 Indent Char"/>
    <w:rPr>
      <w:rFonts w:ascii="Calibri" w:eastAsia="Times New Roman" w:hAnsi="Calibri" w:cs="Arial"/>
      <w:szCs w:val="24"/>
    </w:rPr>
  </w:style>
  <w:style w:type="character" w:customStyle="1" w:styleId="GPSL2GuidanceChar">
    <w:name w:val="GPS L2 Guidance Char"/>
    <w:rPr>
      <w:rFonts w:ascii="Calibri" w:eastAsia="Times New Roman" w:hAnsi="Calibri" w:cs="Arial"/>
      <w:b/>
      <w:i/>
      <w:lang w:eastAsia="zh-CN"/>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Calibri" w:eastAsia="Times New Roman" w:hAnsi="Calibri" w:cs="Arial"/>
      <w:sz w:val="20"/>
      <w:szCs w:val="20"/>
    </w:rPr>
  </w:style>
  <w:style w:type="character" w:customStyle="1" w:styleId="CommentSubjectChar">
    <w:name w:val="Comment Subject Char"/>
    <w:basedOn w:val="CommentTextChar"/>
    <w:rPr>
      <w:rFonts w:ascii="Calibri" w:eastAsia="Times New Roman" w:hAnsi="Calibri" w:cs="Arial"/>
      <w:b/>
      <w:bCs/>
      <w:sz w:val="20"/>
      <w:szCs w:val="20"/>
    </w:rPr>
  </w:style>
  <w:style w:type="character" w:customStyle="1" w:styleId="ListLabel1">
    <w:name w:val="ListLabel 1"/>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
    <w:name w:val="ListLabel 2"/>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
    <w:name w:val="ListLabel 3"/>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
    <w:name w:val="ListLabel 4"/>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
    <w:name w:val="ListLabel 5"/>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
    <w:name w:val="ListLabel 6"/>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9">
    <w:name w:val="ListLabel 29"/>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0">
    <w:name w:val="ListLabel 30"/>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1">
    <w:name w:val="ListLabel 31"/>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2">
    <w:name w:val="ListLabel 32"/>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3">
    <w:name w:val="ListLabel 33"/>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rFonts w:cs="Times New Roman"/>
    </w:rPr>
  </w:style>
  <w:style w:type="character" w:customStyle="1" w:styleId="ListLabel37">
    <w:name w:val="ListLabel 37"/>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8">
    <w:name w:val="ListLabel 38"/>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9">
    <w:name w:val="ListLabel 39"/>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0">
    <w:name w:val="ListLabel 40"/>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1">
    <w:name w:val="ListLabel 41"/>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2">
    <w:name w:val="ListLabel 42"/>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7">
    <w:name w:val="ListLabel 47"/>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8">
    <w:name w:val="ListLabel 48"/>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9">
    <w:name w:val="ListLabel 49"/>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0">
    <w:name w:val="ListLabel 50"/>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1">
    <w:name w:val="ListLabel 51"/>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6">
    <w:name w:val="ListLabel 56"/>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7">
    <w:name w:val="ListLabel 57"/>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8">
    <w:name w:val="ListLabel 58"/>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9">
    <w:name w:val="ListLabel 59"/>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0">
    <w:name w:val="ListLabel 60"/>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1">
    <w:name w:val="ListLabel 61"/>
    <w:rPr>
      <w:rFonts w:cs="Times New Roman"/>
    </w:rPr>
  </w:style>
  <w:style w:type="character" w:customStyle="1" w:styleId="ListLabel62">
    <w:name w:val="ListLabel 62"/>
    <w:rPr>
      <w:rFonts w:cs="Times New Roman"/>
    </w:rPr>
  </w:style>
  <w:style w:type="character" w:customStyle="1" w:styleId="ListLabel63">
    <w:name w:val="ListLabel 63"/>
    <w:rPr>
      <w:rFonts w:cs="Times New Roman"/>
    </w:rPr>
  </w:style>
  <w:style w:type="character" w:customStyle="1" w:styleId="ListLabel64">
    <w:name w:val="ListLabel 64"/>
    <w:rPr>
      <w:rFonts w:cs="Courier New"/>
      <w:b w:val="0"/>
    </w:rPr>
  </w:style>
  <w:style w:type="character" w:customStyle="1" w:styleId="ListLabel65">
    <w:name w:val="ListLabel 65"/>
    <w:rPr>
      <w:rFonts w:cs="Courier New"/>
    </w:rPr>
  </w:style>
  <w:style w:type="character" w:customStyle="1" w:styleId="ListLabel66">
    <w:name w:val="ListLabel 66"/>
    <w:rPr>
      <w:rFonts w:cs="Courier New"/>
    </w:rPr>
  </w:style>
  <w:style w:type="character" w:customStyle="1" w:styleId="ListLabel67">
    <w:name w:val="ListLabel 67"/>
    <w:rPr>
      <w:rFonts w:cs="Courier New"/>
    </w:rPr>
  </w:style>
  <w:style w:type="character" w:customStyle="1" w:styleId="ListLabel68">
    <w:name w:val="ListLabel 68"/>
    <w:rPr>
      <w:rFonts w:cs="Courier New"/>
    </w:rPr>
  </w:style>
  <w:style w:type="character" w:customStyle="1" w:styleId="ListLabel69">
    <w:name w:val="ListLabel 69"/>
    <w:rPr>
      <w:rFonts w:cs="Courier New"/>
    </w:rPr>
  </w:style>
  <w:style w:type="character" w:customStyle="1" w:styleId="ListLabel70">
    <w:name w:val="ListLabel 70"/>
    <w:rPr>
      <w:rFonts w:cs="Courier New"/>
    </w:rPr>
  </w:style>
  <w:style w:type="character" w:customStyle="1" w:styleId="ListLabel71">
    <w:name w:val="ListLabel 71"/>
    <w:rPr>
      <w:rFonts w:cs="Courier New"/>
    </w:rPr>
  </w:style>
  <w:style w:type="character" w:customStyle="1" w:styleId="ListLabel72">
    <w:name w:val="ListLabel 72"/>
    <w:rPr>
      <w:rFonts w:cs="Courier New"/>
    </w:rPr>
  </w:style>
  <w:style w:type="character" w:customStyle="1" w:styleId="ListLabel73">
    <w:name w:val="ListLabel 73"/>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4">
    <w:name w:val="ListLabel 74"/>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5">
    <w:name w:val="ListLabel 75"/>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6">
    <w:name w:val="ListLabel 76"/>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7">
    <w:name w:val="ListLabel 77"/>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8">
    <w:name w:val="ListLabel 78"/>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9">
    <w:name w:val="ListLabel 79"/>
    <w:rPr>
      <w:rFonts w:cs="Times New Roman"/>
    </w:rPr>
  </w:style>
  <w:style w:type="character" w:customStyle="1" w:styleId="ListLabel80">
    <w:name w:val="ListLabel 80"/>
    <w:rPr>
      <w:rFonts w:cs="Times New Roman"/>
    </w:rPr>
  </w:style>
  <w:style w:type="character" w:customStyle="1" w:styleId="ListLabel81">
    <w:name w:val="ListLabel 81"/>
    <w:rPr>
      <w:rFonts w:cs="Times New Roman"/>
    </w:rPr>
  </w:style>
  <w:style w:type="character" w:customStyle="1" w:styleId="ListLabel82">
    <w:name w:val="ListLabel 82"/>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3">
    <w:name w:val="ListLabel 83"/>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4">
    <w:name w:val="ListLabel 84"/>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5">
    <w:name w:val="ListLabel 85"/>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6">
    <w:name w:val="ListLabel 86"/>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7">
    <w:name w:val="ListLabel 87"/>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8">
    <w:name w:val="ListLabel 88"/>
    <w:rPr>
      <w:rFonts w:cs="Times New Roman"/>
    </w:rPr>
  </w:style>
  <w:style w:type="character" w:customStyle="1" w:styleId="ListLabel89">
    <w:name w:val="ListLabel 89"/>
    <w:rPr>
      <w:rFonts w:cs="Times New Roman"/>
    </w:rPr>
  </w:style>
  <w:style w:type="character" w:customStyle="1" w:styleId="ListLabel90">
    <w:name w:val="ListLabel 90"/>
    <w:rPr>
      <w:rFonts w:cs="Times New Roman"/>
    </w:rPr>
  </w:style>
  <w:style w:type="numbering" w:customStyle="1" w:styleId="NoList1">
    <w:name w:val="No List_1"/>
    <w:basedOn w:val="NoList"/>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numbering" w:customStyle="1" w:styleId="WWNum6">
    <w:name w:val="WWNum6"/>
    <w:basedOn w:val="NoList"/>
  </w:style>
  <w:style w:type="numbering" w:customStyle="1" w:styleId="WWNum7">
    <w:name w:val="WWNum7"/>
    <w:basedOn w:val="NoList"/>
  </w:style>
  <w:style w:type="numbering" w:customStyle="1" w:styleId="WWNum8">
    <w:name w:val="WWNum8"/>
    <w:basedOn w:val="NoList"/>
  </w:style>
  <w:style w:type="numbering" w:customStyle="1" w:styleId="WWNum9">
    <w:name w:val="WWNum9"/>
    <w:basedOn w:val="NoList"/>
  </w:style>
  <w:style w:type="numbering" w:customStyle="1" w:styleId="WWNum10">
    <w:name w:val="WWNum10"/>
    <w:basedOn w:val="NoList"/>
  </w:style>
  <w:style w:type="numbering" w:customStyle="1" w:styleId="WWNum11">
    <w:name w:val="WWNum11"/>
    <w:basedOn w:val="NoList"/>
  </w:style>
  <w:style w:type="numbering" w:customStyle="1" w:styleId="WWNum12">
    <w:name w:val="WWNum12"/>
    <w:basedOn w:val="NoList"/>
  </w:style>
  <w:style w:type="numbering" w:customStyle="1" w:styleId="WWNum13">
    <w:name w:val="WWNum13"/>
    <w:basedOn w:val="NoList"/>
  </w:style>
  <w:style w:type="table" w:styleId="TableGrid">
    <w:name w:val="Table Grid"/>
    <w:basedOn w:val="TableNormal"/>
    <w:uiPriority w:val="39"/>
    <w:rsid w:val="007A5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MainHeading">
    <w:name w:val="FA: Main Heading"/>
    <w:basedOn w:val="Heading1"/>
    <w:qFormat/>
    <w:rsid w:val="00532FDD"/>
    <w:pPr>
      <w:numPr>
        <w:numId w:val="4"/>
      </w:numPr>
      <w:tabs>
        <w:tab w:val="num" w:pos="360"/>
      </w:tabs>
      <w:spacing w:before="20" w:after="20"/>
      <w:ind w:left="0" w:firstLine="0"/>
    </w:pPr>
    <w:rPr>
      <w:rFonts w:ascii="Arial" w:eastAsia="Calibri" w:hAnsi="Arial" w:cs="Arial"/>
      <w:b/>
      <w:color w:val="auto"/>
      <w:sz w:val="22"/>
      <w:szCs w:val="36"/>
    </w:rPr>
  </w:style>
  <w:style w:type="paragraph" w:customStyle="1" w:styleId="FALevel1">
    <w:name w:val="FA: Level 1"/>
    <w:basedOn w:val="Normal"/>
    <w:link w:val="FALevel1Char"/>
    <w:qFormat/>
    <w:rsid w:val="00532FDD"/>
    <w:pPr>
      <w:widowControl/>
      <w:numPr>
        <w:ilvl w:val="1"/>
        <w:numId w:val="4"/>
      </w:numPr>
      <w:spacing w:before="120" w:after="280" w:line="259" w:lineRule="auto"/>
    </w:pPr>
    <w:rPr>
      <w:rFonts w:ascii="Arial" w:eastAsiaTheme="minorHAnsi" w:hAnsi="Arial" w:cs="Arial"/>
    </w:rPr>
  </w:style>
  <w:style w:type="character" w:customStyle="1" w:styleId="FALevel1Char">
    <w:name w:val="FA: Level 1 Char"/>
    <w:basedOn w:val="DefaultParagraphFont"/>
    <w:link w:val="FALevel1"/>
    <w:rsid w:val="00532FDD"/>
    <w:rPr>
      <w:rFonts w:ascii="Arial" w:eastAsiaTheme="minorHAnsi" w:hAnsi="Arial" w:cs="Arial"/>
    </w:rPr>
  </w:style>
  <w:style w:type="paragraph" w:customStyle="1" w:styleId="FALevel2">
    <w:name w:val="FA: Level 2"/>
    <w:basedOn w:val="Normal"/>
    <w:link w:val="FALevel2Char"/>
    <w:qFormat/>
    <w:rsid w:val="00532FDD"/>
    <w:pPr>
      <w:widowControl/>
      <w:numPr>
        <w:ilvl w:val="2"/>
        <w:numId w:val="4"/>
      </w:numPr>
      <w:spacing w:before="120" w:after="280" w:line="259" w:lineRule="auto"/>
    </w:pPr>
    <w:rPr>
      <w:rFonts w:ascii="Arial" w:eastAsiaTheme="minorHAnsi" w:hAnsi="Arial" w:cs="Arial"/>
    </w:rPr>
  </w:style>
  <w:style w:type="character" w:customStyle="1" w:styleId="FALevel2Char">
    <w:name w:val="FA: Level 2 Char"/>
    <w:basedOn w:val="DefaultParagraphFont"/>
    <w:link w:val="FALevel2"/>
    <w:rsid w:val="00532FDD"/>
    <w:rPr>
      <w:rFonts w:ascii="Arial" w:eastAsiaTheme="minorHAnsi" w:hAnsi="Arial" w:cs="Arial"/>
    </w:rPr>
  </w:style>
  <w:style w:type="character" w:customStyle="1" w:styleId="Heading1Char">
    <w:name w:val="Heading 1 Char"/>
    <w:basedOn w:val="DefaultParagraphFont"/>
    <w:link w:val="Heading1"/>
    <w:uiPriority w:val="9"/>
    <w:rsid w:val="00532FDD"/>
    <w:rPr>
      <w:rFonts w:asciiTheme="majorHAnsi" w:eastAsiaTheme="majorEastAsia" w:hAnsiTheme="majorHAnsi" w:cstheme="majorBidi"/>
      <w:color w:val="2F5496" w:themeColor="accent1" w:themeShade="BF"/>
      <w:sz w:val="32"/>
      <w:szCs w:val="32"/>
    </w:rPr>
  </w:style>
  <w:style w:type="paragraph" w:customStyle="1" w:styleId="FABulletPoints">
    <w:name w:val="FA: Bullet Points"/>
    <w:basedOn w:val="Normal"/>
    <w:link w:val="FABulletPointsChar"/>
    <w:qFormat/>
    <w:rsid w:val="00532FDD"/>
    <w:pPr>
      <w:widowControl/>
      <w:tabs>
        <w:tab w:val="num" w:pos="720"/>
      </w:tabs>
      <w:ind w:left="720" w:hanging="720"/>
    </w:pPr>
    <w:rPr>
      <w:rFonts w:ascii="Arial" w:eastAsiaTheme="minorHAnsi" w:hAnsi="Arial" w:cs="Arial"/>
    </w:rPr>
  </w:style>
  <w:style w:type="character" w:customStyle="1" w:styleId="FABulletPointsChar">
    <w:name w:val="FA: Bullet Points Char"/>
    <w:basedOn w:val="DefaultParagraphFont"/>
    <w:link w:val="FABulletPoints"/>
    <w:rsid w:val="00532FDD"/>
    <w:rPr>
      <w:rFonts w:ascii="Arial" w:eastAsiaTheme="minorHAnsi" w:hAnsi="Arial" w:cs="Arial"/>
    </w:rPr>
  </w:style>
  <w:style w:type="paragraph" w:styleId="Revision">
    <w:name w:val="Revision"/>
    <w:hidden/>
    <w:uiPriority w:val="99"/>
    <w:semiHidden/>
    <w:rsid w:val="00CE0EDB"/>
    <w:pPr>
      <w:widowControl/>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500484"/>
    <w:pPr>
      <w:ind w:left="720"/>
      <w:contextualSpacing/>
    </w:p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tmz7yPbxLCwRDASQ3TcntiqkrA==">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2006</Words>
  <Characters>11440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Tina Cameron</cp:lastModifiedBy>
  <cp:revision>2</cp:revision>
  <dcterms:created xsi:type="dcterms:W3CDTF">2025-05-19T08:33:00Z</dcterms:created>
  <dcterms:modified xsi:type="dcterms:W3CDTF">2025-05-19T08:33:00Z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CurrentVersion">
    <vt:lpwstr>15 November 2017 D1V4</vt:lpwstr>
  </property>
</Properties>
</file>