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12 (</w:t>
      </w:r>
      <w:r w:rsidDel="00000000" w:rsidR="00000000" w:rsidRPr="00000000">
        <w:rPr>
          <w:rFonts w:ascii="Arial" w:cs="Arial" w:eastAsia="Arial" w:hAnsi="Arial"/>
          <w:b w:val="1"/>
          <w:sz w:val="36"/>
          <w:szCs w:val="36"/>
          <w:rtl w:val="0"/>
        </w:rPr>
        <w:t xml:space="preserve">Supply Chain Visibility</w:t>
      </w:r>
      <w:r w:rsidDel="00000000" w:rsidR="00000000" w:rsidRPr="00000000">
        <w:rPr>
          <w:rFonts w:ascii="Arial" w:cs="Arial" w:eastAsia="Arial" w:hAnsi="Arial"/>
          <w:b w:val="1"/>
          <w:sz w:val="36"/>
          <w:szCs w:val="36"/>
          <w:rtl w:val="0"/>
        </w:rPr>
        <w:t xml:space="preserve">)</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pacing w:after="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720" w:hanging="4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198.0" w:type="dxa"/>
        <w:jc w:val="left"/>
        <w:tblInd w:w="52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"Contracts Finder"</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Government’s publishing portal for public sector procurement opportunities; </w:t>
            </w:r>
          </w:p>
        </w:tc>
      </w:tr>
      <w:tr>
        <w:trPr>
          <w:cantSplit w:val="0"/>
          <w:trHeight w:val="20" w:hRule="atLeast"/>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"SME"</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enterprise falling within the category of micro, small and medium sized enterprises defined by the Commission Recommendation of 6 May 2003 concerning the definition of micro, small and medium sized enterprises; </w:t>
            </w:r>
          </w:p>
        </w:tc>
      </w:tr>
      <w:tr>
        <w:trPr>
          <w:cantSplit w:val="0"/>
          <w:trHeight w:val="20" w:hRule="atLeast"/>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“Supply Chain Information Report Template”</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document at Annex 1 of this Schedule 12; and</w:t>
            </w:r>
          </w:p>
        </w:tc>
      </w:tr>
      <w:tr>
        <w:trPr>
          <w:cantSplit w:val="0"/>
          <w:trHeight w:val="20"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"VCSE"</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non-governmental organisation that is value-driven and which principally reinvests its surpluses to further social, environmental or cultural objectives.</w:t>
            </w:r>
          </w:p>
        </w:tc>
      </w:tr>
      <w:tr>
        <w:trPr>
          <w:cantSplit w:val="0"/>
          <w:trHeight w:val="20" w:hRule="atLeast"/>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09"/>
                <w:tab w:val="left" w:leader="none" w:pos="1134"/>
              </w:tabs>
              <w:spacing w:after="120" w:before="120"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Visibility of Sub-Contract Opportunities in the Supply Chain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Supplier shall:</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numPr>
          <w:ilvl w:val="2"/>
          <w:numId w:val="2"/>
        </w:numPr>
        <w:pBdr>
          <w:top w:space="0" w:sz="0" w:val="nil"/>
          <w:left w:space="0" w:sz="0" w:val="nil"/>
          <w:bottom w:space="0" w:sz="0" w:val="nil"/>
          <w:right w:space="0" w:sz="0" w:val="nil"/>
          <w:between w:space="0" w:sz="0" w:val="nil"/>
        </w:pBdr>
        <w:spacing w:after="0"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2.3, advertise on </w:t>
      </w:r>
      <w:r w:rsidDel="00000000" w:rsidR="00000000" w:rsidRPr="00000000">
        <w:rPr>
          <w:rFonts w:ascii="Arial" w:cs="Arial" w:eastAsia="Arial" w:hAnsi="Arial"/>
          <w:color w:val="000000"/>
          <w:sz w:val="24"/>
          <w:szCs w:val="24"/>
          <w:rtl w:val="0"/>
        </w:rPr>
        <w:t xml:space="preserve">Contracts Finder and</w:t>
      </w:r>
      <w:r w:rsidDel="00000000" w:rsidR="00000000" w:rsidRPr="00000000">
        <w:rPr>
          <w:rFonts w:ascii="Arial" w:cs="Arial" w:eastAsia="Arial" w:hAnsi="Arial"/>
          <w:sz w:val="24"/>
          <w:szCs w:val="24"/>
          <w:rtl w:val="0"/>
        </w:rPr>
        <w:t xml:space="preserve">/or Find a Tender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all Sub-Contract opportunities arising from or in connection with the provision of the Deliverables above a minimum threshold of £25,000 that arise during the Contract Period;</w:t>
      </w:r>
    </w:p>
    <w:p w:rsidR="00000000" w:rsidDel="00000000" w:rsidP="00000000" w:rsidRDefault="00000000" w:rsidRPr="00000000" w14:paraId="00000016">
      <w:pPr>
        <w:numPr>
          <w:ilvl w:val="2"/>
          <w:numId w:val="2"/>
        </w:numPr>
        <w:pBdr>
          <w:top w:space="0" w:sz="0" w:val="nil"/>
          <w:left w:space="0" w:sz="0" w:val="nil"/>
          <w:bottom w:space="0" w:sz="0" w:val="nil"/>
          <w:right w:space="0" w:sz="0" w:val="nil"/>
          <w:between w:space="0" w:sz="0" w:val="nil"/>
        </w:pBdr>
        <w:spacing w:after="0"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within 90 days of awarding a Sub-Contract to a Subcontractor, update the notice on Contract Finder with details of the successful Subcontractor; </w:t>
      </w:r>
    </w:p>
    <w:p w:rsidR="00000000" w:rsidDel="00000000" w:rsidP="00000000" w:rsidRDefault="00000000" w:rsidRPr="00000000" w14:paraId="00000017">
      <w:pPr>
        <w:numPr>
          <w:ilvl w:val="2"/>
          <w:numId w:val="2"/>
        </w:numPr>
        <w:pBdr>
          <w:top w:space="0" w:sz="0" w:val="nil"/>
          <w:left w:space="0" w:sz="0" w:val="nil"/>
          <w:bottom w:space="0" w:sz="0" w:val="nil"/>
          <w:right w:space="0" w:sz="0" w:val="nil"/>
          <w:between w:space="0" w:sz="0" w:val="nil"/>
        </w:pBdr>
        <w:spacing w:after="0"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monitor the number, type and value of the Sub-Contract opportunities placed on Contracts Finder advertised and awarded in its supply chain during the Contract Period; </w:t>
      </w:r>
    </w:p>
    <w:p w:rsidR="00000000" w:rsidDel="00000000" w:rsidP="00000000" w:rsidRDefault="00000000" w:rsidRPr="00000000" w14:paraId="00000018">
      <w:pPr>
        <w:numPr>
          <w:ilvl w:val="2"/>
          <w:numId w:val="2"/>
        </w:numPr>
        <w:pBdr>
          <w:top w:space="0" w:sz="0" w:val="nil"/>
          <w:left w:space="0" w:sz="0" w:val="nil"/>
          <w:bottom w:space="0" w:sz="0" w:val="nil"/>
          <w:right w:space="0" w:sz="0" w:val="nil"/>
          <w:between w:space="0" w:sz="0" w:val="nil"/>
        </w:pBdr>
        <w:spacing w:after="0"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reports on the information at Paragraph 2.1.3 to the Relevant Authority in the format and frequency as reasonably specified by the Relevant Authority; and </w:t>
      </w:r>
    </w:p>
    <w:p w:rsidR="00000000" w:rsidDel="00000000" w:rsidP="00000000" w:rsidRDefault="00000000" w:rsidRPr="00000000" w14:paraId="00000019">
      <w:pPr>
        <w:numPr>
          <w:ilvl w:val="2"/>
          <w:numId w:val="2"/>
        </w:numPr>
        <w:pBdr>
          <w:top w:space="0" w:sz="0" w:val="nil"/>
          <w:left w:space="0" w:sz="0" w:val="nil"/>
          <w:bottom w:space="0" w:sz="0" w:val="nil"/>
          <w:right w:space="0" w:sz="0" w:val="nil"/>
          <w:between w:space="0" w:sz="0" w:val="nil"/>
        </w:pBdr>
        <w:spacing w:after="0" w:lineRule="auto"/>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promote Contracts Finder to its suppliers and encourage those organisations to register on Contracts Finder.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10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10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advert referred to at Paragraph 2.1.1 of this Schedule 12 shall provide a full and detailed description of the Sub-Contract opportunity with each of the mandatory fields being completed on Contracts Finder by the Supplier.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obligation on the Supplier set out at Paragraph 2.1 shall only apply in respect of Sub-Contract opportunities arising after the Effective Date.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Paragraph 2.1, the Authority may by giving its prior Approval, agree that a Sub-Contract opportunity is not required to be advertised by the Supplier on Contracts Finder.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Visibility of Supply Chain Spend</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ind w:left="993" w:hanging="567"/>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In addition to any other management information requirements set out in the Contract, the Supplier agrees and acknowledges that it shall, at no charge, provide timely, full, accurate and complete SME management information reports (the “</w:t>
      </w:r>
      <w:r w:rsidDel="00000000" w:rsidR="00000000" w:rsidRPr="00000000">
        <w:rPr>
          <w:rFonts w:ascii="Arial" w:cs="Arial" w:eastAsia="Arial" w:hAnsi="Arial"/>
          <w:b w:val="1"/>
          <w:color w:val="000000"/>
          <w:sz w:val="24"/>
          <w:szCs w:val="24"/>
          <w:rtl w:val="0"/>
        </w:rPr>
        <w:t xml:space="preserve">SME Management Information Reports</w:t>
      </w:r>
      <w:r w:rsidDel="00000000" w:rsidR="00000000" w:rsidRPr="00000000">
        <w:rPr>
          <w:rFonts w:ascii="Arial" w:cs="Arial" w:eastAsia="Arial" w:hAnsi="Arial"/>
          <w:color w:val="000000"/>
          <w:sz w:val="24"/>
          <w:szCs w:val="24"/>
          <w:rtl w:val="0"/>
        </w:rPr>
        <w:t xml:space="preserve">”) to the Relevant Authority which incorporates the data described in the Supply Chain Information Report Template which is: </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36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total contract revenue received directly on the Contract;</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36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total value of sub-contracted revenues under the Contract (including revenues for non-SMEs/non-VCSEs); and</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36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total value of sub-contracted revenues to SMEs and VCSEs.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spacing w:after="0" w:lineRule="auto"/>
        <w:ind w:left="993" w:hanging="63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ind w:left="993"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further agrees and acknowledges that it may not make any amendment to the Supply Chain Information Report Template without the prior Approval of the Authority.  </w:t>
      </w:r>
    </w:p>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2E">
      <w:pPr>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Information Report template</w:t>
      </w:r>
    </w:p>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Pr>
        <w:pict>
          <v:shape id="_x0000_i1025" style="width:116.95pt;height:57pt" alt="" o:ole="" type="#_x0000_t75">
            <v:imagedata r:id="rId1" o:title=""/>
          </v:shape>
          <o:OLEObject DrawAspect="Icon" r:id="rId2" ObjectID="_1770638107" ProgID="Excel.Sheet.12" ShapeID="_x0000_i1025" Type="Embed"/>
        </w:pict>
      </w: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Framework Ref: RM6342</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Project Version: 1.0</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Model Version 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Joint Schedule 12 (Supply Chain Visibility)</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Crown Copyright 20</w:t>
    </w:r>
    <w:r w:rsidDel="00000000" w:rsidR="00000000" w:rsidRPr="00000000">
      <w:rPr>
        <w:rFonts w:ascii="Arial" w:cs="Arial" w:eastAsia="Arial" w:hAnsi="Arial"/>
        <w:rtl w:val="0"/>
      </w:rPr>
      <w:t xml:space="preserve">23</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4305DC"/>
    <w:pPr>
      <w:ind w:left="720"/>
      <w:contextualSpacing w:val="1"/>
    </w:pPr>
  </w:style>
  <w:style w:type="paragraph" w:styleId="Sectionheading" w:customStyle="1">
    <w:name w:val="Section heading"/>
    <w:basedOn w:val="Normal"/>
    <w:rsid w:val="001B27C3"/>
    <w:pPr>
      <w:suppressAutoHyphens w:val="1"/>
      <w:spacing w:after="0" w:line="360" w:lineRule="auto"/>
      <w:jc w:val="both"/>
    </w:pPr>
    <w:rPr>
      <w:rFonts w:ascii="Times New Roman" w:cs="Times New Roman" w:eastAsia="Times New Roman" w:hAnsi="Times New Roman"/>
      <w:b w:val="1"/>
      <w:bCs w:val="1"/>
      <w:sz w:val="24"/>
      <w:szCs w:val="24"/>
      <w:u w:val="single"/>
    </w:rPr>
  </w:style>
  <w:style w:type="paragraph" w:styleId="Header">
    <w:name w:val="header"/>
    <w:basedOn w:val="Normal"/>
    <w:link w:val="HeaderChar"/>
    <w:uiPriority w:val="99"/>
    <w:unhideWhenUsed w:val="1"/>
    <w:rsid w:val="009D7C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7CF0"/>
  </w:style>
  <w:style w:type="paragraph" w:styleId="Footer">
    <w:name w:val="footer"/>
    <w:basedOn w:val="Normal"/>
    <w:link w:val="FooterChar"/>
    <w:uiPriority w:val="99"/>
    <w:unhideWhenUsed w:val="1"/>
    <w:rsid w:val="009D7C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7CF0"/>
  </w:style>
  <w:style w:type="paragraph" w:styleId="GPSL2Numbered" w:customStyle="1">
    <w:name w:val="GPS L2 Numbered"/>
    <w:basedOn w:val="Normal"/>
    <w:link w:val="GPSL2NumberedChar"/>
    <w:qFormat w:val="1"/>
    <w:rsid w:val="0042661A"/>
    <w:pPr>
      <w:tabs>
        <w:tab w:val="left" w:pos="709"/>
        <w:tab w:val="left" w:pos="1134"/>
      </w:tabs>
      <w:adjustRightInd w:val="0"/>
      <w:spacing w:after="120" w:before="120" w:line="240" w:lineRule="auto"/>
      <w:ind w:hanging="360"/>
      <w:jc w:val="both"/>
    </w:pPr>
    <w:rPr>
      <w:rFonts w:cs="Arial" w:eastAsia="Times New Roman"/>
      <w:lang w:eastAsia="zh-CN"/>
    </w:rPr>
  </w:style>
  <w:style w:type="character" w:styleId="GPSL2NumberedChar" w:customStyle="1">
    <w:name w:val="GPS L2 Numbered Char"/>
    <w:link w:val="GPSL2Numbered"/>
    <w:locked w:val="1"/>
    <w:rsid w:val="0042661A"/>
    <w:rPr>
      <w:rFonts w:ascii="Calibri" w:cs="Arial" w:eastAsia="Times New Roman" w:hAnsi="Calibri"/>
      <w:lang w:eastAsia="zh-CN"/>
    </w:rPr>
  </w:style>
  <w:style w:type="table" w:styleId="TableGrid">
    <w:name w:val="Table Grid"/>
    <w:basedOn w:val="TableNormal"/>
    <w:uiPriority w:val="59"/>
    <w:rsid w:val="004266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val="1"/>
    <w:unhideWhenUsed w:val="1"/>
    <w:rsid w:val="00003B62"/>
    <w:rPr>
      <w:sz w:val="16"/>
      <w:szCs w:val="16"/>
    </w:rPr>
  </w:style>
  <w:style w:type="paragraph" w:styleId="CommentText">
    <w:name w:val="annotation text"/>
    <w:basedOn w:val="Normal"/>
    <w:link w:val="CommentTextChar"/>
    <w:uiPriority w:val="99"/>
    <w:semiHidden w:val="1"/>
    <w:unhideWhenUsed w:val="1"/>
    <w:rsid w:val="00003B62"/>
    <w:pPr>
      <w:spacing w:line="240" w:lineRule="auto"/>
    </w:pPr>
    <w:rPr>
      <w:sz w:val="20"/>
      <w:szCs w:val="20"/>
    </w:rPr>
  </w:style>
  <w:style w:type="character" w:styleId="CommentTextChar" w:customStyle="1">
    <w:name w:val="Comment Text Char"/>
    <w:basedOn w:val="DefaultParagraphFont"/>
    <w:link w:val="CommentText"/>
    <w:uiPriority w:val="99"/>
    <w:semiHidden w:val="1"/>
    <w:rsid w:val="00003B62"/>
    <w:rPr>
      <w:sz w:val="20"/>
      <w:szCs w:val="20"/>
    </w:rPr>
  </w:style>
  <w:style w:type="paragraph" w:styleId="CommentSubject">
    <w:name w:val="annotation subject"/>
    <w:basedOn w:val="CommentText"/>
    <w:next w:val="CommentText"/>
    <w:link w:val="CommentSubjectChar"/>
    <w:uiPriority w:val="99"/>
    <w:semiHidden w:val="1"/>
    <w:unhideWhenUsed w:val="1"/>
    <w:rsid w:val="00003B62"/>
    <w:rPr>
      <w:b w:val="1"/>
      <w:bCs w:val="1"/>
    </w:rPr>
  </w:style>
  <w:style w:type="character" w:styleId="CommentSubjectChar" w:customStyle="1">
    <w:name w:val="Comment Subject Char"/>
    <w:basedOn w:val="CommentTextChar"/>
    <w:link w:val="CommentSubject"/>
    <w:uiPriority w:val="99"/>
    <w:semiHidden w:val="1"/>
    <w:rsid w:val="00003B62"/>
    <w:rPr>
      <w:b w:val="1"/>
      <w:bCs w:val="1"/>
      <w:sz w:val="20"/>
      <w:szCs w:val="20"/>
    </w:rPr>
  </w:style>
  <w:style w:type="paragraph" w:styleId="BalloonText">
    <w:name w:val="Balloon Text"/>
    <w:basedOn w:val="Normal"/>
    <w:link w:val="BalloonTextChar"/>
    <w:uiPriority w:val="99"/>
    <w:semiHidden w:val="1"/>
    <w:unhideWhenUsed w:val="1"/>
    <w:rsid w:val="00003B6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03B62"/>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image" Target="media/image1.emf"/><Relationship Id="rId2" Type="http://schemas.openxmlformats.org/officeDocument/2006/relationships/package" Target="embeddings/Microsoft_Excel_Sheet1.xlsx"/><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Z/SX6ed7pCEyo29X3FRMGm9Ng==">CgMxLjAyCGguZ2pkZ3hzMgloLjMwajB6bGw4AHIhMXQxOHNmSWxfQnhyczgxZV9fT1h6SGQxekN0bUpJcVRS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1900-01-01T00:00:00.0000000Z</dcterms:created>
</cp:coreProperties>
</file>