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w:t>
      </w:r>
      <w:r w:rsidDel="00000000" w:rsidR="00000000" w:rsidRPr="00000000">
        <w:rPr>
          <w:rFonts w:ascii="Arial" w:cs="Arial" w:eastAsia="Arial" w:hAnsi="Arial"/>
          <w:b w:val="1"/>
          <w:sz w:val="36"/>
          <w:szCs w:val="36"/>
          <w:rtl w:val="0"/>
        </w:rPr>
        <w:t xml:space="preserve">Subcontractors</w:t>
      </w:r>
      <w:r w:rsidDel="00000000" w:rsidR="00000000" w:rsidRPr="00000000">
        <w:rPr>
          <w:rFonts w:ascii="Arial" w:cs="Arial" w:eastAsia="Arial" w:hAnsi="Arial"/>
          <w:b w:val="1"/>
          <w:sz w:val="36"/>
          <w:szCs w:val="36"/>
          <w:rtl w:val="0"/>
        </w:rPr>
        <w:t xml:space="preserve">)</w:t>
      </w:r>
      <w:r w:rsidDel="00000000" w:rsidR="00000000" w:rsidRPr="00000000">
        <w:rPr>
          <w:rtl w:val="0"/>
        </w:rPr>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Restrictions on certain subcontractors</w:t>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w:t>
      </w:r>
      <w:r w:rsidDel="00000000" w:rsidR="00000000" w:rsidRPr="00000000">
        <w:rPr>
          <w:rFonts w:ascii="Arial" w:cs="Arial" w:eastAsia="Arial" w:hAnsi="Arial"/>
          <w:color w:val="000000"/>
          <w:sz w:val="24"/>
          <w:szCs w:val="24"/>
          <w:rtl w:val="0"/>
        </w:rPr>
        <w:t xml:space="preserve">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Key Subcontractor employs unfit persons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appointment of a proposed Key Subcontractor may increase the risk of a procurement challenge.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A">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Key Subcontractor’s name, registered office and company registration number;</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scope/description of any Deliverables to be provided by the proposed Key Subcontractor; </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applicable) Credit Rating Threshold (as defined in Joint Schedule 7 (Financial Distress)) of the Key Subcontractor.</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copy of the proposed Key Sub-Contract; and </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further information reasonably requested by CCS and/or the Buyer.</w:t>
      </w:r>
    </w:p>
    <w:p w:rsidR="00000000" w:rsidDel="00000000" w:rsidP="00000000" w:rsidRDefault="00000000" w:rsidRPr="00000000" w14:paraId="00000014">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rFonts w:ascii="Arial" w:cs="Arial" w:eastAsia="Arial" w:hAnsi="Arial"/>
          <w:b w:val="1"/>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provisions which will enable the Supplier to discharge its obligations under the Contracts;</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provision enabling CCS and the Buyer to enforce the Key Sub-Contract as if it were the Supplier;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requirements set out in Clause 14 (Data protection);</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FOIA and other access request requirements set out in Clause 16 (When you can share information);</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obligation not to embarrass CCS or the Buyer or otherwise bring CCS or the Buyer into disrepute; </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conduct of audits set out in Clause 6 (Record keeping and reporting);</w:t>
      </w:r>
      <w:r w:rsidDel="00000000" w:rsidR="00000000" w:rsidRPr="00000000">
        <w:rPr>
          <w:rtl w:val="0"/>
        </w:rPr>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rFonts w:ascii="Arial" w:cs="Arial" w:eastAsia="Arial" w:hAnsi="Arial"/>
          <w:color w:val="000000"/>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985"/>
        </w:tabs>
        <w:spacing w:after="120" w:before="120" w:line="240" w:lineRule="auto"/>
        <w:ind w:left="1138"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 Subcontractor Pricing</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985"/>
        </w:tabs>
        <w:spacing w:after="120" w:before="120" w:line="240" w:lineRule="auto"/>
        <w:ind w:left="1138"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985"/>
        </w:tabs>
        <w:spacing w:after="120" w:before="120" w:line="240" w:lineRule="auto"/>
        <w:ind w:left="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support services under Lot 4 and Lot 1 Part B, and required under the relevant Call-Off Contract, the Supplier is permitted to subcontract these Support Services to a third party, passing the agreed price for such services with such third party back to the relevant Buyer on a “pass through” basis without any profit mark-up, cost, administration charge or expense, provided that the price has been agreed between all parties in writing upfront.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985"/>
        </w:tabs>
        <w:spacing w:after="120" w:before="120" w:line="240" w:lineRule="auto"/>
        <w:ind w:left="418" w:firstLine="0"/>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leader="none" w:pos="4513"/>
        <w:tab w:val="right" w:leader="none"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color w:val="bfbfbf"/>
        <w:sz w:val="20"/>
        <w:szCs w:val="20"/>
      </w:rPr>
    </w:pPr>
    <w:bookmarkStart w:colFirst="0" w:colLast="0" w:name="_heading=h.tyjcwt"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3dy6vkm"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6 (Key Subcontractors)</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cs="Arial" w:eastAsia="Times New Roman"/>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cs="Arial" w:eastAsia="Times New Roman"/>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2"/>
      </w:numPr>
      <w:adjustRightInd w:val="0"/>
      <w:spacing w:after="120" w:before="120" w:line="240" w:lineRule="auto"/>
      <w:ind w:left="936" w:hanging="576"/>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cs="Arial" w:eastAsia="Times New Roman"/>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3GIeBXO5Qslsxt1iWKvN+YFnrg==">CgMxLjAyCGguZ2pkZ3hzMgloLjMwajB6bGwyCWguMWZvYjl0ZTIJaC4zem55c2g3MgloLjJldDkycDAyCmlkLjNkeTZ2a20yCGgudHlqY3d0OABqIwoUc3VnZ2VzdC5jMTZ5cnI5bWZzcDESC1NhbCBUZW1wZXJhakQKNXN1Z2dlc3RJZEltcG9ydDAyOWQzNmMzLTcyNWQtNDQxMi05N2UwLWIzYzk2OWIzNmZkY18xEgtTYWwgVGVtcGVyYXIhMXoxTDg1U1cyLU5ZV3BDbmwwdnlVUEJFY0ZUVDR0OF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2024-02-29T13:53:00Z</dcterms:created>
  <dc:creator>Sal Tempera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