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196" w:rsidRDefault="00E876F6">
      <w:pPr>
        <w:keepNext/>
        <w:jc w:val="left"/>
        <w:rPr>
          <w:rFonts w:ascii="Arial" w:eastAsia="Arial" w:hAnsi="Arial"/>
          <w:b/>
          <w:sz w:val="36"/>
          <w:szCs w:val="36"/>
        </w:rPr>
      </w:pPr>
      <w:bookmarkStart w:id="0" w:name="_GoBack"/>
      <w:bookmarkEnd w:id="0"/>
      <w:r>
        <w:rPr>
          <w:rFonts w:ascii="Arial" w:eastAsia="Arial" w:hAnsi="Arial"/>
          <w:b/>
          <w:sz w:val="36"/>
          <w:szCs w:val="36"/>
        </w:rPr>
        <w:t>Call-Off Schedule 16 (Benchmarking)</w:t>
      </w:r>
    </w:p>
    <w:p w:rsidR="00074196" w:rsidRDefault="00E876F6">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074196" w:rsidRDefault="00E876F6">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0"/>
        <w:tblW w:w="804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sdt>
        <w:sdtPr>
          <w:rPr>
            <w:color w:val="auto"/>
            <w:sz w:val="22"/>
            <w:szCs w:val="22"/>
          </w:rPr>
          <w:tag w:val="goog_rdk_1"/>
          <w:id w:val="-231079735"/>
        </w:sdtPr>
        <w:sdtEndPr/>
        <w:sdtContent>
          <w:tr w:rsidR="00074196">
            <w:tc>
              <w:tcPr>
                <w:tcW w:w="2900" w:type="dxa"/>
                <w:shd w:val="clear" w:color="auto" w:fill="auto"/>
              </w:tcPr>
              <w:sdt>
                <w:sdtPr>
                  <w:tag w:val="goog_rdk_3"/>
                  <w:id w:val="-1149594129"/>
                </w:sdtPr>
                <w:sdtEndPr/>
                <w:sdtContent>
                  <w:p w:rsidR="00074196" w:rsidRDefault="004279A6">
                    <w:pPr>
                      <w:pBdr>
                        <w:top w:val="nil"/>
                        <w:left w:val="nil"/>
                        <w:bottom w:val="nil"/>
                        <w:right w:val="nil"/>
                        <w:between w:val="nil"/>
                      </w:pBdr>
                      <w:spacing w:after="120"/>
                      <w:ind w:left="-108"/>
                      <w:jc w:val="left"/>
                      <w:rPr>
                        <w:rFonts w:ascii="Arial" w:eastAsia="Arial" w:hAnsi="Arial"/>
                        <w:b/>
                        <w:sz w:val="24"/>
                        <w:szCs w:val="24"/>
                      </w:rPr>
                    </w:pPr>
                    <w:sdt>
                      <w:sdtPr>
                        <w:tag w:val="goog_rdk_2"/>
                        <w:id w:val="469720738"/>
                      </w:sdtPr>
                      <w:sdtEndPr/>
                      <w:sdtContent>
                        <w:r w:rsidR="00E876F6">
                          <w:rPr>
                            <w:rFonts w:ascii="Arial" w:eastAsia="Arial" w:hAnsi="Arial"/>
                            <w:b/>
                            <w:sz w:val="24"/>
                            <w:szCs w:val="24"/>
                          </w:rPr>
                          <w:t>“</w:t>
                        </w:r>
                        <w:proofErr w:type="spellStart"/>
                        <w:r w:rsidR="00E876F6">
                          <w:rPr>
                            <w:rFonts w:ascii="Arial" w:eastAsia="Arial" w:hAnsi="Arial"/>
                            <w:b/>
                            <w:sz w:val="24"/>
                            <w:szCs w:val="24"/>
                          </w:rPr>
                          <w:t>Benchmarker</w:t>
                        </w:r>
                        <w:proofErr w:type="spellEnd"/>
                        <w:r w:rsidR="00E876F6">
                          <w:rPr>
                            <w:rFonts w:ascii="Arial" w:eastAsia="Arial" w:hAnsi="Arial"/>
                            <w:b/>
                            <w:sz w:val="24"/>
                            <w:szCs w:val="24"/>
                          </w:rPr>
                          <w:t>"</w:t>
                        </w:r>
                      </w:sdtContent>
                    </w:sdt>
                  </w:p>
                </w:sdtContent>
              </w:sdt>
            </w:tc>
            <w:tc>
              <w:tcPr>
                <w:tcW w:w="5142" w:type="dxa"/>
                <w:shd w:val="clear" w:color="auto" w:fill="auto"/>
              </w:tcPr>
              <w:sdt>
                <w:sdtPr>
                  <w:tag w:val="goog_rdk_5"/>
                  <w:id w:val="-1930343711"/>
                </w:sdtPr>
                <w:sdtEndPr/>
                <w:sdtContent>
                  <w:p w:rsidR="00074196" w:rsidRDefault="004279A6">
                    <w:pPr>
                      <w:pBdr>
                        <w:top w:val="nil"/>
                        <w:left w:val="nil"/>
                        <w:bottom w:val="nil"/>
                        <w:right w:val="nil"/>
                        <w:between w:val="nil"/>
                      </w:pBdr>
                      <w:tabs>
                        <w:tab w:val="left" w:pos="175"/>
                      </w:tabs>
                      <w:spacing w:after="120"/>
                      <w:jc w:val="left"/>
                      <w:rPr>
                        <w:rFonts w:ascii="Arial" w:eastAsia="Arial" w:hAnsi="Arial"/>
                        <w:sz w:val="24"/>
                        <w:szCs w:val="24"/>
                      </w:rPr>
                    </w:pPr>
                    <w:sdt>
                      <w:sdtPr>
                        <w:tag w:val="goog_rdk_4"/>
                        <w:id w:val="1380594844"/>
                      </w:sdtPr>
                      <w:sdtEndPr/>
                      <w:sdtContent>
                        <w:r w:rsidR="00E876F6">
                          <w:rPr>
                            <w:rFonts w:ascii="Arial" w:eastAsia="Arial" w:hAnsi="Arial"/>
                            <w:sz w:val="24"/>
                            <w:szCs w:val="24"/>
                          </w:rPr>
                          <w:t>a neutral and independent third party with knowledge and experience of financial matters in relation to the Benchmarked Deliverables</w:t>
                        </w:r>
                      </w:sdtContent>
                    </w:sdt>
                  </w:p>
                </w:sdtContent>
              </w:sdt>
            </w:tc>
          </w:tr>
        </w:sdtContent>
      </w:sdt>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sdt>
        <w:sdtPr>
          <w:rPr>
            <w:color w:val="auto"/>
            <w:sz w:val="22"/>
            <w:szCs w:val="22"/>
          </w:rPr>
          <w:tag w:val="goog_rdk_7"/>
          <w:id w:val="-145586838"/>
        </w:sdtPr>
        <w:sdtEndPr/>
        <w:sdtContent>
          <w:tr w:rsidR="00074196">
            <w:tc>
              <w:tcPr>
                <w:tcW w:w="2900" w:type="dxa"/>
                <w:shd w:val="clear" w:color="auto" w:fill="auto"/>
              </w:tcPr>
              <w:sdt>
                <w:sdtPr>
                  <w:tag w:val="goog_rdk_9"/>
                  <w:id w:val="-2108569305"/>
                </w:sdtPr>
                <w:sdtEndPr/>
                <w:sdtContent>
                  <w:p w:rsidR="00074196" w:rsidRDefault="004279A6">
                    <w:pPr>
                      <w:pBdr>
                        <w:top w:val="nil"/>
                        <w:left w:val="nil"/>
                        <w:bottom w:val="nil"/>
                        <w:right w:val="nil"/>
                        <w:between w:val="nil"/>
                      </w:pBdr>
                      <w:spacing w:after="120"/>
                      <w:ind w:left="-108"/>
                      <w:jc w:val="left"/>
                      <w:rPr>
                        <w:rFonts w:ascii="Arial" w:eastAsia="Arial" w:hAnsi="Arial"/>
                        <w:b/>
                        <w:sz w:val="24"/>
                        <w:szCs w:val="24"/>
                      </w:rPr>
                    </w:pPr>
                    <w:sdt>
                      <w:sdtPr>
                        <w:tag w:val="goog_rdk_8"/>
                        <w:id w:val="1522587332"/>
                      </w:sdtPr>
                      <w:sdtEndPr/>
                      <w:sdtContent>
                        <w:r w:rsidR="00E876F6">
                          <w:rPr>
                            <w:rFonts w:ascii="Arial" w:eastAsia="Arial" w:hAnsi="Arial"/>
                            <w:b/>
                            <w:sz w:val="24"/>
                            <w:szCs w:val="24"/>
                          </w:rPr>
                          <w:t>“Benchmarked Rates”</w:t>
                        </w:r>
                      </w:sdtContent>
                    </w:sdt>
                  </w:p>
                </w:sdtContent>
              </w:sdt>
            </w:tc>
            <w:tc>
              <w:tcPr>
                <w:tcW w:w="5142" w:type="dxa"/>
                <w:shd w:val="clear" w:color="auto" w:fill="auto"/>
              </w:tcPr>
              <w:sdt>
                <w:sdtPr>
                  <w:tag w:val="goog_rdk_11"/>
                  <w:id w:val="984976516"/>
                </w:sdtPr>
                <w:sdtEndPr/>
                <w:sdtContent>
                  <w:p w:rsidR="00074196" w:rsidRDefault="004279A6">
                    <w:pPr>
                      <w:pBdr>
                        <w:top w:val="nil"/>
                        <w:left w:val="nil"/>
                        <w:bottom w:val="nil"/>
                        <w:right w:val="nil"/>
                        <w:between w:val="nil"/>
                      </w:pBdr>
                      <w:tabs>
                        <w:tab w:val="left" w:pos="175"/>
                      </w:tabs>
                      <w:spacing w:after="120"/>
                      <w:jc w:val="left"/>
                      <w:rPr>
                        <w:rFonts w:ascii="Arial" w:eastAsia="Arial" w:hAnsi="Arial"/>
                        <w:sz w:val="24"/>
                        <w:szCs w:val="24"/>
                      </w:rPr>
                    </w:pPr>
                    <w:sdt>
                      <w:sdtPr>
                        <w:tag w:val="goog_rdk_10"/>
                        <w:id w:val="941112841"/>
                      </w:sdtPr>
                      <w:sdtEndPr/>
                      <w:sdtContent>
                        <w:r w:rsidR="00E876F6">
                          <w:rPr>
                            <w:rFonts w:ascii="Arial" w:eastAsia="Arial" w:hAnsi="Arial"/>
                            <w:sz w:val="24"/>
                            <w:szCs w:val="24"/>
                          </w:rPr>
                          <w:t>the charges for the Benchmarked Deliverables</w:t>
                        </w:r>
                      </w:sdtContent>
                    </w:sdt>
                  </w:p>
                </w:sdtContent>
              </w:sdt>
            </w:tc>
          </w:tr>
        </w:sdtContent>
      </w:sdt>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the Charges for Comparable Deliverables;</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that the Benchmarked Rates are within the Upper Quartile; and</w:t>
            </w:r>
          </w:p>
        </w:tc>
      </w:tr>
      <w:tr w:rsidR="00074196">
        <w:tc>
          <w:tcPr>
            <w:tcW w:w="2900" w:type="dxa"/>
            <w:shd w:val="clear" w:color="auto" w:fill="auto"/>
          </w:tcPr>
          <w:p w:rsidR="00074196" w:rsidRDefault="00E876F6">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p w:rsidR="00074196" w:rsidRDefault="00074196">
            <w:pPr>
              <w:rPr>
                <w:rFonts w:ascii="Arial" w:eastAsia="Arial" w:hAnsi="Arial"/>
                <w:sz w:val="24"/>
                <w:szCs w:val="24"/>
              </w:rPr>
            </w:pPr>
          </w:p>
          <w:p w:rsidR="00074196" w:rsidRDefault="00074196">
            <w:pPr>
              <w:rPr>
                <w:rFonts w:ascii="Arial" w:eastAsia="Arial" w:hAnsi="Arial"/>
                <w:sz w:val="24"/>
                <w:szCs w:val="24"/>
              </w:rPr>
            </w:pPr>
          </w:p>
          <w:p w:rsidR="00074196" w:rsidRDefault="00074196">
            <w:pPr>
              <w:rPr>
                <w:rFonts w:ascii="Arial" w:eastAsia="Arial" w:hAnsi="Arial"/>
                <w:sz w:val="24"/>
                <w:szCs w:val="24"/>
              </w:rPr>
            </w:pPr>
          </w:p>
          <w:p w:rsidR="00074196" w:rsidRDefault="00074196">
            <w:pPr>
              <w:jc w:val="center"/>
              <w:rPr>
                <w:rFonts w:ascii="Arial" w:eastAsia="Arial" w:hAnsi="Arial"/>
                <w:sz w:val="24"/>
                <w:szCs w:val="24"/>
              </w:rPr>
            </w:pPr>
          </w:p>
        </w:tc>
        <w:tc>
          <w:tcPr>
            <w:tcW w:w="5142" w:type="dxa"/>
            <w:shd w:val="clear" w:color="auto" w:fill="auto"/>
          </w:tcPr>
          <w:p w:rsidR="00074196" w:rsidRDefault="00E876F6">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lastRenderedPageBreak/>
              <w:t xml:space="preserve">in respect of Benchmarked Rates, </w:t>
            </w:r>
            <w:sdt>
              <w:sdtPr>
                <w:tag w:val="goog_rdk_12"/>
                <w:id w:val="-1579749054"/>
                <w:showingPlcHdr/>
              </w:sdtPr>
              <w:sdtEndPr/>
              <w:sdtContent>
                <w:r w:rsidR="001B69CD">
                  <w:t xml:space="preserve">     </w:t>
                </w:r>
              </w:sdtContent>
            </w:sdt>
            <w:r>
              <w:rPr>
                <w:rFonts w:ascii="Arial" w:eastAsia="Arial" w:hAnsi="Arial"/>
                <w:sz w:val="24"/>
                <w:szCs w:val="24"/>
              </w:rPr>
              <w:t xml:space="preserve">based on an analysis of Equivalent Data, the Benchmarked Rates, as compared to the range of prices for Comparable Deliverables, </w:t>
            </w:r>
            <w:r>
              <w:rPr>
                <w:rFonts w:ascii="Arial" w:eastAsia="Arial" w:hAnsi="Arial"/>
                <w:sz w:val="24"/>
                <w:szCs w:val="24"/>
              </w:rPr>
              <w:lastRenderedPageBreak/>
              <w:t>are within the top 25% in terms of best value for money for the recipients of Comparable Deliverables.</w:t>
            </w:r>
          </w:p>
        </w:tc>
      </w:tr>
    </w:tbl>
    <w:p w:rsidR="00074196" w:rsidRDefault="00E876F6">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074196" w:rsidRDefault="00E876F6">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074196" w:rsidRDefault="00E876F6">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74196" w:rsidRDefault="00E876F6">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of a Cost.</w:t>
      </w:r>
    </w:p>
    <w:p w:rsidR="00074196" w:rsidRDefault="00E876F6">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074196" w:rsidRDefault="00E876F6">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How benchmarking works</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Deliverables that are to be the Benchmarked Deliverables will be identified by the Buyer in writing.</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w:t>
      </w:r>
      <w:sdt>
        <w:sdtPr>
          <w:tag w:val="goog_rdk_13"/>
          <w:id w:val="-686903980"/>
          <w:showingPlcHdr/>
        </w:sdtPr>
        <w:sdtEndPr/>
        <w:sdtContent>
          <w:r w:rsidR="001B69CD">
            <w:t xml:space="preserve">     </w:t>
          </w:r>
        </w:sdtContent>
      </w:sdt>
      <w:sdt>
        <w:sdtPr>
          <w:tag w:val="goog_rdk_14"/>
          <w:id w:val="-852871831"/>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sdt>
        <w:sdtPr>
          <w:tag w:val="goog_rdk_15"/>
          <w:id w:val="1562753361"/>
          <w:showingPlcHdr/>
        </w:sdtPr>
        <w:sdtEndPr/>
        <w:sdtContent>
          <w:r w:rsidR="001B69CD">
            <w:t xml:space="preserve">     </w:t>
          </w:r>
        </w:sdtContent>
      </w:sdt>
      <w:sdt>
        <w:sdtPr>
          <w:tag w:val="goog_rdk_16"/>
          <w:id w:val="-1198767319"/>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If the Parties cannot agree the appointment within twenty (20) days of the initial request for Benchmark review then a </w:t>
      </w:r>
      <w:sdt>
        <w:sdtPr>
          <w:tag w:val="goog_rdk_17"/>
          <w:id w:val="-938218531"/>
          <w:showingPlcHdr/>
        </w:sdtPr>
        <w:sdtEndPr/>
        <w:sdtContent>
          <w:r w:rsidR="001B69CD">
            <w:t xml:space="preserve">     </w:t>
          </w:r>
        </w:sdtContent>
      </w:sdt>
      <w:sdt>
        <w:sdtPr>
          <w:tag w:val="goog_rdk_18"/>
          <w:id w:val="-305936280"/>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 be selected by the Chartered Institute of Financial Accountants. </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cost of a </w:t>
      </w:r>
      <w:sdt>
        <w:sdtPr>
          <w:tag w:val="goog_rdk_19"/>
          <w:id w:val="-1352029803"/>
          <w:showingPlcHdr/>
        </w:sdtPr>
        <w:sdtEndPr/>
        <w:sdtContent>
          <w:r w:rsidR="001B69CD">
            <w:t xml:space="preserve">     </w:t>
          </w:r>
        </w:sdtContent>
      </w:sdt>
      <w:sdt>
        <w:sdtPr>
          <w:tag w:val="goog_rdk_20"/>
          <w:id w:val="779383203"/>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 be borne by the Buyer (provided that each Party shall bear its own internal costs of the Benchmark Review) except where the Benchmark Review </w:t>
      </w:r>
      <w:r>
        <w:rPr>
          <w:rFonts w:ascii="Arial" w:eastAsia="Arial" w:hAnsi="Arial"/>
          <w:color w:val="000000"/>
          <w:sz w:val="24"/>
          <w:szCs w:val="24"/>
        </w:rPr>
        <w:lastRenderedPageBreak/>
        <w:t xml:space="preserve">demonstrates that the Benchmarked Service and/or the Benchmarked Deliverables are not Good Value, in which case the Parties shall share the cost of the </w:t>
      </w:r>
      <w:sdt>
        <w:sdtPr>
          <w:tag w:val="goog_rdk_21"/>
          <w:id w:val="-436591705"/>
          <w:showingPlcHdr/>
        </w:sdtPr>
        <w:sdtEndPr/>
        <w:sdtContent>
          <w:r w:rsidR="001B69CD">
            <w:t xml:space="preserve">     </w:t>
          </w:r>
        </w:sdtContent>
      </w:sdt>
      <w:sdt>
        <w:sdtPr>
          <w:tag w:val="goog_rdk_22"/>
          <w:id w:val="175080095"/>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in such proportions as the Parties agree (acting reasonably). Invoices by the </w:t>
      </w:r>
      <w:sdt>
        <w:sdtPr>
          <w:tag w:val="goog_rdk_23"/>
          <w:id w:val="1545339928"/>
          <w:showingPlcHdr/>
        </w:sdtPr>
        <w:sdtEndPr/>
        <w:sdtContent>
          <w:r w:rsidR="001B69CD">
            <w:t xml:space="preserve">     </w:t>
          </w:r>
        </w:sdtContent>
      </w:sdt>
      <w:sdt>
        <w:sdtPr>
          <w:tag w:val="goog_rdk_24"/>
          <w:id w:val="1327862454"/>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 be raised against the Supplier and the relevant portion shall be reimbursed by the Buyer.</w:t>
      </w:r>
    </w:p>
    <w:p w:rsidR="00074196" w:rsidRDefault="00E876F6">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Benchmarking Process</w:t>
      </w:r>
    </w:p>
    <w:p w:rsidR="00074196" w:rsidRDefault="00E876F6">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 xml:space="preserve">The </w:t>
      </w:r>
      <w:sdt>
        <w:sdtPr>
          <w:tag w:val="goog_rdk_25"/>
          <w:id w:val="-1172331186"/>
          <w:showingPlcHdr/>
        </w:sdtPr>
        <w:sdtEndPr/>
        <w:sdtContent>
          <w:r w:rsidR="001B69CD">
            <w:t xml:space="preserve">     </w:t>
          </w:r>
        </w:sdtContent>
      </w:sdt>
      <w:sdt>
        <w:sdtPr>
          <w:tag w:val="goog_rdk_26"/>
          <w:id w:val="65457691"/>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 produce and send to the Buyer, for Approval, a draft plan for the Benchmark Review which must include:</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w:t>
      </w:r>
      <w:sdt>
        <w:sdtPr>
          <w:tag w:val="goog_rdk_27"/>
          <w:id w:val="1541466390"/>
          <w:showingPlcHdr/>
        </w:sdtPr>
        <w:sdtEndPr/>
        <w:sdtContent>
          <w:r w:rsidR="001B69CD">
            <w:t xml:space="preserve">     </w:t>
          </w:r>
        </w:sdtContent>
      </w:sdt>
      <w:sdt>
        <w:sdtPr>
          <w:tag w:val="goog_rdk_28"/>
          <w:id w:val="1766419572"/>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will scope and identify the Comparison Group. </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w:t>
      </w:r>
      <w:sdt>
        <w:sdtPr>
          <w:tag w:val="goog_rdk_29"/>
          <w:id w:val="75794344"/>
          <w:showingPlcHdr/>
        </w:sdtPr>
        <w:sdtEndPr/>
        <w:sdtContent>
          <w:r w:rsidR="001B69CD">
            <w:t xml:space="preserve">     </w:t>
          </w:r>
        </w:sdtContent>
      </w:sdt>
      <w:sdt>
        <w:sdtPr>
          <w:tag w:val="goog_rdk_30"/>
          <w:id w:val="-1704849280"/>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acting reasonably, shall be entitled to use any model to determine the achievement of value for money and to carry out the benchmarking. </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The Buyer must give notice in writing to the Supplier within ten (10) Working Days after receiving the draft plan, advising the </w:t>
      </w:r>
      <w:sdt>
        <w:sdtPr>
          <w:tag w:val="goog_rdk_31"/>
          <w:id w:val="1542246962"/>
          <w:showingPlcHdr/>
        </w:sdtPr>
        <w:sdtEndPr/>
        <w:sdtContent>
          <w:r w:rsidR="001B69CD">
            <w:t xml:space="preserve">     </w:t>
          </w:r>
        </w:sdtContent>
      </w:sdt>
      <w:sdt>
        <w:sdtPr>
          <w:tag w:val="goog_rdk_32"/>
          <w:id w:val="759955909"/>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and the Supplier whether it Approves the draft plan, or, if it does not approve the draft plan, suggesting amendments to that plan (which must be reasonable). If amendments are suggested then the </w:t>
      </w:r>
      <w:sdt>
        <w:sdtPr>
          <w:tag w:val="goog_rdk_33"/>
          <w:id w:val="455523518"/>
          <w:showingPlcHdr/>
        </w:sdtPr>
        <w:sdtEndPr/>
        <w:sdtContent>
          <w:r w:rsidR="001B69CD">
            <w:t xml:space="preserve">     </w:t>
          </w:r>
        </w:sdtContent>
      </w:sdt>
      <w:sdt>
        <w:sdtPr>
          <w:tag w:val="goog_rdk_34"/>
          <w:id w:val="533544002"/>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must produce an amended draft plan and this Paragraph 3.2.3 shall apply to any amended draft plan.</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Once both Parties have approved the draft plan then they will notify the </w:t>
      </w:r>
      <w:sdt>
        <w:sdtPr>
          <w:tag w:val="goog_rdk_35"/>
          <w:id w:val="-112978451"/>
          <w:showingPlcHdr/>
        </w:sdtPr>
        <w:sdtEndPr/>
        <w:sdtContent>
          <w:r w:rsidR="001B69CD">
            <w:t xml:space="preserve">     </w:t>
          </w:r>
        </w:sdtContent>
      </w:sdt>
      <w:sdt>
        <w:sdtPr>
          <w:tag w:val="goog_rdk_36"/>
          <w:id w:val="1865931252"/>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No Party may unreasonably withhold or delay its Approval of the draft plan.</w:t>
      </w:r>
    </w:p>
    <w:p w:rsidR="00074196" w:rsidRDefault="00E876F6">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Once it has received the Approval of the draft plan, the </w:t>
      </w:r>
      <w:sdt>
        <w:sdtPr>
          <w:tag w:val="goog_rdk_37"/>
          <w:id w:val="-796073912"/>
          <w:showingPlcHdr/>
        </w:sdtPr>
        <w:sdtEndPr/>
        <w:sdtContent>
          <w:r w:rsidR="001B69CD">
            <w:t xml:space="preserve">     </w:t>
          </w:r>
        </w:sdtContent>
      </w:sdt>
      <w:sdt>
        <w:sdtPr>
          <w:tag w:val="goog_rdk_38"/>
          <w:id w:val="-1835441011"/>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074196" w:rsidRDefault="00E876F6">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market intelligence;</w:t>
      </w:r>
    </w:p>
    <w:p w:rsidR="00074196" w:rsidRDefault="00E876F6">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sdt>
        <w:sdtPr>
          <w:tag w:val="goog_rdk_39"/>
          <w:id w:val="-1030884878"/>
          <w:showingPlcHdr/>
        </w:sdtPr>
        <w:sdtEndPr/>
        <w:sdtContent>
          <w:r w:rsidR="001B69CD">
            <w:t xml:space="preserve">     </w:t>
          </w:r>
        </w:sdtContent>
      </w:sdt>
      <w:sdt>
        <w:sdtPr>
          <w:tag w:val="goog_rdk_40"/>
          <w:id w:val="915667495"/>
        </w:sdtPr>
        <w:sdtEndPr/>
        <w:sdtContent>
          <w:proofErr w:type="spellStart"/>
          <w:r>
            <w:rPr>
              <w:rFonts w:ascii="Arial" w:eastAsia="Arial" w:hAnsi="Arial"/>
              <w:color w:val="000000"/>
              <w:sz w:val="24"/>
              <w:szCs w:val="24"/>
            </w:rPr>
            <w:t>Benchmarker</w:t>
          </w:r>
        </w:sdtContent>
      </w:sdt>
      <w:r>
        <w:rPr>
          <w:rFonts w:ascii="Arial" w:eastAsia="Arial" w:hAnsi="Arial"/>
          <w:color w:val="000000"/>
          <w:sz w:val="24"/>
          <w:szCs w:val="24"/>
        </w:rPr>
        <w:t>’s</w:t>
      </w:r>
      <w:proofErr w:type="spellEnd"/>
      <w:r>
        <w:rPr>
          <w:rFonts w:ascii="Arial" w:eastAsia="Arial" w:hAnsi="Arial"/>
          <w:color w:val="000000"/>
          <w:sz w:val="24"/>
          <w:szCs w:val="24"/>
        </w:rPr>
        <w:t xml:space="preserve"> own data and experience;</w:t>
      </w:r>
    </w:p>
    <w:p w:rsidR="00074196" w:rsidRDefault="00E876F6">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relevant published information; and</w:t>
      </w:r>
    </w:p>
    <w:p w:rsidR="00074196" w:rsidRDefault="00E876F6">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pursuant to Paragraph 3.2.6 </w:t>
      </w:r>
      <w:sdt>
        <w:sdtPr>
          <w:tag w:val="goog_rdk_41"/>
          <w:id w:val="499781617"/>
          <w:showingPlcHdr/>
        </w:sdtPr>
        <w:sdtEndPr/>
        <w:sdtContent>
          <w:r w:rsidR="001B69CD">
            <w:t xml:space="preserve">     </w:t>
          </w:r>
        </w:sdtContent>
      </w:sdt>
      <w:r>
        <w:rPr>
          <w:rFonts w:ascii="Arial" w:eastAsia="Arial" w:hAnsi="Arial"/>
          <w:color w:val="000000"/>
          <w:sz w:val="24"/>
          <w:szCs w:val="24"/>
        </w:rPr>
        <w:t>below, information from other suppliers or purchasers on Comparable Rates;</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 Comparable Rates, derive the Equivalent Data;</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using the Equivalent Data, calculate the Upper Quartile;</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The Supplier shall use all reasonable endeavours and act in good faith to supply information required by the </w:t>
      </w:r>
      <w:sdt>
        <w:sdtPr>
          <w:tag w:val="goog_rdk_42"/>
          <w:id w:val="-794059494"/>
          <w:showingPlcHdr/>
        </w:sdtPr>
        <w:sdtEndPr/>
        <w:sdtContent>
          <w:r w:rsidR="001B69CD">
            <w:t xml:space="preserve">     </w:t>
          </w:r>
        </w:sdtContent>
      </w:sdt>
      <w:sdt>
        <w:sdtPr>
          <w:tag w:val="goog_rdk_43"/>
          <w:id w:val="1613631313"/>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in order to undertake the benchmarking.  The Supplier agrees to use its reasonable endeavours to obtain information from other suppliers or purchasers on Comparable Rates.</w:t>
      </w:r>
    </w:p>
    <w:p w:rsidR="00074196" w:rsidRDefault="00E876F6">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In carrying out the benchmarking analysis the </w:t>
      </w:r>
      <w:sdt>
        <w:sdtPr>
          <w:tag w:val="goog_rdk_44"/>
          <w:id w:val="-214434392"/>
          <w:showingPlcHdr/>
        </w:sdtPr>
        <w:sdtEndPr/>
        <w:sdtContent>
          <w:r w:rsidR="001B69CD">
            <w:t xml:space="preserve">     </w:t>
          </w:r>
        </w:sdtContent>
      </w:sdt>
      <w:sdt>
        <w:sdtPr>
          <w:tag w:val="goog_rdk_45"/>
          <w:id w:val="2064217871"/>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may have regard to the following matters when performing a comparative assessment of the Benchmarked Rates and the Comparable Rates in order to derive Equivalent Data:</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 taken into consideration, could unfairly cause the Supplier's pricing to appear non-competitive.</w:t>
      </w:r>
    </w:p>
    <w:p w:rsidR="00074196" w:rsidRDefault="00E876F6">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rsidR="00074196" w:rsidRDefault="00E876F6">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w:t>
      </w:r>
      <w:sdt>
        <w:sdtPr>
          <w:tag w:val="goog_rdk_46"/>
          <w:id w:val="-592787985"/>
          <w:showingPlcHdr/>
        </w:sdtPr>
        <w:sdtEndPr/>
        <w:sdtContent>
          <w:r w:rsidR="001B69CD">
            <w:t xml:space="preserve">     </w:t>
          </w:r>
        </w:sdtContent>
      </w:sdt>
      <w:sdt>
        <w:sdtPr>
          <w:tag w:val="goog_rdk_47"/>
          <w:id w:val="-833765462"/>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following the Benchmark Review and as further described in this Schedule;</w:t>
      </w:r>
    </w:p>
    <w:p w:rsidR="00074196" w:rsidRDefault="00E876F6">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sdt>
        <w:sdtPr>
          <w:tag w:val="goog_rdk_48"/>
          <w:id w:val="1281536083"/>
          <w:showingPlcHdr/>
        </w:sdtPr>
        <w:sdtEndPr/>
        <w:sdtContent>
          <w:r w:rsidR="001B69CD">
            <w:t xml:space="preserve">     </w:t>
          </w:r>
        </w:sdtContent>
      </w:sdt>
      <w:sdt>
        <w:sdtPr>
          <w:tag w:val="goog_rdk_49"/>
          <w:id w:val="-730918131"/>
        </w:sdtPr>
        <w:sdtEndPr/>
        <w:sdtContent>
          <w:proofErr w:type="spellStart"/>
          <w:r>
            <w:rPr>
              <w:rFonts w:ascii="Arial" w:eastAsia="Arial" w:hAnsi="Arial"/>
              <w:color w:val="000000"/>
              <w:sz w:val="24"/>
              <w:szCs w:val="24"/>
            </w:rPr>
            <w:t>Benchmarker</w:t>
          </w:r>
          <w:proofErr w:type="spellEnd"/>
        </w:sdtContent>
      </w:sdt>
      <w:r>
        <w:rPr>
          <w:rFonts w:ascii="Arial" w:eastAsia="Arial" w:hAnsi="Arial"/>
          <w:color w:val="000000"/>
          <w:sz w:val="24"/>
          <w:szCs w:val="24"/>
        </w:rPr>
        <w:t xml:space="preserve"> shall prepare a Benchmarking Report and deliver it to the Buyer, at the time specified in the plan Approved pursuant to Paragraph 3.2.3, setting out its findings.  Those findings shall be required to:</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 are, Good Value;</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074196" w:rsidRDefault="00E876F6">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074196" w:rsidRDefault="00E876F6">
      <w:pPr>
        <w:numPr>
          <w:ilvl w:val="2"/>
          <w:numId w:val="1"/>
        </w:numPr>
        <w:pBdr>
          <w:top w:val="nil"/>
          <w:left w:val="nil"/>
          <w:bottom w:val="nil"/>
          <w:right w:val="nil"/>
          <w:between w:val="nil"/>
        </w:pBdr>
        <w:tabs>
          <w:tab w:val="left" w:pos="1985"/>
        </w:tabs>
        <w:spacing w:before="120" w:after="120"/>
        <w:ind w:left="1656"/>
        <w:jc w:val="left"/>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 xml:space="preserve">The Parties agree that any changes required to this Contract identified in the Benchmarking Report shall be implemented at the </w:t>
      </w:r>
      <w:r>
        <w:rPr>
          <w:rFonts w:ascii="Arial" w:eastAsia="Arial" w:hAnsi="Arial"/>
          <w:color w:val="000000"/>
          <w:sz w:val="24"/>
          <w:szCs w:val="24"/>
        </w:rPr>
        <w:lastRenderedPageBreak/>
        <w:t>direction of the Buyer in accordance with Clause 24</w:t>
      </w:r>
      <w:sdt>
        <w:sdtPr>
          <w:tag w:val="goog_rdk_50"/>
          <w:id w:val="506637786"/>
        </w:sdtPr>
        <w:sdtEndPr/>
        <w:sdtContent>
          <w:r>
            <w:rPr>
              <w:rFonts w:ascii="Arial" w:eastAsia="Arial" w:hAnsi="Arial"/>
              <w:color w:val="000000"/>
              <w:sz w:val="24"/>
              <w:szCs w:val="24"/>
            </w:rPr>
            <w:t xml:space="preserve"> of the Core Terms</w:t>
          </w:r>
        </w:sdtContent>
      </w:sdt>
      <w:r>
        <w:rPr>
          <w:rFonts w:ascii="Arial" w:eastAsia="Arial" w:hAnsi="Arial"/>
          <w:color w:val="000000"/>
          <w:sz w:val="24"/>
          <w:szCs w:val="24"/>
        </w:rPr>
        <w:t xml:space="preserve"> (Changing the contract).</w:t>
      </w:r>
    </w:p>
    <w:sectPr w:rsidR="0007419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9A6" w:rsidRDefault="004279A6">
      <w:pPr>
        <w:spacing w:after="0"/>
      </w:pPr>
      <w:r>
        <w:separator/>
      </w:r>
    </w:p>
  </w:endnote>
  <w:endnote w:type="continuationSeparator" w:id="0">
    <w:p w:rsidR="004279A6" w:rsidRDefault="00427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196" w:rsidRDefault="00E876F6">
    <w:pPr>
      <w:tabs>
        <w:tab w:val="center" w:pos="4513"/>
        <w:tab w:val="right" w:pos="9026"/>
      </w:tabs>
      <w:spacing w:after="0"/>
      <w:rPr>
        <w:rFonts w:ascii="Arial" w:eastAsia="Arial" w:hAnsi="Arial"/>
        <w:sz w:val="20"/>
        <w:szCs w:val="20"/>
      </w:rPr>
    </w:pPr>
    <w:r>
      <w:rPr>
        <w:rFonts w:ascii="Arial" w:eastAsia="Arial" w:hAnsi="Arial"/>
        <w:sz w:val="20"/>
        <w:szCs w:val="20"/>
      </w:rPr>
      <w:t>Framework Ref: RM6345</w:t>
    </w:r>
  </w:p>
  <w:p w:rsidR="00074196" w:rsidRDefault="00E876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w:t>
    </w:r>
    <w:r w:rsidR="001B69CD">
      <w:rPr>
        <w:rFonts w:ascii="Arial" w:eastAsia="Arial" w:hAnsi="Arial"/>
        <w:color w:val="000000"/>
        <w:sz w:val="20"/>
        <w:szCs w:val="20"/>
      </w:rPr>
      <w:t>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1B69CD">
      <w:rPr>
        <w:rFonts w:ascii="Arial" w:eastAsia="Arial" w:hAnsi="Arial"/>
        <w:noProof/>
        <w:color w:val="000000"/>
        <w:sz w:val="20"/>
        <w:szCs w:val="20"/>
      </w:rPr>
      <w:t>1</w:t>
    </w:r>
    <w:r>
      <w:rPr>
        <w:rFonts w:ascii="Arial" w:eastAsia="Arial" w:hAnsi="Arial"/>
        <w:color w:val="000000"/>
        <w:sz w:val="20"/>
        <w:szCs w:val="20"/>
      </w:rPr>
      <w:fldChar w:fldCharType="end"/>
    </w:r>
  </w:p>
  <w:p w:rsidR="00074196" w:rsidRDefault="00E876F6">
    <w:pPr>
      <w:tabs>
        <w:tab w:val="center" w:pos="4513"/>
        <w:tab w:val="right" w:pos="9026"/>
      </w:tabs>
      <w:spacing w:after="0"/>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196" w:rsidRDefault="00E876F6">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074196" w:rsidRDefault="00E876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074196" w:rsidRDefault="00E876F6">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9A6" w:rsidRDefault="004279A6">
      <w:pPr>
        <w:spacing w:after="0"/>
      </w:pPr>
      <w:r>
        <w:separator/>
      </w:r>
    </w:p>
  </w:footnote>
  <w:footnote w:type="continuationSeparator" w:id="0">
    <w:p w:rsidR="004279A6" w:rsidRDefault="00427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196" w:rsidRDefault="00E876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074196" w:rsidRDefault="00E876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074196" w:rsidRDefault="00E876F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196" w:rsidRDefault="00E876F6">
    <w:pPr>
      <w:pBdr>
        <w:top w:val="nil"/>
        <w:left w:val="nil"/>
        <w:bottom w:val="nil"/>
        <w:right w:val="nil"/>
        <w:between w:val="nil"/>
      </w:pBdr>
      <w:tabs>
        <w:tab w:val="center" w:pos="4513"/>
        <w:tab w:val="right" w:pos="9026"/>
      </w:tabs>
      <w:spacing w:after="0"/>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5451"/>
    <w:multiLevelType w:val="multilevel"/>
    <w:tmpl w:val="D634033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4C23E71"/>
    <w:multiLevelType w:val="multilevel"/>
    <w:tmpl w:val="463035F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96"/>
    <w:rsid w:val="00074196"/>
    <w:rsid w:val="001B69CD"/>
    <w:rsid w:val="004279A6"/>
    <w:rsid w:val="005F30DD"/>
    <w:rsid w:val="00E8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CDB2A-DB6E-46BF-97E4-E5C19060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25coBHG6EbymQRK6OjKcmykhQ==">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yNIgBAZoBBggAEAAYALABALgBARjaworK9TEg2sKKyvUxMABCNnN1Z2dlc3RJZEltcG9ydGE0NWQ5MTA4LTk4NmUtNDdhMi1hYmZmLTY0NzJiZjk3ZGFiZF8yNCLaAwoLQUFBQk1RdWFVMmcSggMKC0FBQUJNUXVhVTJnEgtBQUFCTVF1YVUyZxoNCgl0ZXh0L2h0bWwSACIOCgp0ZXh0L3BsYWluEgAqRwoOQmFsamluZGVyIFNhbGwaNS8vc3NsLmdzdGF0aWMuY29tL2RvY3MvY29tbW9uL2JsdWVfc2lsaG91ZXR0ZTk2LTAucG5nMNnCisr1MTjZ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zM4gBAZoBBggAEAAYALABALgBARjZworK9TEg2cKKyvUxMABCNnN1Z2dlc3RJZEltcG9ydGE0NWQ5MTA4LTk4NmUtNDdhMi1hYmZmLTY0NzJiZjk3ZGFiZF8zMyLaAwoLQUFBQk1RdWFVM2cSggMKC0FBQUJNUXVhVTNnEgtBQUFCTVF1YVUzZxoNCgl0ZXh0L2h0bWwSACIOCgp0ZXh0L3BsYWluEgAqRwoOQmFsamluZGVyIFNhbGwaNS8vc3NsLmdzdGF0aWMuY29tL2RvY3MvY29tbW9uL2JsdWVfc2lsaG91ZXR0ZTk2LTAucG5nMNvCisr1MTjb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xNIgBAZoBBggAEAAYALABALgBARjbworK9TEg28KKyvUxMABCNnN1Z2dlc3RJZEltcG9ydGE0NWQ5MTA4LTk4NmUtNDdhMi1hYmZmLTY0NzJiZjk3ZGFiZF8xNCLaAwoLQUFBQk1RdWFVM00SggMKC0FBQUJNUXVhVTNNEgtBQUFCTVF1YVUzTR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zMIgBAZoBBggAEAAYALABALgBARjaworK9TEg2sKKyvUxMABCNnN1Z2dlc3RJZEltcG9ydGE0NWQ5MTA4LTk4NmUtNDdhMi1hYmZmLTY0NzJiZjk3ZGFiZF8zMCLaAwoLQUFBQk1RdWFVMmsSggMKC0FBQUJNUXVhVTJrEgtBQUFCTVF1YVUyax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zNYgBAZoBBggAEAAYALABALgBARjaworK9TEg2sKKyvUxMABCNnN1Z2dlc3RJZEltcG9ydGE0NWQ5MTA4LTk4NmUtNDdhMi1hYmZmLTY0NzJiZjk3ZGFiZF8zNSLaAwoLQUFBQk1RdWFVM2sSggMKC0FBQUJNUXVhVTNrEgtBQUFCTVF1YVUzaxoNCgl0ZXh0L2h0bWwSACIOCgp0ZXh0L3BsYWluEgAqRwoOQmFsamluZGVyIFNhbGwaNS8vc3NsLmdzdGF0aWMuY29tL2RvY3MvY29tbW9uL2JsdWVfc2lsaG91ZXR0ZTk2LTAucG5nMNvCisr1MTjb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xMogBAZoBBggAEAAYALABALgBARjbworK9TEg28KKyvUxMABCNnN1Z2dlc3RJZEltcG9ydGE0NWQ5MTA4LTk4NmUtNDdhMi1hYmZmLTY0NzJiZjk3ZGFiZF8xMiLaAwoLQUFBQk1RdWFVM1ESggMKC0FBQUJNUXVhVTNREgtBQUFCTVF1YVUzUR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nN1Z2dlc3RJZEltcG9ydGE0NWQ5MTA4LTk4NmUtNDdhMi1hYmZmLTY0NzJiZjk3ZGFiZF8yMogBAZoBBggAEAAYALABALgBARjaworK9TEg2sKKyvUxMABCNnN1Z2dlc3RJZEltcG9ydGE0NWQ5MTA4LTk4NmUtNDdhMi1hYmZmLTY0NzJiZjk3ZGFiZF8yMiLYAwoLQUFBQk1RdWFVMjASgQMKC0FBQUJNUXVhVTIwEgtBQUFCTVF1YVUyMB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Sall</dc:creator>
  <cp:lastModifiedBy>Josh Kendal</cp:lastModifiedBy>
  <cp:revision>2</cp:revision>
  <dcterms:created xsi:type="dcterms:W3CDTF">2024-05-16T13:33:00Z</dcterms:created>
  <dcterms:modified xsi:type="dcterms:W3CDTF">2024-05-16T13:33:00Z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