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0A0" w:rsidRDefault="003B2083">
      <w:pPr>
        <w:spacing w:after="240" w:line="240" w:lineRule="auto"/>
        <w:ind w:left="142" w:right="394"/>
        <w:rPr>
          <w:rFonts w:ascii="Arial" w:eastAsia="Arial" w:hAnsi="Arial" w:cs="Arial"/>
          <w:b/>
          <w:sz w:val="36"/>
          <w:szCs w:val="36"/>
        </w:rPr>
      </w:pPr>
      <w:bookmarkStart w:id="0" w:name="_heading=h.gjdgxs" w:colFirst="0" w:colLast="0"/>
      <w:bookmarkStart w:id="1" w:name="_GoBack"/>
      <w:bookmarkEnd w:id="0"/>
      <w:bookmarkEnd w:id="1"/>
      <w:r>
        <w:rPr>
          <w:rFonts w:ascii="Arial" w:eastAsia="Arial" w:hAnsi="Arial" w:cs="Arial"/>
          <w:b/>
          <w:sz w:val="36"/>
          <w:szCs w:val="36"/>
        </w:rPr>
        <w:t>Call-Off Schedule 23 (HMRC Terms)</w:t>
      </w:r>
    </w:p>
    <w:p w:rsidR="00EE20A0" w:rsidRDefault="003B2083">
      <w:pPr>
        <w:pStyle w:val="Heading2"/>
        <w:keepNext w:val="0"/>
        <w:keepLines w:val="0"/>
        <w:numPr>
          <w:ilvl w:val="0"/>
          <w:numId w:val="1"/>
        </w:numPr>
        <w:pBdr>
          <w:top w:val="nil"/>
          <w:left w:val="nil"/>
          <w:bottom w:val="nil"/>
          <w:right w:val="nil"/>
          <w:between w:val="nil"/>
        </w:pBdr>
        <w:spacing w:before="0" w:after="240" w:line="240" w:lineRule="auto"/>
        <w:ind w:left="0" w:firstLine="0"/>
        <w:jc w:val="both"/>
        <w:rPr>
          <w:rFonts w:ascii="Arial" w:eastAsia="Arial" w:hAnsi="Arial" w:cs="Arial"/>
          <w:b/>
          <w:color w:val="000000"/>
          <w:sz w:val="24"/>
          <w:szCs w:val="24"/>
        </w:rPr>
      </w:pPr>
      <w:r>
        <w:rPr>
          <w:rFonts w:ascii="Arial" w:eastAsia="Arial" w:hAnsi="Arial" w:cs="Arial"/>
          <w:b/>
          <w:color w:val="000000"/>
          <w:sz w:val="24"/>
          <w:szCs w:val="24"/>
        </w:rPr>
        <w:t xml:space="preserve">Definitions </w:t>
      </w:r>
    </w:p>
    <w:p w:rsidR="00EE20A0" w:rsidRDefault="003B2083">
      <w:pPr>
        <w:keepNext/>
        <w:numPr>
          <w:ilvl w:val="1"/>
          <w:numId w:val="1"/>
        </w:numPr>
        <w:pBdr>
          <w:top w:val="nil"/>
          <w:left w:val="nil"/>
          <w:bottom w:val="nil"/>
          <w:right w:val="nil"/>
          <w:between w:val="nil"/>
        </w:pBdr>
        <w:tabs>
          <w:tab w:val="left" w:pos="993"/>
        </w:tabs>
        <w:spacing w:after="24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have the following meanings and they shall supplement Joint Schedule 1 (Definitions):</w:t>
      </w:r>
    </w:p>
    <w:tbl>
      <w:tblPr>
        <w:tblStyle w:val="a"/>
        <w:tblW w:w="891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2"/>
        <w:gridCol w:w="6626"/>
      </w:tblGrid>
      <w:tr w:rsidR="00EE20A0" w:rsidTr="000E7772">
        <w:tc>
          <w:tcPr>
            <w:tcW w:w="2292" w:type="dxa"/>
          </w:tcPr>
          <w:p w:rsidR="00EE20A0" w:rsidRDefault="003B2083">
            <w:pPr>
              <w:spacing w:after="240" w:line="240" w:lineRule="auto"/>
              <w:ind w:left="209"/>
              <w:rPr>
                <w:rFonts w:ascii="Arial" w:eastAsia="Arial" w:hAnsi="Arial" w:cs="Arial"/>
                <w:b/>
                <w:sz w:val="24"/>
                <w:szCs w:val="24"/>
              </w:rPr>
            </w:pPr>
            <w:r>
              <w:rPr>
                <w:rFonts w:ascii="Arial" w:eastAsia="Arial" w:hAnsi="Arial" w:cs="Arial"/>
                <w:b/>
                <w:sz w:val="24"/>
                <w:szCs w:val="24"/>
              </w:rPr>
              <w:t>“Connected Company”</w:t>
            </w:r>
          </w:p>
        </w:tc>
        <w:tc>
          <w:tcPr>
            <w:tcW w:w="6626" w:type="dxa"/>
          </w:tcPr>
          <w:p w:rsidR="00EE20A0" w:rsidRDefault="003B2083">
            <w:pPr>
              <w:spacing w:after="0" w:line="240" w:lineRule="auto"/>
              <w:jc w:val="both"/>
              <w:rPr>
                <w:rFonts w:ascii="Arial" w:eastAsia="Arial" w:hAnsi="Arial" w:cs="Arial"/>
                <w:sz w:val="24"/>
                <w:szCs w:val="24"/>
              </w:rPr>
            </w:pPr>
            <w:r>
              <w:rPr>
                <w:rFonts w:ascii="Arial" w:eastAsia="Arial" w:hAnsi="Arial" w:cs="Arial"/>
                <w:sz w:val="24"/>
                <w:szCs w:val="24"/>
              </w:rPr>
              <w:t>in relation to a company, entity or other person, the Affiliates of that company, entity or other person or any other person associated with such company, entity or other person;</w:t>
            </w:r>
          </w:p>
          <w:p w:rsidR="00EE20A0" w:rsidRDefault="00EE20A0">
            <w:pPr>
              <w:spacing w:after="240" w:line="240" w:lineRule="auto"/>
              <w:jc w:val="both"/>
              <w:rPr>
                <w:rFonts w:ascii="Arial" w:eastAsia="Arial" w:hAnsi="Arial" w:cs="Arial"/>
                <w:sz w:val="24"/>
                <w:szCs w:val="24"/>
              </w:rPr>
            </w:pPr>
          </w:p>
        </w:tc>
      </w:tr>
      <w:tr w:rsidR="00EE20A0" w:rsidTr="000E7772">
        <w:tc>
          <w:tcPr>
            <w:tcW w:w="2292" w:type="dxa"/>
          </w:tcPr>
          <w:p w:rsidR="00EE20A0" w:rsidRDefault="003B2083">
            <w:pPr>
              <w:spacing w:after="240" w:line="240" w:lineRule="auto"/>
              <w:ind w:left="209"/>
              <w:rPr>
                <w:rFonts w:ascii="Arial" w:eastAsia="Arial" w:hAnsi="Arial" w:cs="Arial"/>
                <w:b/>
                <w:sz w:val="24"/>
                <w:szCs w:val="24"/>
              </w:rPr>
            </w:pPr>
            <w:r>
              <w:rPr>
                <w:rFonts w:ascii="Arial" w:eastAsia="Arial" w:hAnsi="Arial" w:cs="Arial"/>
                <w:b/>
                <w:sz w:val="24"/>
                <w:szCs w:val="24"/>
              </w:rPr>
              <w:t>“Control”</w:t>
            </w:r>
          </w:p>
        </w:tc>
        <w:tc>
          <w:tcPr>
            <w:tcW w:w="6626" w:type="dxa"/>
          </w:tcPr>
          <w:p w:rsidR="00EE20A0" w:rsidRDefault="003B2083">
            <w:pPr>
              <w:spacing w:after="0" w:line="240" w:lineRule="auto"/>
              <w:jc w:val="both"/>
              <w:rPr>
                <w:rFonts w:ascii="Arial" w:eastAsia="Arial" w:hAnsi="Arial" w:cs="Arial"/>
                <w:sz w:val="24"/>
                <w:szCs w:val="24"/>
              </w:rPr>
            </w:pPr>
            <w:r>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rsidR="00EE20A0" w:rsidRDefault="00EE20A0">
            <w:pPr>
              <w:spacing w:after="240" w:line="240" w:lineRule="auto"/>
              <w:jc w:val="both"/>
              <w:rPr>
                <w:rFonts w:ascii="Arial" w:eastAsia="Arial" w:hAnsi="Arial" w:cs="Arial"/>
                <w:sz w:val="24"/>
                <w:szCs w:val="24"/>
              </w:rPr>
            </w:pPr>
          </w:p>
        </w:tc>
      </w:tr>
      <w:tr w:rsidR="00EE20A0" w:rsidTr="000E7772">
        <w:tc>
          <w:tcPr>
            <w:tcW w:w="2292" w:type="dxa"/>
          </w:tcPr>
          <w:p w:rsidR="00EE20A0" w:rsidRDefault="003B2083">
            <w:pPr>
              <w:spacing w:after="240" w:line="240" w:lineRule="auto"/>
              <w:ind w:left="209"/>
              <w:rPr>
                <w:rFonts w:ascii="Arial" w:eastAsia="Arial" w:hAnsi="Arial" w:cs="Arial"/>
                <w:b/>
                <w:sz w:val="24"/>
                <w:szCs w:val="24"/>
              </w:rPr>
            </w:pPr>
            <w:r>
              <w:rPr>
                <w:rFonts w:ascii="Arial" w:eastAsia="Arial" w:hAnsi="Arial" w:cs="Arial"/>
                <w:b/>
                <w:sz w:val="24"/>
                <w:szCs w:val="24"/>
              </w:rPr>
              <w:t>“Prohibited Transaction”</w:t>
            </w:r>
          </w:p>
        </w:tc>
        <w:tc>
          <w:tcPr>
            <w:tcW w:w="6626" w:type="dxa"/>
          </w:tcPr>
          <w:p w:rsidR="00EE20A0" w:rsidRDefault="003B2083">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rsidR="00EE20A0" w:rsidRDefault="00EE20A0">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rsidR="00EE20A0" w:rsidRDefault="003B2083">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which would be payable by any Key Subcontractor and its Connected Companies on or in connection with payments made by or on behalf of the Supplier under or pursuant to the applicable Key Subcontract,</w:t>
            </w:r>
          </w:p>
          <w:p w:rsidR="00EE20A0" w:rsidRDefault="00EE20A0">
            <w:pPr>
              <w:pBdr>
                <w:top w:val="nil"/>
                <w:left w:val="nil"/>
                <w:bottom w:val="nil"/>
                <w:right w:val="nil"/>
                <w:between w:val="nil"/>
              </w:pBdr>
              <w:ind w:left="720"/>
              <w:rPr>
                <w:rFonts w:ascii="Arial" w:eastAsia="Arial" w:hAnsi="Arial" w:cs="Arial"/>
                <w:color w:val="000000"/>
                <w:sz w:val="24"/>
                <w:szCs w:val="24"/>
              </w:rPr>
            </w:pPr>
          </w:p>
          <w:p w:rsidR="00EE20A0" w:rsidRDefault="003B2083">
            <w:pPr>
              <w:spacing w:after="240" w:line="240" w:lineRule="auto"/>
              <w:jc w:val="both"/>
              <w:rPr>
                <w:rFonts w:ascii="Arial" w:eastAsia="Arial" w:hAnsi="Arial" w:cs="Arial"/>
                <w:sz w:val="24"/>
                <w:szCs w:val="24"/>
              </w:rPr>
            </w:pPr>
            <w:r>
              <w:rPr>
                <w:rFonts w:ascii="Arial" w:eastAsia="Arial" w:hAnsi="Arial" w:cs="Arial"/>
                <w:sz w:val="24"/>
                <w:szCs w:val="24"/>
              </w:rPr>
              <w:t>other than transactions made between the Supplier and its Connected Companies or a Key Subcontractor and its Connected Companies on terms which are at arms-length and are entered into in the ordinary course of the transacting parties’ business;</w:t>
            </w:r>
          </w:p>
          <w:p w:rsidR="00EE20A0" w:rsidRDefault="00EE20A0">
            <w:pPr>
              <w:spacing w:after="240" w:line="240" w:lineRule="auto"/>
              <w:jc w:val="both"/>
              <w:rPr>
                <w:rFonts w:ascii="Arial" w:eastAsia="Arial" w:hAnsi="Arial" w:cs="Arial"/>
                <w:sz w:val="24"/>
                <w:szCs w:val="24"/>
              </w:rPr>
            </w:pPr>
          </w:p>
        </w:tc>
      </w:tr>
      <w:tr w:rsidR="00EE20A0" w:rsidTr="000E7772">
        <w:tc>
          <w:tcPr>
            <w:tcW w:w="2292" w:type="dxa"/>
          </w:tcPr>
          <w:p w:rsidR="00EE20A0" w:rsidRDefault="003B2083">
            <w:pPr>
              <w:spacing w:after="240" w:line="240" w:lineRule="auto"/>
              <w:ind w:left="209"/>
              <w:rPr>
                <w:rFonts w:ascii="Arial" w:eastAsia="Arial" w:hAnsi="Arial" w:cs="Arial"/>
                <w:b/>
                <w:sz w:val="24"/>
                <w:szCs w:val="24"/>
              </w:rPr>
            </w:pPr>
            <w:r>
              <w:rPr>
                <w:rFonts w:ascii="Arial" w:eastAsia="Arial" w:hAnsi="Arial" w:cs="Arial"/>
                <w:b/>
                <w:sz w:val="24"/>
                <w:szCs w:val="24"/>
              </w:rPr>
              <w:t>“Purchase Order Number” </w:t>
            </w:r>
          </w:p>
        </w:tc>
        <w:tc>
          <w:tcPr>
            <w:tcW w:w="6626" w:type="dxa"/>
          </w:tcPr>
          <w:p w:rsidR="00EE20A0" w:rsidRDefault="003B2083">
            <w:pPr>
              <w:spacing w:after="240" w:line="240" w:lineRule="auto"/>
              <w:rPr>
                <w:rFonts w:ascii="Arial" w:eastAsia="Arial" w:hAnsi="Arial" w:cs="Arial"/>
                <w:sz w:val="24"/>
                <w:szCs w:val="24"/>
              </w:rPr>
            </w:pPr>
            <w:r>
              <w:rPr>
                <w:rFonts w:ascii="Arial" w:eastAsia="Arial" w:hAnsi="Arial" w:cs="Arial"/>
                <w:sz w:val="24"/>
                <w:szCs w:val="24"/>
              </w:rPr>
              <w:t>the Buyer’s unique number relating to the supply of the Deliverables;  </w:t>
            </w:r>
          </w:p>
        </w:tc>
      </w:tr>
      <w:tr w:rsidR="00EE20A0" w:rsidTr="000E7772">
        <w:tc>
          <w:tcPr>
            <w:tcW w:w="2292" w:type="dxa"/>
          </w:tcPr>
          <w:p w:rsidR="00EE20A0" w:rsidRDefault="003B2083">
            <w:pPr>
              <w:spacing w:after="240" w:line="240" w:lineRule="auto"/>
              <w:ind w:left="209"/>
              <w:rPr>
                <w:rFonts w:ascii="Arial" w:eastAsia="Arial" w:hAnsi="Arial" w:cs="Arial"/>
                <w:b/>
                <w:sz w:val="24"/>
                <w:szCs w:val="24"/>
              </w:rPr>
            </w:pPr>
            <w:r>
              <w:rPr>
                <w:rFonts w:ascii="Arial" w:eastAsia="Arial" w:hAnsi="Arial" w:cs="Arial"/>
                <w:b/>
                <w:sz w:val="24"/>
                <w:szCs w:val="24"/>
              </w:rPr>
              <w:t>“Supporting Documentation”</w:t>
            </w:r>
          </w:p>
        </w:tc>
        <w:tc>
          <w:tcPr>
            <w:tcW w:w="6626" w:type="dxa"/>
          </w:tcPr>
          <w:p w:rsidR="00EE20A0" w:rsidRDefault="003B2083">
            <w:pPr>
              <w:spacing w:after="240" w:line="240" w:lineRule="auto"/>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verify the accuracy of any invoice; and</w:t>
            </w:r>
          </w:p>
        </w:tc>
      </w:tr>
      <w:tr w:rsidR="00EE20A0" w:rsidTr="000E7772">
        <w:tc>
          <w:tcPr>
            <w:tcW w:w="2292" w:type="dxa"/>
          </w:tcPr>
          <w:p w:rsidR="00EE20A0" w:rsidRDefault="003B2083">
            <w:pPr>
              <w:spacing w:after="240" w:line="240" w:lineRule="auto"/>
              <w:ind w:left="209"/>
              <w:rPr>
                <w:rFonts w:ascii="Arial" w:eastAsia="Arial" w:hAnsi="Arial" w:cs="Arial"/>
                <w:b/>
                <w:sz w:val="24"/>
                <w:szCs w:val="24"/>
              </w:rPr>
            </w:pPr>
            <w:r>
              <w:rPr>
                <w:rFonts w:ascii="Arial" w:eastAsia="Arial" w:hAnsi="Arial" w:cs="Arial"/>
                <w:b/>
                <w:sz w:val="24"/>
                <w:szCs w:val="24"/>
              </w:rPr>
              <w:lastRenderedPageBreak/>
              <w:t>“Tax Compliance Failure”</w:t>
            </w:r>
          </w:p>
          <w:p w:rsidR="00EE20A0" w:rsidRDefault="00EE20A0">
            <w:pPr>
              <w:spacing w:after="240" w:line="240" w:lineRule="auto"/>
              <w:ind w:left="209"/>
              <w:rPr>
                <w:rFonts w:ascii="Arial" w:eastAsia="Arial" w:hAnsi="Arial" w:cs="Arial"/>
                <w:b/>
                <w:sz w:val="24"/>
                <w:szCs w:val="24"/>
              </w:rPr>
            </w:pPr>
          </w:p>
        </w:tc>
        <w:tc>
          <w:tcPr>
            <w:tcW w:w="6626" w:type="dxa"/>
          </w:tcPr>
          <w:p w:rsidR="00EE20A0" w:rsidRDefault="003B2083">
            <w:pPr>
              <w:tabs>
                <w:tab w:val="left" w:pos="-75"/>
              </w:tabs>
              <w:spacing w:after="240" w:line="240" w:lineRule="auto"/>
              <w:jc w:val="both"/>
              <w:rPr>
                <w:rFonts w:ascii="Arial" w:eastAsia="Arial" w:hAnsi="Arial" w:cs="Arial"/>
                <w:sz w:val="24"/>
                <w:szCs w:val="24"/>
              </w:rPr>
            </w:pPr>
            <w:r>
              <w:rPr>
                <w:rFonts w:ascii="Arial" w:eastAsia="Arial" w:hAnsi="Arial" w:cs="Arial"/>
                <w:sz w:val="24"/>
                <w:szCs w:val="24"/>
              </w:rPr>
              <w:t>where an entity or person under consideration meets all 3 conditions contained in the relevant excerpt from HMRC’s “Test for Tax Non-Compliance”, as set out in Annex 1 (as amended and updated from time to time), where:</w:t>
            </w:r>
          </w:p>
          <w:p w:rsidR="00EE20A0" w:rsidRDefault="003B2083">
            <w:pPr>
              <w:numPr>
                <w:ilvl w:val="0"/>
                <w:numId w:val="8"/>
              </w:numPr>
              <w:pBdr>
                <w:top w:val="nil"/>
                <w:left w:val="nil"/>
                <w:bottom w:val="nil"/>
                <w:right w:val="nil"/>
                <w:between w:val="nil"/>
              </w:pBdr>
              <w:tabs>
                <w:tab w:val="left" w:pos="-75"/>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“Economic Operator” means the Supplier or any agent, supplier or Subcontractor of the Supplier requested to be replaced pursuant to Paragraph 5.3; and </w:t>
            </w:r>
          </w:p>
          <w:p w:rsidR="00EE20A0" w:rsidRDefault="00EE20A0">
            <w:pPr>
              <w:pBdr>
                <w:top w:val="nil"/>
                <w:left w:val="nil"/>
                <w:bottom w:val="nil"/>
                <w:right w:val="nil"/>
                <w:between w:val="nil"/>
              </w:pBdr>
              <w:spacing w:after="0" w:line="240" w:lineRule="auto"/>
              <w:ind w:left="405"/>
              <w:rPr>
                <w:rFonts w:ascii="Arial" w:eastAsia="Arial" w:hAnsi="Arial" w:cs="Arial"/>
                <w:color w:val="000000"/>
                <w:sz w:val="24"/>
                <w:szCs w:val="24"/>
              </w:rPr>
            </w:pPr>
          </w:p>
          <w:p w:rsidR="00EE20A0" w:rsidRDefault="003B2083">
            <w:pPr>
              <w:numPr>
                <w:ilvl w:val="0"/>
                <w:numId w:val="8"/>
              </w:num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any “Essential Subcontractor” means any Key Subcontractor.</w:t>
            </w:r>
          </w:p>
        </w:tc>
      </w:tr>
    </w:tbl>
    <w:p w:rsidR="00EE20A0" w:rsidRDefault="003B2083">
      <w:pPr>
        <w:pStyle w:val="Heading2"/>
        <w:keepNext w:val="0"/>
        <w:keepLines w:val="0"/>
        <w:numPr>
          <w:ilvl w:val="0"/>
          <w:numId w:val="1"/>
        </w:numPr>
        <w:pBdr>
          <w:top w:val="nil"/>
          <w:left w:val="nil"/>
          <w:bottom w:val="nil"/>
          <w:right w:val="nil"/>
          <w:between w:val="nil"/>
        </w:pBdr>
        <w:spacing w:before="0" w:after="240" w:line="240" w:lineRule="auto"/>
        <w:ind w:left="0" w:firstLine="0"/>
        <w:jc w:val="both"/>
        <w:rPr>
          <w:rFonts w:ascii="Arial" w:eastAsia="Arial" w:hAnsi="Arial" w:cs="Arial"/>
          <w:b/>
          <w:color w:val="000000"/>
          <w:sz w:val="24"/>
          <w:szCs w:val="24"/>
        </w:rPr>
      </w:pPr>
      <w:bookmarkStart w:id="2" w:name="_heading=h.30j0zll" w:colFirst="0" w:colLast="0"/>
      <w:bookmarkEnd w:id="2"/>
      <w:r>
        <w:rPr>
          <w:rFonts w:ascii="Arial" w:eastAsia="Arial" w:hAnsi="Arial" w:cs="Arial"/>
          <w:b/>
          <w:color w:val="000000"/>
          <w:sz w:val="24"/>
          <w:szCs w:val="24"/>
        </w:rPr>
        <w:t>Exclusion of certain Core Terms and terms of Schedules</w:t>
      </w:r>
    </w:p>
    <w:p w:rsidR="00EE20A0" w:rsidRDefault="003B2083">
      <w:pPr>
        <w:pStyle w:val="Heading2"/>
        <w:keepNext w:val="0"/>
        <w:keepLines w:val="0"/>
        <w:numPr>
          <w:ilvl w:val="1"/>
          <w:numId w:val="1"/>
        </w:numPr>
        <w:spacing w:line="240" w:lineRule="auto"/>
        <w:jc w:val="both"/>
        <w:rPr>
          <w:rFonts w:ascii="Arial" w:eastAsia="Arial" w:hAnsi="Arial" w:cs="Arial"/>
          <w:color w:val="000000"/>
          <w:sz w:val="24"/>
          <w:szCs w:val="24"/>
        </w:rPr>
      </w:pPr>
      <w:r>
        <w:rPr>
          <w:rFonts w:ascii="Arial" w:eastAsia="Arial" w:hAnsi="Arial" w:cs="Arial"/>
          <w:color w:val="000000"/>
          <w:sz w:val="24"/>
          <w:szCs w:val="24"/>
        </w:rPr>
        <w:t>When the Parties have entered into a Call-Off Contract which incorporates the terms of this Call-Off Schedule 23, the following Core Terms are modified in respect of that Call-Off Contract (but are not modified in respect of the Framework Contract):</w:t>
      </w:r>
    </w:p>
    <w:p w:rsidR="00EE20A0" w:rsidRDefault="00EE20A0">
      <w:pPr>
        <w:spacing w:after="0"/>
      </w:pPr>
    </w:p>
    <w:p w:rsidR="00EE20A0" w:rsidRDefault="003B2083">
      <w:pPr>
        <w:pStyle w:val="Heading2"/>
        <w:keepNext w:val="0"/>
        <w:keepLines w:val="0"/>
        <w:numPr>
          <w:ilvl w:val="2"/>
          <w:numId w:val="1"/>
        </w:numPr>
        <w:spacing w:before="0"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Clauses 31.1, 31.2, 31.3 and 31.4(d) of the Core Terms do not apply to that Call-Off Contract, but for the avoidance of doubt, the remainder of Clause 31.4 of the Core Terms shall continue to apply to the Call-Off Contract; and</w:t>
      </w:r>
    </w:p>
    <w:p w:rsidR="00EE20A0" w:rsidRDefault="003B2083">
      <w:pPr>
        <w:pStyle w:val="Heading2"/>
        <w:keepNext w:val="0"/>
        <w:keepLines w:val="0"/>
        <w:numPr>
          <w:ilvl w:val="2"/>
          <w:numId w:val="1"/>
        </w:numPr>
        <w:spacing w:before="0" w:after="240" w:line="240" w:lineRule="auto"/>
        <w:jc w:val="both"/>
      </w:pPr>
      <w:r>
        <w:rPr>
          <w:rFonts w:ascii="Arial" w:eastAsia="Arial" w:hAnsi="Arial" w:cs="Arial"/>
          <w:color w:val="000000"/>
          <w:sz w:val="24"/>
          <w:szCs w:val="24"/>
        </w:rPr>
        <w:t>Clause 7.2 of the Core Terms does not apply to that Call-Off Contract.</w:t>
      </w:r>
    </w:p>
    <w:p w:rsidR="00EE20A0" w:rsidRDefault="00EE20A0"/>
    <w:p w:rsidR="00EE20A0" w:rsidRDefault="003B2083">
      <w:pPr>
        <w:pStyle w:val="Heading2"/>
        <w:keepNext w:val="0"/>
        <w:keepLines w:val="0"/>
        <w:numPr>
          <w:ilvl w:val="1"/>
          <w:numId w:val="1"/>
        </w:numPr>
        <w:spacing w:line="240" w:lineRule="auto"/>
        <w:jc w:val="both"/>
        <w:rPr>
          <w:rFonts w:ascii="Arial" w:eastAsia="Arial" w:hAnsi="Arial" w:cs="Arial"/>
          <w:color w:val="000000"/>
          <w:sz w:val="24"/>
          <w:szCs w:val="24"/>
        </w:rPr>
      </w:pPr>
      <w:r>
        <w:rPr>
          <w:rFonts w:ascii="Arial" w:eastAsia="Arial" w:hAnsi="Arial" w:cs="Arial"/>
          <w:color w:val="000000"/>
          <w:sz w:val="24"/>
          <w:szCs w:val="24"/>
        </w:rPr>
        <w:t>When the Parties have entered into a Call-Off Contract which incorporates the terms of this Call-Off Schedule 23, the following Joint Schedules are modified in respect of that Call-Off Contract (but are not disapplied in respect of the Framework Contract):</w:t>
      </w:r>
    </w:p>
    <w:p w:rsidR="00EE20A0" w:rsidRDefault="00EE20A0"/>
    <w:p w:rsidR="00EE20A0" w:rsidRDefault="003B2083">
      <w:pPr>
        <w:pStyle w:val="Heading2"/>
        <w:keepNext w:val="0"/>
        <w:keepLines w:val="0"/>
        <w:numPr>
          <w:ilvl w:val="2"/>
          <w:numId w:val="1"/>
        </w:numPr>
        <w:spacing w:line="240" w:lineRule="auto"/>
        <w:jc w:val="both"/>
        <w:rPr>
          <w:rFonts w:ascii="Arial" w:eastAsia="Arial" w:hAnsi="Arial" w:cs="Arial"/>
          <w:color w:val="000000"/>
          <w:sz w:val="24"/>
          <w:szCs w:val="24"/>
        </w:rPr>
      </w:pPr>
      <w:r>
        <w:rPr>
          <w:rFonts w:ascii="Arial" w:eastAsia="Arial" w:hAnsi="Arial" w:cs="Arial"/>
          <w:color w:val="000000"/>
          <w:sz w:val="24"/>
          <w:szCs w:val="24"/>
        </w:rPr>
        <w:t>The definition of “Occasion of Tax Non-Compliance” contained in Joint Schedule 1 (Definitions) does not apply to that Call-Off Contract; and</w:t>
      </w:r>
    </w:p>
    <w:p w:rsidR="00EE20A0" w:rsidRDefault="00EE20A0"/>
    <w:p w:rsidR="00EE20A0" w:rsidRDefault="003B2083">
      <w:pPr>
        <w:pStyle w:val="Heading2"/>
        <w:keepNext w:val="0"/>
        <w:keepLines w:val="0"/>
        <w:numPr>
          <w:ilvl w:val="2"/>
          <w:numId w:val="1"/>
        </w:numPr>
        <w:spacing w:line="240" w:lineRule="auto"/>
        <w:jc w:val="both"/>
        <w:rPr>
          <w:rFonts w:ascii="Arial" w:eastAsia="Arial" w:hAnsi="Arial" w:cs="Arial"/>
          <w:color w:val="000000"/>
          <w:sz w:val="24"/>
          <w:szCs w:val="24"/>
        </w:rPr>
      </w:pPr>
      <w:r>
        <w:rPr>
          <w:rFonts w:ascii="Arial" w:eastAsia="Arial" w:hAnsi="Arial" w:cs="Arial"/>
          <w:color w:val="000000"/>
          <w:sz w:val="24"/>
          <w:szCs w:val="24"/>
        </w:rPr>
        <w:t>paragraph 5(d) of Joint Schedule 11 (Processing Data) does not apply to that Call-Off Contract.</w:t>
      </w:r>
    </w:p>
    <w:p w:rsidR="00EE20A0" w:rsidRDefault="00EE20A0"/>
    <w:p w:rsidR="00EE20A0" w:rsidRDefault="003B2083">
      <w:pPr>
        <w:pStyle w:val="Heading2"/>
        <w:keepNext w:val="0"/>
        <w:keepLines w:val="0"/>
        <w:numPr>
          <w:ilvl w:val="0"/>
          <w:numId w:val="1"/>
        </w:numPr>
        <w:pBdr>
          <w:top w:val="nil"/>
          <w:left w:val="nil"/>
          <w:bottom w:val="nil"/>
          <w:right w:val="nil"/>
          <w:between w:val="nil"/>
        </w:pBdr>
        <w:spacing w:before="0" w:after="240" w:line="240" w:lineRule="auto"/>
        <w:ind w:left="0" w:firstLine="0"/>
        <w:jc w:val="both"/>
        <w:rPr>
          <w:rFonts w:ascii="Arial" w:eastAsia="Arial" w:hAnsi="Arial" w:cs="Arial"/>
          <w:sz w:val="24"/>
          <w:szCs w:val="24"/>
        </w:rPr>
      </w:pPr>
      <w:r>
        <w:rPr>
          <w:rFonts w:ascii="Arial" w:eastAsia="Arial" w:hAnsi="Arial" w:cs="Arial"/>
          <w:b/>
          <w:color w:val="000000"/>
          <w:sz w:val="24"/>
          <w:szCs w:val="24"/>
        </w:rPr>
        <w:t>Charges, Payment and Recovery of Sums Due</w:t>
      </w:r>
      <w:r>
        <w:rPr>
          <w:rFonts w:ascii="Arial" w:eastAsia="Arial" w:hAnsi="Arial" w:cs="Arial"/>
          <w:color w:val="000000"/>
          <w:sz w:val="24"/>
          <w:szCs w:val="24"/>
        </w:rPr>
        <w:t> </w:t>
      </w:r>
    </w:p>
    <w:p w:rsidR="00EE20A0" w:rsidRDefault="003B2083">
      <w:pPr>
        <w:pStyle w:val="Heading2"/>
        <w:keepNext w:val="0"/>
        <w:keepLines w:val="0"/>
        <w:numPr>
          <w:ilvl w:val="1"/>
          <w:numId w:val="1"/>
        </w:numPr>
        <w:spacing w:line="240" w:lineRule="auto"/>
        <w:jc w:val="both"/>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t xml:space="preserve">The Supplier shall invoice the Buyer as specified in Clause 4 of the Core Terms as modified by any Framework Special Terms or any Call-Off Special Terms. </w:t>
      </w:r>
    </w:p>
    <w:p w:rsidR="00EE20A0" w:rsidRDefault="00EE20A0"/>
    <w:p w:rsidR="00EE20A0" w:rsidRDefault="003B2083">
      <w:pPr>
        <w:pStyle w:val="Heading2"/>
        <w:keepNext w:val="0"/>
        <w:keepLines w:val="0"/>
        <w:numPr>
          <w:ilvl w:val="1"/>
          <w:numId w:val="1"/>
        </w:numPr>
        <w:spacing w:before="0"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addition to the provisions of Clause 4 of the Core Terms and any applicable Framework Special Term or Call-Off Special Term, the Supplier shall procure a Purchase Order Number from the Buyer before any Deliverables are </w:t>
      </w:r>
      <w:r>
        <w:rPr>
          <w:rFonts w:ascii="Arial" w:eastAsia="Arial" w:hAnsi="Arial" w:cs="Arial"/>
          <w:color w:val="000000"/>
          <w:sz w:val="24"/>
          <w:szCs w:val="24"/>
        </w:rPr>
        <w:lastRenderedPageBreak/>
        <w:t xml:space="preserve">supplied. Should the Supplier supply Deliverables without a Purchase Order </w:t>
      </w:r>
      <w:proofErr w:type="gramStart"/>
      <w:r>
        <w:rPr>
          <w:rFonts w:ascii="Arial" w:eastAsia="Arial" w:hAnsi="Arial" w:cs="Arial"/>
          <w:color w:val="000000"/>
          <w:sz w:val="24"/>
          <w:szCs w:val="24"/>
        </w:rPr>
        <w:t>Number:</w:t>
      </w:r>
      <w:proofErr w:type="gramEnd"/>
      <w:r>
        <w:rPr>
          <w:rFonts w:ascii="Arial" w:eastAsia="Arial" w:hAnsi="Arial" w:cs="Arial"/>
          <w:color w:val="000000"/>
          <w:sz w:val="24"/>
          <w:szCs w:val="24"/>
        </w:rPr>
        <w:t xml:space="preserve"> </w:t>
      </w:r>
    </w:p>
    <w:p w:rsidR="00EE20A0" w:rsidRDefault="003B2083">
      <w:pPr>
        <w:pStyle w:val="Heading2"/>
        <w:keepNext w:val="0"/>
        <w:keepLines w:val="0"/>
        <w:numPr>
          <w:ilvl w:val="2"/>
          <w:numId w:val="1"/>
        </w:numPr>
        <w:spacing w:before="0"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does so at its own risk; and</w:t>
      </w:r>
    </w:p>
    <w:p w:rsidR="00EE20A0" w:rsidRDefault="003B2083">
      <w:pPr>
        <w:pStyle w:val="Heading2"/>
        <w:keepNext w:val="0"/>
        <w:keepLines w:val="0"/>
        <w:numPr>
          <w:ilvl w:val="2"/>
          <w:numId w:val="1"/>
        </w:numPr>
        <w:spacing w:before="0" w:after="240" w:line="240" w:lineRule="auto"/>
        <w:ind w:left="1418" w:hanging="698"/>
        <w:jc w:val="both"/>
        <w:rPr>
          <w:rFonts w:ascii="Arial" w:eastAsia="Arial" w:hAnsi="Arial" w:cs="Arial"/>
          <w:color w:val="000000"/>
          <w:sz w:val="24"/>
          <w:szCs w:val="24"/>
        </w:rPr>
      </w:pPr>
      <w:r>
        <w:rPr>
          <w:rFonts w:ascii="Arial" w:eastAsia="Arial" w:hAnsi="Arial" w:cs="Arial"/>
          <w:color w:val="000000"/>
          <w:sz w:val="24"/>
          <w:szCs w:val="24"/>
        </w:rPr>
        <w:t>the Buyer shall not be obliged to pay any invoice without a valid Purchase Order Number having been provided to the Supplier.</w:t>
      </w:r>
    </w:p>
    <w:p w:rsidR="00EE20A0" w:rsidRDefault="003B2083">
      <w:pPr>
        <w:pStyle w:val="Heading2"/>
        <w:keepNext w:val="0"/>
        <w:keepLines w:val="0"/>
        <w:numPr>
          <w:ilvl w:val="1"/>
          <w:numId w:val="1"/>
        </w:numPr>
        <w:spacing w:before="0" w:after="240" w:line="240" w:lineRule="auto"/>
        <w:jc w:val="both"/>
        <w:rPr>
          <w:rFonts w:ascii="Arial" w:eastAsia="Arial" w:hAnsi="Arial" w:cs="Arial"/>
          <w:sz w:val="24"/>
          <w:szCs w:val="24"/>
        </w:rPr>
      </w:pPr>
      <w:r>
        <w:rPr>
          <w:rFonts w:ascii="Arial" w:eastAsia="Arial" w:hAnsi="Arial" w:cs="Arial"/>
          <w:color w:val="000000"/>
          <w:sz w:val="24"/>
          <w:szCs w:val="24"/>
        </w:rPr>
        <w:t>The Supplier shall submit each invoice and any Supporting Documentation required in accordance with Clause 4 of the Core Terms and any applicable Framework Special Term or Call-Off Special Term, as directed by the Buyer from time to time, either: </w:t>
      </w:r>
    </w:p>
    <w:p w:rsidR="00EE20A0" w:rsidRDefault="003B2083">
      <w:pPr>
        <w:pStyle w:val="Heading2"/>
        <w:keepNext w:val="0"/>
        <w:keepLines w:val="0"/>
        <w:numPr>
          <w:ilvl w:val="2"/>
          <w:numId w:val="1"/>
        </w:numPr>
        <w:spacing w:before="0" w:after="240" w:line="240" w:lineRule="auto"/>
        <w:ind w:left="1418" w:hanging="698"/>
        <w:jc w:val="both"/>
        <w:rPr>
          <w:rFonts w:ascii="Arial" w:eastAsia="Arial" w:hAnsi="Arial" w:cs="Arial"/>
          <w:sz w:val="24"/>
          <w:szCs w:val="24"/>
        </w:rPr>
      </w:pPr>
      <w:r>
        <w:rPr>
          <w:rFonts w:ascii="Arial" w:eastAsia="Arial" w:hAnsi="Arial" w:cs="Arial"/>
          <w:color w:val="000000"/>
          <w:sz w:val="24"/>
          <w:szCs w:val="24"/>
        </w:rPr>
        <w:t>via the Buyer ’s electronic transaction system as an Electronic Invoice; or </w:t>
      </w:r>
    </w:p>
    <w:p w:rsidR="00EE20A0" w:rsidRDefault="003B2083">
      <w:pPr>
        <w:pStyle w:val="Heading2"/>
        <w:keepNext w:val="0"/>
        <w:keepLines w:val="0"/>
        <w:numPr>
          <w:ilvl w:val="2"/>
          <w:numId w:val="1"/>
        </w:numPr>
        <w:spacing w:before="0" w:after="240" w:line="240" w:lineRule="auto"/>
        <w:ind w:left="1418" w:hanging="698"/>
        <w:jc w:val="both"/>
        <w:rPr>
          <w:rFonts w:ascii="Arial" w:eastAsia="Arial" w:hAnsi="Arial" w:cs="Arial"/>
          <w:sz w:val="24"/>
          <w:szCs w:val="24"/>
        </w:rPr>
      </w:pPr>
      <w:r>
        <w:rPr>
          <w:rFonts w:ascii="Arial" w:eastAsia="Arial" w:hAnsi="Arial" w:cs="Arial"/>
          <w:color w:val="000000"/>
          <w:sz w:val="24"/>
          <w:szCs w:val="24"/>
        </w:rPr>
        <w:t>to the [</w:t>
      </w:r>
      <w:r>
        <w:rPr>
          <w:rFonts w:ascii="Arial" w:eastAsia="Arial" w:hAnsi="Arial" w:cs="Arial"/>
          <w:color w:val="000000"/>
          <w:sz w:val="24"/>
          <w:szCs w:val="24"/>
          <w:highlight w:val="yellow"/>
        </w:rPr>
        <w:t>specify who the contact in HMRC is]</w:t>
      </w:r>
      <w:r>
        <w:rPr>
          <w:rFonts w:ascii="Arial" w:eastAsia="Arial" w:hAnsi="Arial" w:cs="Arial"/>
          <w:color w:val="000000"/>
          <w:sz w:val="24"/>
          <w:szCs w:val="24"/>
        </w:rPr>
        <w:t xml:space="preserve"> (or such other person notified to the Supplier in writing by the Buyer) by email in pdf format or, if agreed with the Buyer, in hard copy by post.</w:t>
      </w:r>
    </w:p>
    <w:p w:rsidR="00EE20A0" w:rsidRDefault="003B2083">
      <w:pPr>
        <w:pStyle w:val="Heading2"/>
        <w:keepNext w:val="0"/>
        <w:keepLines w:val="0"/>
        <w:numPr>
          <w:ilvl w:val="0"/>
          <w:numId w:val="1"/>
        </w:numPr>
        <w:pBdr>
          <w:top w:val="nil"/>
          <w:left w:val="nil"/>
          <w:bottom w:val="nil"/>
          <w:right w:val="nil"/>
          <w:between w:val="nil"/>
        </w:pBdr>
        <w:spacing w:before="0" w:after="240" w:line="240" w:lineRule="auto"/>
        <w:ind w:left="0" w:firstLine="0"/>
        <w:jc w:val="both"/>
        <w:rPr>
          <w:rFonts w:ascii="Arial" w:eastAsia="Arial" w:hAnsi="Arial" w:cs="Arial"/>
          <w:b/>
          <w:sz w:val="24"/>
          <w:szCs w:val="24"/>
        </w:rPr>
      </w:pPr>
      <w:r>
        <w:rPr>
          <w:rFonts w:ascii="Arial" w:eastAsia="Arial" w:hAnsi="Arial" w:cs="Arial"/>
          <w:b/>
          <w:color w:val="000000"/>
          <w:sz w:val="24"/>
          <w:szCs w:val="24"/>
        </w:rPr>
        <w:t>Warranties</w:t>
      </w:r>
    </w:p>
    <w:p w:rsidR="00EE20A0" w:rsidRDefault="003B2083">
      <w:pPr>
        <w:pStyle w:val="Heading2"/>
        <w:keepNext w:val="0"/>
        <w:keepLines w:val="0"/>
        <w:numPr>
          <w:ilvl w:val="1"/>
          <w:numId w:val="1"/>
        </w:numPr>
        <w:spacing w:after="240" w:line="240" w:lineRule="auto"/>
        <w:jc w:val="both"/>
        <w:rPr>
          <w:rFonts w:ascii="Arial" w:eastAsia="Arial" w:hAnsi="Arial" w:cs="Arial"/>
          <w:sz w:val="24"/>
          <w:szCs w:val="24"/>
        </w:rPr>
      </w:pPr>
      <w:r>
        <w:rPr>
          <w:rFonts w:ascii="Arial" w:eastAsia="Arial" w:hAnsi="Arial" w:cs="Arial"/>
          <w:color w:val="000000"/>
          <w:sz w:val="24"/>
          <w:szCs w:val="24"/>
        </w:rPr>
        <w:t>The Supplier represents and warrants that:</w:t>
      </w:r>
    </w:p>
    <w:p w:rsidR="00EE20A0" w:rsidRDefault="003B2083">
      <w:pPr>
        <w:pStyle w:val="Heading2"/>
        <w:keepNext w:val="0"/>
        <w:keepLines w:val="0"/>
        <w:numPr>
          <w:ilvl w:val="2"/>
          <w:numId w:val="1"/>
        </w:numPr>
        <w:spacing w:before="0" w:after="240" w:line="240" w:lineRule="auto"/>
        <w:ind w:left="1418" w:hanging="698"/>
        <w:jc w:val="both"/>
        <w:rPr>
          <w:rFonts w:ascii="Arial" w:eastAsia="Arial" w:hAnsi="Arial" w:cs="Arial"/>
          <w:sz w:val="24"/>
          <w:szCs w:val="24"/>
        </w:rPr>
      </w:pPr>
      <w:bookmarkStart w:id="4" w:name="_heading=h.3znysh7" w:colFirst="0" w:colLast="0"/>
      <w:bookmarkEnd w:id="4"/>
      <w:r>
        <w:rPr>
          <w:rFonts w:ascii="Arial" w:eastAsia="Arial" w:hAnsi="Arial" w:cs="Arial"/>
          <w:color w:val="000000"/>
          <w:sz w:val="24"/>
          <w:szCs w:val="24"/>
        </w:rPr>
        <w:t>in the three years prior to the Effective Date, it has complied with all applicable Law related to Tax in the United Kingdom and in the jurisdiction in which it is established;</w:t>
      </w:r>
    </w:p>
    <w:p w:rsidR="00EE20A0" w:rsidRDefault="003B2083">
      <w:pPr>
        <w:pStyle w:val="Heading2"/>
        <w:keepNext w:val="0"/>
        <w:keepLines w:val="0"/>
        <w:numPr>
          <w:ilvl w:val="2"/>
          <w:numId w:val="1"/>
        </w:numPr>
        <w:spacing w:before="0" w:after="240" w:line="240" w:lineRule="auto"/>
        <w:ind w:left="1418" w:hanging="698"/>
        <w:jc w:val="both"/>
        <w:rPr>
          <w:rFonts w:ascii="Arial" w:eastAsia="Arial" w:hAnsi="Arial" w:cs="Arial"/>
          <w:sz w:val="24"/>
          <w:szCs w:val="24"/>
        </w:rPr>
      </w:pPr>
      <w:bookmarkStart w:id="5" w:name="_heading=h.2et92p0" w:colFirst="0" w:colLast="0"/>
      <w:bookmarkEnd w:id="5"/>
      <w:r>
        <w:rPr>
          <w:rFonts w:ascii="Arial" w:eastAsia="Arial" w:hAnsi="Arial" w:cs="Arial"/>
          <w:color w:val="000000"/>
          <w:sz w:val="24"/>
          <w:szCs w:val="24"/>
        </w:rPr>
        <w:t>it has notified the Buyer in writing of any Tax Compliance Failure it is involved in; and</w:t>
      </w:r>
    </w:p>
    <w:p w:rsidR="00EE20A0" w:rsidRDefault="003B2083">
      <w:pPr>
        <w:pStyle w:val="Heading2"/>
        <w:keepNext w:val="0"/>
        <w:keepLines w:val="0"/>
        <w:numPr>
          <w:ilvl w:val="2"/>
          <w:numId w:val="1"/>
        </w:numPr>
        <w:spacing w:before="0" w:after="240" w:line="240" w:lineRule="auto"/>
        <w:ind w:left="1418" w:hanging="698"/>
        <w:jc w:val="both"/>
        <w:rPr>
          <w:rFonts w:ascii="Arial" w:eastAsia="Arial" w:hAnsi="Arial" w:cs="Arial"/>
          <w:color w:val="000000"/>
          <w:sz w:val="24"/>
          <w:szCs w:val="24"/>
        </w:rPr>
      </w:pPr>
      <w:bookmarkStart w:id="6" w:name="_heading=h.tyjcwt" w:colFirst="0" w:colLast="0"/>
      <w:bookmarkEnd w:id="6"/>
      <w:r>
        <w:rPr>
          <w:rFonts w:ascii="Arial" w:eastAsia="Arial" w:hAnsi="Arial" w:cs="Arial"/>
          <w:color w:val="000000"/>
          <w:sz w:val="24"/>
          <w:szCs w:val="24"/>
        </w:rPr>
        <w:t>no proceedings or other steps have been taken (nor, to the best of the Supplier’s knowledge, are threatened) for:</w:t>
      </w:r>
    </w:p>
    <w:p w:rsidR="00EE20A0" w:rsidRDefault="003B2083">
      <w:pPr>
        <w:pStyle w:val="Heading2"/>
        <w:keepNext w:val="0"/>
        <w:keepLines w:val="0"/>
        <w:numPr>
          <w:ilvl w:val="3"/>
          <w:numId w:val="1"/>
        </w:numPr>
        <w:spacing w:after="240" w:line="240" w:lineRule="auto"/>
        <w:ind w:left="2127" w:hanging="1047"/>
        <w:jc w:val="both"/>
        <w:rPr>
          <w:rFonts w:ascii="Arial" w:eastAsia="Arial" w:hAnsi="Arial" w:cs="Arial"/>
          <w:color w:val="000000"/>
          <w:sz w:val="24"/>
          <w:szCs w:val="24"/>
        </w:rPr>
      </w:pPr>
      <w:r>
        <w:rPr>
          <w:rFonts w:ascii="Arial" w:eastAsia="Arial" w:hAnsi="Arial" w:cs="Arial"/>
          <w:color w:val="000000"/>
          <w:sz w:val="24"/>
          <w:szCs w:val="24"/>
        </w:rPr>
        <w:t xml:space="preserve">the winding up of the Supplier; </w:t>
      </w:r>
    </w:p>
    <w:p w:rsidR="00EE20A0" w:rsidRDefault="003B2083">
      <w:pPr>
        <w:pStyle w:val="Heading2"/>
        <w:keepNext w:val="0"/>
        <w:keepLines w:val="0"/>
        <w:numPr>
          <w:ilvl w:val="3"/>
          <w:numId w:val="1"/>
        </w:numPr>
        <w:spacing w:after="240" w:line="240" w:lineRule="auto"/>
        <w:ind w:left="2127" w:hanging="1047"/>
        <w:jc w:val="both"/>
        <w:rPr>
          <w:rFonts w:ascii="Arial" w:eastAsia="Arial" w:hAnsi="Arial" w:cs="Arial"/>
          <w:color w:val="000000"/>
          <w:sz w:val="24"/>
          <w:szCs w:val="24"/>
        </w:rPr>
      </w:pPr>
      <w:r>
        <w:rPr>
          <w:rFonts w:ascii="Arial" w:eastAsia="Arial" w:hAnsi="Arial" w:cs="Arial"/>
          <w:color w:val="000000"/>
          <w:sz w:val="24"/>
          <w:szCs w:val="24"/>
        </w:rPr>
        <w:t>the Supplier’s dissolution; or</w:t>
      </w:r>
    </w:p>
    <w:p w:rsidR="00EE20A0" w:rsidRDefault="003B2083">
      <w:pPr>
        <w:pStyle w:val="Heading2"/>
        <w:keepNext w:val="0"/>
        <w:keepLines w:val="0"/>
        <w:numPr>
          <w:ilvl w:val="3"/>
          <w:numId w:val="1"/>
        </w:numPr>
        <w:spacing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the appointment of a receiver, administrative receiver, liquidator, manager, administrator or similar officer in relation to any of the Supplier’s assets or revenue,</w:t>
      </w:r>
    </w:p>
    <w:p w:rsidR="00EE20A0" w:rsidRDefault="003B2083">
      <w:pPr>
        <w:pStyle w:val="Heading2"/>
        <w:keepNext w:val="0"/>
        <w:keepLines w:val="0"/>
        <w:spacing w:before="0" w:after="240" w:line="240" w:lineRule="auto"/>
        <w:ind w:left="1440"/>
        <w:jc w:val="both"/>
        <w:rPr>
          <w:rFonts w:ascii="Arial" w:eastAsia="Arial" w:hAnsi="Arial" w:cs="Arial"/>
          <w:color w:val="000000"/>
          <w:sz w:val="24"/>
          <w:szCs w:val="24"/>
        </w:rPr>
      </w:pPr>
      <w:r>
        <w:rPr>
          <w:rFonts w:ascii="Arial" w:eastAsia="Arial" w:hAnsi="Arial" w:cs="Arial"/>
          <w:color w:val="000000"/>
          <w:sz w:val="24"/>
          <w:szCs w:val="24"/>
        </w:rPr>
        <w:t>and the Supplier has notified the Buyer of any profit warnings it has issued in the three years prior to the Effective Date.</w:t>
      </w:r>
    </w:p>
    <w:p w:rsidR="00EE20A0" w:rsidRDefault="003B2083">
      <w:pPr>
        <w:pStyle w:val="Heading2"/>
        <w:keepNext w:val="0"/>
        <w:keepLines w:val="0"/>
        <w:numPr>
          <w:ilvl w:val="1"/>
          <w:numId w:val="1"/>
        </w:numPr>
        <w:spacing w:after="240" w:line="240" w:lineRule="auto"/>
        <w:jc w:val="both"/>
        <w:rPr>
          <w:rFonts w:ascii="Arial" w:eastAsia="Arial" w:hAnsi="Arial" w:cs="Arial"/>
          <w:sz w:val="24"/>
          <w:szCs w:val="24"/>
        </w:rPr>
      </w:pPr>
      <w:r>
        <w:rPr>
          <w:rFonts w:ascii="Arial" w:eastAsia="Arial" w:hAnsi="Arial" w:cs="Arial"/>
          <w:color w:val="000000"/>
          <w:sz w:val="24"/>
          <w:szCs w:val="24"/>
        </w:rPr>
        <w:t xml:space="preserve">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p>
    <w:p w:rsidR="00EE20A0" w:rsidRDefault="003B2083">
      <w:pPr>
        <w:pStyle w:val="Heading2"/>
        <w:keepNext w:val="0"/>
        <w:keepLines w:val="0"/>
        <w:numPr>
          <w:ilvl w:val="1"/>
          <w:numId w:val="1"/>
        </w:numPr>
        <w:spacing w:after="240" w:line="240" w:lineRule="auto"/>
        <w:jc w:val="both"/>
        <w:rPr>
          <w:rFonts w:ascii="Arial" w:eastAsia="Arial" w:hAnsi="Arial" w:cs="Arial"/>
          <w:sz w:val="24"/>
          <w:szCs w:val="24"/>
        </w:rPr>
      </w:pPr>
      <w:r>
        <w:rPr>
          <w:rFonts w:ascii="Arial" w:eastAsia="Arial" w:hAnsi="Arial" w:cs="Arial"/>
          <w:color w:val="000000"/>
          <w:sz w:val="24"/>
          <w:szCs w:val="24"/>
        </w:rPr>
        <w:lastRenderedPageBreak/>
        <w:t>In the event that the warranty given by the Supplier in Paragraph 4.1.2 is materially untrue, this shall be deemed to be an event to which Clause 10.4.1 of the Core Terms applies and Clauses 10.6.1 and 10.6.2 of the Core Terms shall apply as if the Contract had been terminated under Clause 10.4.1.</w:t>
      </w:r>
    </w:p>
    <w:p w:rsidR="00EE20A0" w:rsidRDefault="003B2083">
      <w:pPr>
        <w:pStyle w:val="Heading2"/>
        <w:keepNext w:val="0"/>
        <w:keepLines w:val="0"/>
        <w:numPr>
          <w:ilvl w:val="0"/>
          <w:numId w:val="1"/>
        </w:numPr>
        <w:pBdr>
          <w:top w:val="nil"/>
          <w:left w:val="nil"/>
          <w:bottom w:val="nil"/>
          <w:right w:val="nil"/>
          <w:between w:val="nil"/>
        </w:pBdr>
        <w:spacing w:before="0" w:after="240" w:line="240" w:lineRule="auto"/>
        <w:ind w:left="0" w:firstLine="0"/>
        <w:jc w:val="both"/>
        <w:rPr>
          <w:rFonts w:ascii="Arial" w:eastAsia="Arial" w:hAnsi="Arial" w:cs="Arial"/>
          <w:b/>
          <w:sz w:val="24"/>
          <w:szCs w:val="24"/>
        </w:rPr>
      </w:pPr>
      <w:r>
        <w:rPr>
          <w:rFonts w:ascii="Arial" w:eastAsia="Arial" w:hAnsi="Arial" w:cs="Arial"/>
          <w:b/>
          <w:color w:val="000000"/>
          <w:sz w:val="24"/>
          <w:szCs w:val="24"/>
        </w:rPr>
        <w:t>Promoting Tax Compliance</w:t>
      </w:r>
    </w:p>
    <w:p w:rsidR="00EE20A0" w:rsidRDefault="003B2083">
      <w:pPr>
        <w:pStyle w:val="Heading2"/>
        <w:keepNext w:val="0"/>
        <w:keepLines w:val="0"/>
        <w:numPr>
          <w:ilvl w:val="1"/>
          <w:numId w:val="1"/>
        </w:numPr>
        <w:spacing w:after="240" w:line="240" w:lineRule="auto"/>
        <w:jc w:val="both"/>
        <w:rPr>
          <w:rFonts w:ascii="Arial" w:eastAsia="Arial" w:hAnsi="Arial" w:cs="Arial"/>
          <w:sz w:val="24"/>
          <w:szCs w:val="24"/>
        </w:rPr>
      </w:pPr>
      <w:bookmarkStart w:id="7" w:name="_heading=h.3dy6vkm" w:colFirst="0" w:colLast="0"/>
      <w:bookmarkEnd w:id="7"/>
      <w:r>
        <w:rPr>
          <w:rFonts w:ascii="Arial" w:eastAsia="Arial" w:hAnsi="Arial" w:cs="Arial"/>
          <w:color w:val="000000"/>
          <w:sz w:val="24"/>
          <w:szCs w:val="24"/>
        </w:rPr>
        <w:t xml:space="preserve">The Supplier shall comply with all Law relating to Tax and with the equivalent legal provisions of the country in which the Supplier is established. </w:t>
      </w:r>
    </w:p>
    <w:p w:rsidR="00EE20A0" w:rsidRDefault="003B2083">
      <w:pPr>
        <w:pStyle w:val="Heading2"/>
        <w:keepNext w:val="0"/>
        <w:keepLines w:val="0"/>
        <w:numPr>
          <w:ilvl w:val="1"/>
          <w:numId w:val="1"/>
        </w:numPr>
        <w:spacing w:after="240" w:line="240" w:lineRule="auto"/>
        <w:jc w:val="both"/>
        <w:rPr>
          <w:rFonts w:ascii="Arial" w:eastAsia="Arial" w:hAnsi="Arial" w:cs="Arial"/>
          <w:sz w:val="24"/>
          <w:szCs w:val="24"/>
        </w:rPr>
      </w:pPr>
      <w:bookmarkStart w:id="8" w:name="_heading=h.1t3h5sf" w:colFirst="0" w:colLast="0"/>
      <w:bookmarkEnd w:id="8"/>
      <w:r>
        <w:rPr>
          <w:rFonts w:ascii="Arial" w:eastAsia="Arial" w:hAnsi="Arial" w:cs="Arial"/>
          <w:color w:val="000000"/>
          <w:sz w:val="24"/>
          <w:szCs w:val="24"/>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p>
    <w:p w:rsidR="00EE20A0" w:rsidRDefault="003B2083">
      <w:pPr>
        <w:pStyle w:val="Heading2"/>
        <w:keepNext w:val="0"/>
        <w:keepLines w:val="0"/>
        <w:numPr>
          <w:ilvl w:val="1"/>
          <w:numId w:val="1"/>
        </w:numPr>
        <w:spacing w:after="240" w:line="240" w:lineRule="auto"/>
        <w:jc w:val="both"/>
        <w:rPr>
          <w:rFonts w:ascii="Arial" w:eastAsia="Arial" w:hAnsi="Arial" w:cs="Arial"/>
          <w:color w:val="000000"/>
          <w:sz w:val="24"/>
          <w:szCs w:val="24"/>
        </w:rPr>
      </w:pPr>
      <w:bookmarkStart w:id="9" w:name="_heading=h.4d34og8" w:colFirst="0" w:colLast="0"/>
      <w:bookmarkEnd w:id="9"/>
      <w:r>
        <w:rPr>
          <w:rFonts w:ascii="Arial" w:eastAsia="Arial" w:hAnsi="Arial" w:cs="Arial"/>
          <w:color w:val="000000"/>
          <w:sz w:val="24"/>
          <w:szCs w:val="24"/>
        </w:rPr>
        <w:t xml:space="preserve">Upon a request by the Buyer, the Supplier shall not contract, or will cease to contract, with any agent, supplier or Subcontractor of the Supplier engaged in supplying Deliverables under the Contract.  </w:t>
      </w:r>
    </w:p>
    <w:p w:rsidR="00EE20A0" w:rsidRDefault="003B2083">
      <w:pPr>
        <w:pStyle w:val="Heading2"/>
        <w:keepNext w:val="0"/>
        <w:keepLines w:val="0"/>
        <w:numPr>
          <w:ilvl w:val="1"/>
          <w:numId w:val="1"/>
        </w:numPr>
        <w:spacing w:after="240" w:line="240" w:lineRule="auto"/>
        <w:jc w:val="both"/>
        <w:rPr>
          <w:rFonts w:ascii="Arial" w:eastAsia="Arial" w:hAnsi="Arial" w:cs="Arial"/>
          <w:sz w:val="24"/>
          <w:szCs w:val="24"/>
        </w:rPr>
      </w:pPr>
      <w:bookmarkStart w:id="10" w:name="_heading=h.2s8eyo1" w:colFirst="0" w:colLast="0"/>
      <w:bookmarkEnd w:id="10"/>
      <w:r>
        <w:rPr>
          <w:rFonts w:ascii="Arial" w:eastAsia="Arial" w:hAnsi="Arial" w:cs="Arial"/>
          <w:color w:val="000000"/>
          <w:sz w:val="24"/>
          <w:szCs w:val="24"/>
        </w:rPr>
        <w:t>If, at any point during the Call-Off Contract Period, there is a Tax Compliance Failure, the Supplier shall:</w:t>
      </w:r>
    </w:p>
    <w:p w:rsidR="00EE20A0" w:rsidRDefault="003B2083">
      <w:pPr>
        <w:pStyle w:val="Heading2"/>
        <w:keepNext w:val="0"/>
        <w:keepLines w:val="0"/>
        <w:numPr>
          <w:ilvl w:val="2"/>
          <w:numId w:val="1"/>
        </w:numPr>
        <w:spacing w:before="0" w:after="240" w:line="240" w:lineRule="auto"/>
        <w:ind w:left="1418" w:hanging="698"/>
        <w:jc w:val="both"/>
        <w:rPr>
          <w:rFonts w:ascii="Arial" w:eastAsia="Arial" w:hAnsi="Arial" w:cs="Arial"/>
          <w:sz w:val="24"/>
          <w:szCs w:val="24"/>
        </w:rPr>
      </w:pPr>
      <w:bookmarkStart w:id="11" w:name="_heading=h.17dp8vu" w:colFirst="0" w:colLast="0"/>
      <w:bookmarkEnd w:id="11"/>
      <w:r>
        <w:rPr>
          <w:rFonts w:ascii="Arial" w:eastAsia="Arial" w:hAnsi="Arial" w:cs="Arial"/>
          <w:color w:val="000000"/>
          <w:sz w:val="24"/>
          <w:szCs w:val="24"/>
        </w:rPr>
        <w:t>notify the Buyer in writing within five (5) Working Days of its occurrence; and</w:t>
      </w:r>
    </w:p>
    <w:p w:rsidR="00EE20A0" w:rsidRDefault="003B2083">
      <w:pPr>
        <w:pStyle w:val="Heading2"/>
        <w:keepNext w:val="0"/>
        <w:keepLines w:val="0"/>
        <w:numPr>
          <w:ilvl w:val="2"/>
          <w:numId w:val="1"/>
        </w:numPr>
        <w:spacing w:before="0" w:after="240" w:line="240" w:lineRule="auto"/>
        <w:ind w:left="1418" w:hanging="698"/>
        <w:jc w:val="both"/>
        <w:rPr>
          <w:rFonts w:ascii="Arial" w:eastAsia="Arial" w:hAnsi="Arial" w:cs="Arial"/>
          <w:sz w:val="24"/>
          <w:szCs w:val="24"/>
        </w:rPr>
      </w:pPr>
      <w:bookmarkStart w:id="12" w:name="_heading=h.3rdcrjn" w:colFirst="0" w:colLast="0"/>
      <w:bookmarkEnd w:id="12"/>
      <w:r>
        <w:rPr>
          <w:rFonts w:ascii="Arial" w:eastAsia="Arial" w:hAnsi="Arial" w:cs="Arial"/>
          <w:color w:val="000000"/>
          <w:sz w:val="24"/>
          <w:szCs w:val="24"/>
        </w:rPr>
        <w:t>promptly provide to the Buyer:</w:t>
      </w:r>
    </w:p>
    <w:p w:rsidR="00EE20A0" w:rsidRDefault="003B2083">
      <w:pPr>
        <w:pStyle w:val="Heading2"/>
        <w:keepNext w:val="0"/>
        <w:keepLines w:val="0"/>
        <w:numPr>
          <w:ilvl w:val="3"/>
          <w:numId w:val="1"/>
        </w:numPr>
        <w:spacing w:after="240" w:line="240" w:lineRule="auto"/>
        <w:ind w:left="2127" w:hanging="1047"/>
        <w:jc w:val="both"/>
        <w:rPr>
          <w:rFonts w:ascii="Arial" w:eastAsia="Arial" w:hAnsi="Arial" w:cs="Arial"/>
          <w:color w:val="000000"/>
          <w:sz w:val="24"/>
          <w:szCs w:val="24"/>
        </w:rPr>
      </w:pPr>
      <w:r>
        <w:rPr>
          <w:rFonts w:ascii="Arial" w:eastAsia="Arial" w:hAnsi="Arial" w:cs="Arial"/>
          <w:color w:val="000000"/>
          <w:sz w:val="24"/>
          <w:szCs w:val="24"/>
        </w:rPr>
        <w:t xml:space="preserve">details of the steps which the Supplier is taking to resolve the Tax Compliance Failure and to prevent it from recurring, together with any mitigating factors that it considers relevant; and </w:t>
      </w:r>
    </w:p>
    <w:p w:rsidR="00EE20A0" w:rsidRDefault="003B2083">
      <w:pPr>
        <w:pStyle w:val="Heading2"/>
        <w:keepNext w:val="0"/>
        <w:keepLines w:val="0"/>
        <w:numPr>
          <w:ilvl w:val="3"/>
          <w:numId w:val="1"/>
        </w:numPr>
        <w:spacing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such other information in relation to the Tax Compliance Failure as the Buyer may reasonably require.</w:t>
      </w:r>
    </w:p>
    <w:p w:rsidR="00EE20A0" w:rsidRDefault="003B2083">
      <w:pPr>
        <w:pStyle w:val="Heading2"/>
        <w:keepNext w:val="0"/>
        <w:keepLines w:val="0"/>
        <w:numPr>
          <w:ilvl w:val="1"/>
          <w:numId w:val="1"/>
        </w:numPr>
        <w:spacing w:after="240" w:line="240" w:lineRule="auto"/>
        <w:jc w:val="both"/>
        <w:rPr>
          <w:rFonts w:ascii="Arial" w:eastAsia="Arial" w:hAnsi="Arial" w:cs="Arial"/>
          <w:color w:val="000000"/>
          <w:sz w:val="24"/>
          <w:szCs w:val="24"/>
        </w:rPr>
      </w:pPr>
      <w:bookmarkStart w:id="13" w:name="_heading=h.26in1rg" w:colFirst="0" w:colLast="0"/>
      <w:bookmarkEnd w:id="13"/>
      <w:r>
        <w:rPr>
          <w:rFonts w:ascii="Arial" w:eastAsia="Arial" w:hAnsi="Arial" w:cs="Arial"/>
          <w:color w:val="000000"/>
          <w:sz w:val="24"/>
          <w:szCs w:val="24"/>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rsidR="00EE20A0" w:rsidRDefault="003B2083">
      <w:pPr>
        <w:pStyle w:val="Heading2"/>
        <w:keepNext w:val="0"/>
        <w:keepLines w:val="0"/>
        <w:numPr>
          <w:ilvl w:val="1"/>
          <w:numId w:val="1"/>
        </w:numPr>
        <w:spacing w:after="240" w:line="240" w:lineRule="auto"/>
        <w:jc w:val="both"/>
        <w:rPr>
          <w:rFonts w:ascii="Arial" w:eastAsia="Arial" w:hAnsi="Arial" w:cs="Arial"/>
          <w:sz w:val="24"/>
          <w:szCs w:val="24"/>
        </w:rPr>
      </w:pPr>
      <w:r>
        <w:rPr>
          <w:rFonts w:ascii="Arial" w:eastAsia="Arial" w:hAnsi="Arial" w:cs="Arial"/>
          <w:color w:val="000000"/>
          <w:sz w:val="24"/>
          <w:szCs w:val="24"/>
        </w:rPr>
        <w:t>Any amounts due under Paragraph 5.5 shall be paid not less than five (5) Working Days before the date upon which the Tax or other liability is payable by the Buyer.  Any amounts due under Paragraph 5.5 shall not be subject to clause 11.2 of the Core Terms.</w:t>
      </w:r>
    </w:p>
    <w:p w:rsidR="00EE20A0" w:rsidRDefault="003B2083">
      <w:pPr>
        <w:pStyle w:val="Heading2"/>
        <w:keepNext w:val="0"/>
        <w:keepLines w:val="0"/>
        <w:numPr>
          <w:ilvl w:val="1"/>
          <w:numId w:val="1"/>
        </w:numPr>
        <w:spacing w:after="240" w:line="240" w:lineRule="auto"/>
        <w:jc w:val="both"/>
        <w:rPr>
          <w:rFonts w:ascii="Arial" w:eastAsia="Arial" w:hAnsi="Arial" w:cs="Arial"/>
          <w:sz w:val="24"/>
          <w:szCs w:val="24"/>
        </w:rPr>
      </w:pPr>
      <w:bookmarkStart w:id="14" w:name="_heading=h.lnxbz9" w:colFirst="0" w:colLast="0"/>
      <w:bookmarkEnd w:id="14"/>
      <w:r>
        <w:rPr>
          <w:rFonts w:ascii="Arial" w:eastAsia="Arial" w:hAnsi="Arial" w:cs="Arial"/>
          <w:color w:val="000000"/>
          <w:sz w:val="24"/>
          <w:szCs w:val="24"/>
        </w:rPr>
        <w:t xml:space="preserve">Upon the Buyer’s request, the Supplier shall promptly provide information which demonstrates how the Supplier complies with its Tax obligations. </w:t>
      </w:r>
    </w:p>
    <w:p w:rsidR="00EE20A0" w:rsidRDefault="003B2083">
      <w:pPr>
        <w:pStyle w:val="Heading2"/>
        <w:keepNext w:val="0"/>
        <w:keepLines w:val="0"/>
        <w:numPr>
          <w:ilvl w:val="1"/>
          <w:numId w:val="1"/>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the Supplier: </w:t>
      </w:r>
    </w:p>
    <w:p w:rsidR="00EE20A0" w:rsidRDefault="003B2083">
      <w:pPr>
        <w:pStyle w:val="Heading2"/>
        <w:keepNext w:val="0"/>
        <w:keepLines w:val="0"/>
        <w:numPr>
          <w:ilvl w:val="2"/>
          <w:numId w:val="1"/>
        </w:numPr>
        <w:spacing w:before="0" w:after="240" w:line="240" w:lineRule="auto"/>
        <w:ind w:left="1418" w:hanging="698"/>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fails to comply with Paragraphs 5.1, 5.4.1 and/or 5.7 this may be a material breach of the Contract; </w:t>
      </w:r>
    </w:p>
    <w:p w:rsidR="00EE20A0" w:rsidRDefault="003B2083">
      <w:pPr>
        <w:pStyle w:val="Heading2"/>
        <w:keepNext w:val="0"/>
        <w:keepLines w:val="0"/>
        <w:numPr>
          <w:ilvl w:val="2"/>
          <w:numId w:val="1"/>
        </w:numPr>
        <w:spacing w:before="0" w:after="240" w:line="240" w:lineRule="auto"/>
        <w:ind w:left="1418" w:hanging="698"/>
        <w:jc w:val="both"/>
        <w:rPr>
          <w:rFonts w:ascii="Arial" w:eastAsia="Arial" w:hAnsi="Arial" w:cs="Arial"/>
          <w:color w:val="000000"/>
          <w:sz w:val="24"/>
          <w:szCs w:val="24"/>
        </w:rPr>
      </w:pPr>
      <w:r>
        <w:rPr>
          <w:rFonts w:ascii="Arial" w:eastAsia="Arial" w:hAnsi="Arial" w:cs="Arial"/>
          <w:color w:val="000000"/>
          <w:sz w:val="24"/>
          <w:szCs w:val="24"/>
        </w:rPr>
        <w:t xml:space="preserve">fails to comply with a reasonable request by the Buyer that it must not contract, or must cease to contract, with any agent, supplier or Subcontractor of the Supplier as required by Paragraph 5.3 on the grounds that the agent, supplier or Subcontractor of the Supplier </w:t>
      </w:r>
      <w:proofErr w:type="gramStart"/>
      <w:r>
        <w:rPr>
          <w:rFonts w:ascii="Arial" w:eastAsia="Arial" w:hAnsi="Arial" w:cs="Arial"/>
          <w:color w:val="000000"/>
          <w:sz w:val="24"/>
          <w:szCs w:val="24"/>
        </w:rPr>
        <w:t>is  involved</w:t>
      </w:r>
      <w:proofErr w:type="gramEnd"/>
      <w:r>
        <w:rPr>
          <w:rFonts w:ascii="Arial" w:eastAsia="Arial" w:hAnsi="Arial" w:cs="Arial"/>
          <w:color w:val="000000"/>
          <w:sz w:val="24"/>
          <w:szCs w:val="24"/>
        </w:rPr>
        <w:t xml:space="preserve"> in a Tax Compliance Failure this shall be a material breach of the Contract; and/or</w:t>
      </w:r>
    </w:p>
    <w:p w:rsidR="00EE20A0" w:rsidRDefault="003B2083">
      <w:pPr>
        <w:pStyle w:val="Heading2"/>
        <w:keepNext w:val="0"/>
        <w:keepLines w:val="0"/>
        <w:numPr>
          <w:ilvl w:val="2"/>
          <w:numId w:val="1"/>
        </w:numPr>
        <w:spacing w:before="0" w:after="240" w:line="240" w:lineRule="auto"/>
        <w:ind w:left="1418" w:hanging="698"/>
        <w:jc w:val="both"/>
        <w:rPr>
          <w:rFonts w:ascii="Arial" w:eastAsia="Arial" w:hAnsi="Arial" w:cs="Arial"/>
          <w:color w:val="000000"/>
          <w:sz w:val="24"/>
          <w:szCs w:val="24"/>
        </w:rPr>
      </w:pPr>
      <w:r>
        <w:rPr>
          <w:rFonts w:ascii="Arial" w:eastAsia="Arial" w:hAnsi="Arial" w:cs="Arial"/>
          <w:color w:val="000000"/>
          <w:sz w:val="24"/>
          <w:szCs w:val="24"/>
        </w:rPr>
        <w:t>fails to provide acceptable details of steps being taken and mitigating factors pursuant to Paragraph 5.4.2 this shall be a material breach of the Contract;</w:t>
      </w:r>
    </w:p>
    <w:p w:rsidR="00EE20A0" w:rsidRDefault="003B2083">
      <w:pPr>
        <w:pStyle w:val="Heading2"/>
        <w:keepNext w:val="0"/>
        <w:keepLines w:val="0"/>
        <w:spacing w:after="240" w:line="240" w:lineRule="auto"/>
        <w:ind w:left="792"/>
        <w:jc w:val="both"/>
        <w:rPr>
          <w:rFonts w:ascii="Arial" w:eastAsia="Arial" w:hAnsi="Arial" w:cs="Arial"/>
          <w:color w:val="000000"/>
          <w:sz w:val="24"/>
          <w:szCs w:val="24"/>
        </w:rPr>
      </w:pPr>
      <w:r>
        <w:rPr>
          <w:rFonts w:ascii="Arial" w:eastAsia="Arial" w:hAnsi="Arial" w:cs="Arial"/>
          <w:color w:val="000000"/>
          <w:sz w:val="24"/>
          <w:szCs w:val="24"/>
        </w:rPr>
        <w:t>and any such material breach shall be deemed to be an event to which clause 10.4.1 of the Core Terms applies and Clauses 10.6.1 and 10.6.2 of the Core Terms shall apply as if the Contract had been terminated under Clause 10.4.1.</w:t>
      </w:r>
    </w:p>
    <w:p w:rsidR="00EE20A0" w:rsidRDefault="003B2083">
      <w:pPr>
        <w:pStyle w:val="Heading2"/>
        <w:keepNext w:val="0"/>
        <w:keepLines w:val="0"/>
        <w:numPr>
          <w:ilvl w:val="1"/>
          <w:numId w:val="1"/>
        </w:numPr>
        <w:spacing w:after="240" w:line="240" w:lineRule="auto"/>
        <w:jc w:val="both"/>
        <w:rPr>
          <w:rFonts w:ascii="Arial" w:eastAsia="Arial" w:hAnsi="Arial" w:cs="Arial"/>
          <w:sz w:val="24"/>
          <w:szCs w:val="24"/>
        </w:rPr>
      </w:pPr>
      <w:r>
        <w:rPr>
          <w:rFonts w:ascii="Arial" w:eastAsia="Arial" w:hAnsi="Arial" w:cs="Arial"/>
          <w:color w:val="000000"/>
          <w:sz w:val="24"/>
          <w:szCs w:val="24"/>
        </w:rPr>
        <w:t xml:space="preserve">In addition to those circumstances listed in clause 15.2 to 15.4 of the Core Terms, the Buyer may internally share any information, including Confidential Information, which it receives under Paragraphs 5.2 to 5.4 (inclusive) and 5.7. </w:t>
      </w:r>
    </w:p>
    <w:p w:rsidR="00EE20A0" w:rsidRDefault="003B2083">
      <w:pPr>
        <w:pStyle w:val="Heading2"/>
        <w:keepNext w:val="0"/>
        <w:keepLines w:val="0"/>
        <w:numPr>
          <w:ilvl w:val="0"/>
          <w:numId w:val="1"/>
        </w:numPr>
        <w:pBdr>
          <w:top w:val="nil"/>
          <w:left w:val="nil"/>
          <w:bottom w:val="nil"/>
          <w:right w:val="nil"/>
          <w:between w:val="nil"/>
        </w:pBdr>
        <w:spacing w:before="0" w:after="240" w:line="240" w:lineRule="auto"/>
        <w:ind w:left="0" w:firstLine="0"/>
        <w:jc w:val="both"/>
        <w:rPr>
          <w:rFonts w:ascii="Arial" w:eastAsia="Arial" w:hAnsi="Arial" w:cs="Arial"/>
          <w:b/>
          <w:sz w:val="24"/>
          <w:szCs w:val="24"/>
        </w:rPr>
      </w:pPr>
      <w:bookmarkStart w:id="15" w:name="_heading=h.35nkun2" w:colFirst="0" w:colLast="0"/>
      <w:bookmarkEnd w:id="15"/>
      <w:r>
        <w:rPr>
          <w:rFonts w:ascii="Arial" w:eastAsia="Arial" w:hAnsi="Arial" w:cs="Arial"/>
          <w:b/>
          <w:color w:val="000000"/>
          <w:sz w:val="24"/>
          <w:szCs w:val="24"/>
        </w:rPr>
        <w:t>Use of Off-shore Tax Structures</w:t>
      </w:r>
    </w:p>
    <w:p w:rsidR="00EE20A0" w:rsidRDefault="003B2083">
      <w:pPr>
        <w:pStyle w:val="Heading2"/>
        <w:keepNext w:val="0"/>
        <w:keepLines w:val="0"/>
        <w:numPr>
          <w:ilvl w:val="1"/>
          <w:numId w:val="1"/>
        </w:numPr>
        <w:spacing w:after="240" w:line="240" w:lineRule="auto"/>
        <w:jc w:val="both"/>
        <w:rPr>
          <w:rFonts w:ascii="Arial" w:eastAsia="Arial" w:hAnsi="Arial" w:cs="Arial"/>
          <w:b/>
          <w:color w:val="000000"/>
          <w:sz w:val="24"/>
          <w:szCs w:val="24"/>
        </w:rPr>
      </w:pPr>
      <w:bookmarkStart w:id="16" w:name="_heading=h.1ksv4uv" w:colFirst="0" w:colLast="0"/>
      <w:bookmarkEnd w:id="16"/>
      <w:r>
        <w:rPr>
          <w:rFonts w:ascii="Arial" w:eastAsia="Arial" w:hAnsi="Arial" w:cs="Arial"/>
          <w:color w:val="000000"/>
          <w:sz w:val="24"/>
          <w:szCs w:val="24"/>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p>
    <w:p w:rsidR="00EE20A0" w:rsidRDefault="003B2083">
      <w:pPr>
        <w:pStyle w:val="Heading2"/>
        <w:keepNext w:val="0"/>
        <w:keepLines w:val="0"/>
        <w:numPr>
          <w:ilvl w:val="1"/>
          <w:numId w:val="1"/>
        </w:numPr>
        <w:spacing w:after="240" w:line="240" w:lineRule="auto"/>
        <w:jc w:val="both"/>
        <w:rPr>
          <w:rFonts w:ascii="Arial" w:eastAsia="Arial" w:hAnsi="Arial" w:cs="Arial"/>
          <w:sz w:val="24"/>
          <w:szCs w:val="24"/>
        </w:rPr>
      </w:pPr>
      <w:bookmarkStart w:id="17" w:name="_heading=h.44sinio" w:colFirst="0" w:colLast="0"/>
      <w:bookmarkEnd w:id="17"/>
      <w:r>
        <w:rPr>
          <w:rFonts w:ascii="Arial" w:eastAsia="Arial" w:hAnsi="Arial" w:cs="Arial"/>
          <w:color w:val="000000"/>
          <w:sz w:val="24"/>
          <w:szCs w:val="24"/>
        </w:rPr>
        <w:t>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w:t>
      </w:r>
    </w:p>
    <w:p w:rsidR="00EE20A0" w:rsidRDefault="003B2083">
      <w:pPr>
        <w:pStyle w:val="Heading2"/>
        <w:keepNext w:val="0"/>
        <w:keepLines w:val="0"/>
        <w:numPr>
          <w:ilvl w:val="1"/>
          <w:numId w:val="1"/>
        </w:numPr>
        <w:spacing w:after="240" w:line="240" w:lineRule="auto"/>
        <w:jc w:val="both"/>
        <w:rPr>
          <w:rFonts w:ascii="Arial" w:eastAsia="Arial" w:hAnsi="Arial" w:cs="Arial"/>
          <w:sz w:val="24"/>
          <w:szCs w:val="24"/>
        </w:rPr>
      </w:pPr>
      <w:bookmarkStart w:id="18" w:name="_heading=h.2jxsxqh" w:colFirst="0" w:colLast="0"/>
      <w:bookmarkEnd w:id="18"/>
      <w:r>
        <w:rPr>
          <w:rFonts w:ascii="Arial" w:eastAsia="Arial" w:hAnsi="Arial" w:cs="Arial"/>
          <w:color w:val="000000"/>
          <w:sz w:val="24"/>
          <w:szCs w:val="24"/>
        </w:rPr>
        <w:t>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34 of the Core Terms if necessary.</w:t>
      </w:r>
    </w:p>
    <w:p w:rsidR="00EE20A0" w:rsidRDefault="003B2083">
      <w:pPr>
        <w:pStyle w:val="Heading2"/>
        <w:keepNext w:val="0"/>
        <w:keepLines w:val="0"/>
        <w:numPr>
          <w:ilvl w:val="1"/>
          <w:numId w:val="1"/>
        </w:numPr>
        <w:spacing w:after="240" w:line="240" w:lineRule="auto"/>
        <w:jc w:val="both"/>
        <w:rPr>
          <w:rFonts w:ascii="Arial" w:eastAsia="Arial" w:hAnsi="Arial" w:cs="Arial"/>
          <w:sz w:val="24"/>
          <w:szCs w:val="24"/>
        </w:rPr>
      </w:pPr>
      <w:r>
        <w:rPr>
          <w:rFonts w:ascii="Arial" w:eastAsia="Arial" w:hAnsi="Arial" w:cs="Arial"/>
          <w:color w:val="000000"/>
          <w:sz w:val="24"/>
          <w:szCs w:val="24"/>
        </w:rPr>
        <w:t>Failure by the Supplier (or a Key Subcontractor) to comply with the obligations set out in Paragraphs 6.2 and 6.3 shall be deemed to be an event to which clause 10.4.1 of the Core Terms applies and Clauses 10.6.1 and 10.6.2 of the Core Terms shall apply as if the Contract had been terminated under Clause 10.4.1.</w:t>
      </w:r>
    </w:p>
    <w:p w:rsidR="00EE20A0" w:rsidRDefault="003B2083">
      <w:pPr>
        <w:pStyle w:val="Heading2"/>
        <w:keepNext w:val="0"/>
        <w:keepLines w:val="0"/>
        <w:numPr>
          <w:ilvl w:val="0"/>
          <w:numId w:val="1"/>
        </w:numPr>
        <w:pBdr>
          <w:top w:val="nil"/>
          <w:left w:val="nil"/>
          <w:bottom w:val="nil"/>
          <w:right w:val="nil"/>
          <w:between w:val="nil"/>
        </w:pBdr>
        <w:spacing w:before="0" w:after="240" w:line="240" w:lineRule="auto"/>
        <w:ind w:left="0" w:firstLine="0"/>
        <w:jc w:val="both"/>
        <w:rPr>
          <w:rFonts w:ascii="Arial" w:eastAsia="Arial" w:hAnsi="Arial" w:cs="Arial"/>
          <w:b/>
          <w:sz w:val="24"/>
          <w:szCs w:val="24"/>
        </w:rPr>
      </w:pPr>
      <w:r>
        <w:rPr>
          <w:rFonts w:ascii="Arial" w:eastAsia="Arial" w:hAnsi="Arial" w:cs="Arial"/>
          <w:b/>
          <w:color w:val="000000"/>
          <w:sz w:val="24"/>
          <w:szCs w:val="24"/>
        </w:rPr>
        <w:lastRenderedPageBreak/>
        <w:t>Data Protection and off-shoring</w:t>
      </w:r>
    </w:p>
    <w:p w:rsidR="00EE20A0" w:rsidRDefault="003B2083">
      <w:pPr>
        <w:pStyle w:val="Heading2"/>
        <w:keepNext w:val="0"/>
        <w:keepLines w:val="0"/>
        <w:numPr>
          <w:ilvl w:val="1"/>
          <w:numId w:val="1"/>
        </w:numPr>
        <w:spacing w:after="240" w:line="240" w:lineRule="auto"/>
        <w:jc w:val="both"/>
        <w:rPr>
          <w:rFonts w:ascii="Arial" w:eastAsia="Arial" w:hAnsi="Arial" w:cs="Arial"/>
          <w:sz w:val="24"/>
          <w:szCs w:val="24"/>
        </w:rPr>
      </w:pPr>
      <w:bookmarkStart w:id="19" w:name="_heading=h.z337ya" w:colFirst="0" w:colLast="0"/>
      <w:bookmarkEnd w:id="19"/>
      <w:r>
        <w:rPr>
          <w:rFonts w:ascii="Arial" w:eastAsia="Arial" w:hAnsi="Arial" w:cs="Arial"/>
          <w:color w:val="000000"/>
          <w:sz w:val="24"/>
          <w:szCs w:val="24"/>
        </w:rPr>
        <w:t>The Processor shall, in relation to any Personal Data Processed in connection with its obligations under the Contract:</w:t>
      </w:r>
    </w:p>
    <w:p w:rsidR="00EE20A0" w:rsidRDefault="003B2083">
      <w:pPr>
        <w:pStyle w:val="Heading2"/>
        <w:keepNext w:val="0"/>
        <w:keepLines w:val="0"/>
        <w:numPr>
          <w:ilvl w:val="2"/>
          <w:numId w:val="1"/>
        </w:numPr>
        <w:spacing w:before="0" w:after="240" w:line="240" w:lineRule="auto"/>
        <w:ind w:left="1418" w:hanging="698"/>
        <w:jc w:val="both"/>
        <w:rPr>
          <w:rFonts w:ascii="Arial" w:eastAsia="Arial" w:hAnsi="Arial" w:cs="Arial"/>
          <w:sz w:val="24"/>
          <w:szCs w:val="24"/>
        </w:rPr>
      </w:pPr>
      <w:r>
        <w:rPr>
          <w:rFonts w:ascii="Arial" w:eastAsia="Arial" w:hAnsi="Arial" w:cs="Arial"/>
          <w:color w:val="000000"/>
          <w:sz w:val="24"/>
          <w:szCs w:val="24"/>
        </w:rPr>
        <w:t>not transfer Personal Data outside of the United Kingdom unless the prior written consent of the Controller has been obtained and the following conditions are fulfilled:</w:t>
      </w:r>
    </w:p>
    <w:p w:rsidR="00EE20A0" w:rsidRDefault="003B2083">
      <w:pPr>
        <w:pStyle w:val="Heading2"/>
        <w:keepNext w:val="0"/>
        <w:keepLines w:val="0"/>
        <w:numPr>
          <w:ilvl w:val="3"/>
          <w:numId w:val="1"/>
        </w:numPr>
        <w:spacing w:before="0"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the Controller or the Processor has provided appropriate safeguards in relation to the transfer (whether in accordance with GDPR Article 46 or LED Article 37) as determined by the Controller;</w:t>
      </w:r>
    </w:p>
    <w:p w:rsidR="00EE20A0" w:rsidRDefault="003B2083">
      <w:pPr>
        <w:pStyle w:val="Heading2"/>
        <w:keepNext w:val="0"/>
        <w:keepLines w:val="0"/>
        <w:numPr>
          <w:ilvl w:val="3"/>
          <w:numId w:val="1"/>
        </w:numPr>
        <w:spacing w:before="0"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the Data Subject has enforceable rights and effective legal remedies;</w:t>
      </w:r>
    </w:p>
    <w:p w:rsidR="00EE20A0" w:rsidRDefault="003B2083">
      <w:pPr>
        <w:pStyle w:val="Heading2"/>
        <w:keepNext w:val="0"/>
        <w:keepLines w:val="0"/>
        <w:numPr>
          <w:ilvl w:val="3"/>
          <w:numId w:val="1"/>
        </w:numPr>
        <w:spacing w:before="0"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EE20A0" w:rsidRDefault="003B2083">
      <w:pPr>
        <w:pStyle w:val="Heading2"/>
        <w:keepNext w:val="0"/>
        <w:keepLines w:val="0"/>
        <w:numPr>
          <w:ilvl w:val="3"/>
          <w:numId w:val="1"/>
        </w:numPr>
        <w:spacing w:before="0"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the Processor complies with any reasonable instructions notified to it in advance by the Controller with respect to the Processing of the Personal Data;</w:t>
      </w:r>
    </w:p>
    <w:p w:rsidR="00EE20A0" w:rsidRDefault="003B2083">
      <w:pPr>
        <w:pStyle w:val="Heading2"/>
        <w:keepNext w:val="0"/>
        <w:keepLines w:val="0"/>
        <w:numPr>
          <w:ilvl w:val="1"/>
          <w:numId w:val="1"/>
        </w:numPr>
        <w:spacing w:after="240" w:line="240" w:lineRule="auto"/>
        <w:jc w:val="both"/>
        <w:rPr>
          <w:rFonts w:ascii="Arial" w:eastAsia="Arial" w:hAnsi="Arial" w:cs="Arial"/>
          <w:sz w:val="24"/>
          <w:szCs w:val="24"/>
        </w:rPr>
      </w:pPr>
      <w:r>
        <w:rPr>
          <w:rFonts w:ascii="Arial" w:eastAsia="Arial" w:hAnsi="Arial" w:cs="Arial"/>
          <w:color w:val="000000"/>
          <w:sz w:val="24"/>
          <w:szCs w:val="24"/>
        </w:rPr>
        <w:t xml:space="preserve">Failure by the Processor to comply with the obligations set out in Paragraph 7.1 shall be deemed to be an event to which clause 10.4.1 of the Core Terms applies and Clauses 10.6.1 and 10.6.2 of the Core Terms shall apply as if the Contract had been terminated under Clause 10.4.1. </w:t>
      </w:r>
    </w:p>
    <w:p w:rsidR="00EE20A0" w:rsidRDefault="003B2083">
      <w:pPr>
        <w:pStyle w:val="Heading2"/>
        <w:keepNext w:val="0"/>
        <w:keepLines w:val="0"/>
        <w:numPr>
          <w:ilvl w:val="0"/>
          <w:numId w:val="1"/>
        </w:numPr>
        <w:pBdr>
          <w:top w:val="nil"/>
          <w:left w:val="nil"/>
          <w:bottom w:val="nil"/>
          <w:right w:val="nil"/>
          <w:between w:val="nil"/>
        </w:pBdr>
        <w:spacing w:before="0" w:after="240" w:line="240" w:lineRule="auto"/>
        <w:ind w:left="567" w:hanging="567"/>
        <w:jc w:val="both"/>
        <w:rPr>
          <w:rFonts w:ascii="Arial" w:eastAsia="Arial" w:hAnsi="Arial" w:cs="Arial"/>
          <w:b/>
          <w:sz w:val="24"/>
          <w:szCs w:val="24"/>
        </w:rPr>
      </w:pPr>
      <w:bookmarkStart w:id="20" w:name="_heading=h.3j2qqm3" w:colFirst="0" w:colLast="0"/>
      <w:bookmarkEnd w:id="20"/>
      <w:r>
        <w:rPr>
          <w:rFonts w:ascii="Arial" w:eastAsia="Arial" w:hAnsi="Arial" w:cs="Arial"/>
          <w:b/>
          <w:color w:val="000000"/>
          <w:sz w:val="24"/>
          <w:szCs w:val="24"/>
        </w:rPr>
        <w:t xml:space="preserve">Commissioners for Revenue and Customs Act 2005 and related Legislation </w:t>
      </w:r>
    </w:p>
    <w:p w:rsidR="00EE20A0" w:rsidRDefault="003B2083">
      <w:pPr>
        <w:pStyle w:val="Heading2"/>
        <w:keepNext w:val="0"/>
        <w:keepLines w:val="0"/>
        <w:numPr>
          <w:ilvl w:val="1"/>
          <w:numId w:val="1"/>
        </w:numPr>
        <w:spacing w:after="240" w:line="240" w:lineRule="auto"/>
        <w:ind w:left="851" w:hanging="709"/>
        <w:jc w:val="both"/>
        <w:rPr>
          <w:rFonts w:ascii="Arial" w:eastAsia="Arial" w:hAnsi="Arial" w:cs="Arial"/>
          <w:sz w:val="24"/>
          <w:szCs w:val="24"/>
        </w:rPr>
      </w:pPr>
      <w:bookmarkStart w:id="21" w:name="_heading=h.1y810tw" w:colFirst="0" w:colLast="0"/>
      <w:bookmarkEnd w:id="21"/>
      <w:r>
        <w:rPr>
          <w:rFonts w:ascii="Arial" w:eastAsia="Arial" w:hAnsi="Arial" w:cs="Arial"/>
          <w:color w:val="000000"/>
          <w:sz w:val="24"/>
          <w:szCs w:val="24"/>
        </w:rPr>
        <w:t>The Supplier shall comply with, and shall ensure that all Supplier Staff who will have access to, or are provided with, Government Data comply with the obligations set out in Section 18 of the Commissioners for Revenue and Customs Act 2005 (“</w:t>
      </w:r>
      <w:r>
        <w:rPr>
          <w:rFonts w:ascii="Arial" w:eastAsia="Arial" w:hAnsi="Arial" w:cs="Arial"/>
          <w:b/>
          <w:color w:val="000000"/>
          <w:sz w:val="24"/>
          <w:szCs w:val="24"/>
        </w:rPr>
        <w:t>CRCA</w:t>
      </w:r>
      <w:r>
        <w:rPr>
          <w:rFonts w:ascii="Arial" w:eastAsia="Arial" w:hAnsi="Arial" w:cs="Arial"/>
          <w:color w:val="000000"/>
          <w:sz w:val="24"/>
          <w:szCs w:val="24"/>
        </w:rPr>
        <w:t xml:space="preserve">”) to maintain the confidentiality of Government Data.  Further, the Supplier acknowledges that (without prejudice to any other rights and remedies of the Buyer) a breach of those obligations may lead to a prosecution under Section 19 of CRCA. </w:t>
      </w:r>
    </w:p>
    <w:p w:rsidR="00EE20A0" w:rsidRDefault="003B2083">
      <w:pPr>
        <w:pStyle w:val="Heading2"/>
        <w:keepNext w:val="0"/>
        <w:keepLines w:val="0"/>
        <w:numPr>
          <w:ilvl w:val="1"/>
          <w:numId w:val="1"/>
        </w:numPr>
        <w:spacing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Pr>
          <w:i/>
          <w:color w:val="000000"/>
        </w:rPr>
        <w:t xml:space="preserve"> </w:t>
      </w:r>
      <w:r>
        <w:rPr>
          <w:rFonts w:ascii="Arial" w:eastAsia="Arial" w:hAnsi="Arial" w:cs="Arial"/>
          <w:color w:val="000000"/>
          <w:sz w:val="24"/>
          <w:szCs w:val="24"/>
        </w:rPr>
        <w:t xml:space="preserve">Further, the Supplier acknowledges that (without prejudice to any other rights and remedies of the Buyer) a breach of those obligations may lead to prosecution under those Acts. </w:t>
      </w:r>
    </w:p>
    <w:p w:rsidR="00EE20A0" w:rsidRDefault="003B2083">
      <w:pPr>
        <w:pStyle w:val="Heading2"/>
        <w:keepNext w:val="0"/>
        <w:keepLines w:val="0"/>
        <w:numPr>
          <w:ilvl w:val="1"/>
          <w:numId w:val="1"/>
        </w:numPr>
        <w:spacing w:after="240" w:line="240" w:lineRule="auto"/>
        <w:ind w:left="851" w:hanging="709"/>
        <w:jc w:val="both"/>
        <w:rPr>
          <w:rFonts w:ascii="Arial" w:eastAsia="Arial" w:hAnsi="Arial" w:cs="Arial"/>
          <w:sz w:val="24"/>
          <w:szCs w:val="24"/>
        </w:rPr>
      </w:pPr>
      <w:r>
        <w:rPr>
          <w:rFonts w:ascii="Arial" w:eastAsia="Arial" w:hAnsi="Arial" w:cs="Arial"/>
          <w:color w:val="000000"/>
          <w:sz w:val="24"/>
          <w:szCs w:val="24"/>
        </w:rPr>
        <w:lastRenderedPageBreak/>
        <w:t>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p>
    <w:p w:rsidR="00EE20A0" w:rsidRDefault="003B2083">
      <w:pPr>
        <w:pStyle w:val="Heading2"/>
        <w:keepNext w:val="0"/>
        <w:keepLines w:val="0"/>
        <w:numPr>
          <w:ilvl w:val="1"/>
          <w:numId w:val="1"/>
        </w:numPr>
        <w:spacing w:after="240" w:line="240" w:lineRule="auto"/>
        <w:ind w:left="851" w:hanging="709"/>
        <w:jc w:val="both"/>
        <w:rPr>
          <w:rFonts w:ascii="Arial" w:eastAsia="Arial" w:hAnsi="Arial" w:cs="Arial"/>
          <w:sz w:val="24"/>
          <w:szCs w:val="24"/>
        </w:rPr>
      </w:pPr>
      <w:r>
        <w:rPr>
          <w:rFonts w:ascii="Arial" w:eastAsia="Arial" w:hAnsi="Arial" w:cs="Arial"/>
          <w:color w:val="000000"/>
          <w:sz w:val="24"/>
          <w:szCs w:val="24"/>
        </w:rPr>
        <w:t>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w:t>
      </w:r>
    </w:p>
    <w:p w:rsidR="00EE20A0" w:rsidRDefault="003B2083">
      <w:pPr>
        <w:pStyle w:val="Heading2"/>
        <w:keepNext w:val="0"/>
        <w:keepLines w:val="0"/>
        <w:numPr>
          <w:ilvl w:val="1"/>
          <w:numId w:val="1"/>
        </w:numPr>
        <w:spacing w:after="240" w:line="240" w:lineRule="auto"/>
        <w:ind w:left="851" w:hanging="709"/>
        <w:jc w:val="both"/>
        <w:rPr>
          <w:rFonts w:ascii="Arial" w:eastAsia="Arial" w:hAnsi="Arial" w:cs="Arial"/>
          <w:sz w:val="24"/>
          <w:szCs w:val="24"/>
        </w:rPr>
      </w:pPr>
      <w:r>
        <w:rPr>
          <w:rFonts w:ascii="Arial" w:eastAsia="Arial" w:hAnsi="Arial" w:cs="Arial"/>
          <w:color w:val="000000"/>
          <w:sz w:val="24"/>
          <w:szCs w:val="24"/>
        </w:rPr>
        <w:t>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p>
    <w:p w:rsidR="00EE20A0" w:rsidRDefault="003B2083">
      <w:pPr>
        <w:pStyle w:val="Heading2"/>
        <w:keepNext w:val="0"/>
        <w:keepLines w:val="0"/>
        <w:numPr>
          <w:ilvl w:val="1"/>
          <w:numId w:val="1"/>
        </w:numPr>
        <w:spacing w:after="240" w:line="240" w:lineRule="auto"/>
        <w:ind w:left="851" w:hanging="709"/>
        <w:jc w:val="both"/>
        <w:rPr>
          <w:rFonts w:ascii="Arial" w:eastAsia="Arial" w:hAnsi="Arial" w:cs="Arial"/>
          <w:sz w:val="24"/>
          <w:szCs w:val="24"/>
        </w:rPr>
      </w:pPr>
      <w:r>
        <w:rPr>
          <w:rFonts w:ascii="Arial" w:eastAsia="Arial" w:hAnsi="Arial" w:cs="Arial"/>
          <w:color w:val="000000"/>
          <w:sz w:val="24"/>
          <w:szCs w:val="24"/>
        </w:rPr>
        <w:t xml:space="preserve">In the event that the Supplier or the Supplier Staff fail to comply with this Paragraph 8, the Buyer reserves the right to terminate the Contract as if that failure to comply were an event to which clause 10.4.1 of the Core Terms applies. </w:t>
      </w:r>
    </w:p>
    <w:p w:rsidR="00EE20A0" w:rsidRDefault="003B2083">
      <w:pPr>
        <w:spacing w:after="240" w:line="240" w:lineRule="auto"/>
        <w:jc w:val="center"/>
        <w:rPr>
          <w:rFonts w:ascii="Arial" w:eastAsia="Arial" w:hAnsi="Arial" w:cs="Arial"/>
          <w:b/>
          <w:sz w:val="24"/>
          <w:szCs w:val="24"/>
        </w:rPr>
      </w:pPr>
      <w:r>
        <w:br w:type="page"/>
      </w:r>
      <w:r>
        <w:rPr>
          <w:rFonts w:ascii="Arial" w:eastAsia="Arial" w:hAnsi="Arial" w:cs="Arial"/>
          <w:b/>
          <w:sz w:val="24"/>
          <w:szCs w:val="24"/>
        </w:rPr>
        <w:lastRenderedPageBreak/>
        <w:t>Annex 1</w:t>
      </w:r>
    </w:p>
    <w:p w:rsidR="00EE20A0" w:rsidRDefault="003B2083">
      <w:pPr>
        <w:spacing w:after="240" w:line="240" w:lineRule="auto"/>
        <w:jc w:val="center"/>
        <w:rPr>
          <w:rFonts w:ascii="Arial" w:eastAsia="Arial" w:hAnsi="Arial" w:cs="Arial"/>
          <w:b/>
          <w:sz w:val="24"/>
          <w:szCs w:val="24"/>
        </w:rPr>
      </w:pPr>
      <w:r>
        <w:rPr>
          <w:rFonts w:ascii="Arial" w:eastAsia="Arial" w:hAnsi="Arial" w:cs="Arial"/>
          <w:b/>
          <w:sz w:val="24"/>
          <w:szCs w:val="24"/>
        </w:rPr>
        <w:t>Excerpt from HMRC’s “Test for Tax Non-Compliance”</w:t>
      </w:r>
    </w:p>
    <w:p w:rsidR="00EE20A0" w:rsidRDefault="003B2083">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one (An in-scope entity or person)</w:t>
      </w:r>
    </w:p>
    <w:p w:rsidR="00EE20A0" w:rsidRDefault="00EE20A0">
      <w:pPr>
        <w:pBdr>
          <w:top w:val="nil"/>
          <w:left w:val="nil"/>
          <w:bottom w:val="nil"/>
          <w:right w:val="nil"/>
          <w:between w:val="nil"/>
        </w:pBdr>
        <w:spacing w:after="240" w:line="240" w:lineRule="auto"/>
        <w:jc w:val="both"/>
        <w:rPr>
          <w:rFonts w:ascii="Arial" w:eastAsia="Arial" w:hAnsi="Arial" w:cs="Arial"/>
          <w:color w:val="000000"/>
          <w:sz w:val="24"/>
          <w:szCs w:val="24"/>
        </w:rPr>
      </w:pPr>
    </w:p>
    <w:p w:rsidR="00EE20A0" w:rsidRDefault="003B2083">
      <w:pPr>
        <w:numPr>
          <w:ilvl w:val="0"/>
          <w:numId w:val="7"/>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There is a person or entity which is either: (“X”)</w:t>
      </w:r>
    </w:p>
    <w:p w:rsidR="00EE20A0" w:rsidRDefault="00EE20A0">
      <w:pPr>
        <w:pBdr>
          <w:top w:val="nil"/>
          <w:left w:val="nil"/>
          <w:bottom w:val="nil"/>
          <w:right w:val="nil"/>
          <w:between w:val="nil"/>
        </w:pBdr>
        <w:spacing w:after="240" w:line="240" w:lineRule="auto"/>
        <w:ind w:left="284" w:firstLine="60"/>
        <w:jc w:val="both"/>
        <w:rPr>
          <w:rFonts w:ascii="Arial" w:eastAsia="Arial" w:hAnsi="Arial" w:cs="Arial"/>
          <w:color w:val="000000"/>
          <w:sz w:val="24"/>
          <w:szCs w:val="24"/>
        </w:rPr>
      </w:pPr>
    </w:p>
    <w:p w:rsidR="00EE20A0" w:rsidRDefault="003B2083">
      <w:pPr>
        <w:numPr>
          <w:ilvl w:val="0"/>
          <w:numId w:val="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The Economic Operator or Essential Subcontractor (EOS)</w:t>
      </w:r>
    </w:p>
    <w:p w:rsidR="00EE20A0" w:rsidRDefault="003B2083">
      <w:pPr>
        <w:numPr>
          <w:ilvl w:val="0"/>
          <w:numId w:val="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Arial" w:eastAsia="Arial" w:hAnsi="Arial" w:cs="Arial"/>
          <w:i/>
          <w:color w:val="000000"/>
          <w:sz w:val="24"/>
          <w:szCs w:val="24"/>
        </w:rPr>
        <w:t>IFRS 10 Consolidated Financial Accounts</w:t>
      </w:r>
      <w:r>
        <w:rPr>
          <w:rFonts w:ascii="Arial" w:eastAsia="Arial" w:hAnsi="Arial" w:cs="Arial"/>
          <w:i/>
          <w:color w:val="000000"/>
          <w:sz w:val="24"/>
          <w:szCs w:val="24"/>
          <w:vertAlign w:val="superscript"/>
        </w:rPr>
        <w:footnoteReference w:id="1"/>
      </w:r>
      <w:r>
        <w:rPr>
          <w:rFonts w:ascii="Arial" w:eastAsia="Arial" w:hAnsi="Arial" w:cs="Arial"/>
          <w:color w:val="000000"/>
          <w:sz w:val="24"/>
          <w:szCs w:val="24"/>
        </w:rPr>
        <w:t>;</w:t>
      </w:r>
    </w:p>
    <w:p w:rsidR="00EE20A0" w:rsidRDefault="003B2083">
      <w:pPr>
        <w:numPr>
          <w:ilvl w:val="0"/>
          <w:numId w:val="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Any director, shareholder or other person (P) which exercises control over EOS. ‘Control’ means P can secure, through holding of shares or powers under articles of association or other document that EOS’s affairs are conducted in accordance with P’s wishes.</w:t>
      </w:r>
    </w:p>
    <w:p w:rsidR="00EE20A0" w:rsidRDefault="003B2083">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rsidR="00EE20A0" w:rsidRDefault="003B2083">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two (Arrangements involving evasion, abuse or tax avoidance)</w:t>
      </w:r>
    </w:p>
    <w:p w:rsidR="00EE20A0" w:rsidRDefault="003B2083">
      <w:pPr>
        <w:numPr>
          <w:ilvl w:val="0"/>
          <w:numId w:val="7"/>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X has been engaged in one or more of the following:</w:t>
      </w:r>
    </w:p>
    <w:p w:rsidR="00EE20A0" w:rsidRDefault="00EE20A0">
      <w:pPr>
        <w:pBdr>
          <w:top w:val="nil"/>
          <w:left w:val="nil"/>
          <w:bottom w:val="nil"/>
          <w:right w:val="nil"/>
          <w:between w:val="nil"/>
        </w:pBdr>
        <w:spacing w:after="240" w:line="240" w:lineRule="auto"/>
        <w:jc w:val="both"/>
        <w:rPr>
          <w:rFonts w:ascii="Arial" w:eastAsia="Arial" w:hAnsi="Arial" w:cs="Arial"/>
          <w:color w:val="000000"/>
          <w:sz w:val="24"/>
          <w:szCs w:val="24"/>
        </w:rPr>
      </w:pPr>
    </w:p>
    <w:p w:rsidR="00EE20A0" w:rsidRDefault="003B2083">
      <w:pPr>
        <w:numPr>
          <w:ilvl w:val="1"/>
          <w:numId w:val="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Fraudulent evasion</w:t>
      </w:r>
      <w:r>
        <w:rPr>
          <w:rFonts w:ascii="Arial" w:eastAsia="Arial" w:hAnsi="Arial" w:cs="Arial"/>
          <w:color w:val="000000"/>
          <w:sz w:val="24"/>
          <w:szCs w:val="24"/>
          <w:vertAlign w:val="superscript"/>
        </w:rPr>
        <w:footnoteReference w:id="2"/>
      </w:r>
      <w:r>
        <w:rPr>
          <w:rFonts w:ascii="Arial" w:eastAsia="Arial" w:hAnsi="Arial" w:cs="Arial"/>
          <w:color w:val="000000"/>
          <w:sz w:val="24"/>
          <w:szCs w:val="24"/>
        </w:rPr>
        <w:t>;</w:t>
      </w:r>
    </w:p>
    <w:p w:rsidR="00EE20A0" w:rsidRDefault="003B2083">
      <w:pPr>
        <w:numPr>
          <w:ilvl w:val="1"/>
          <w:numId w:val="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General Anti-Abuse Rule</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w:t>
      </w:r>
    </w:p>
    <w:p w:rsidR="00EE20A0" w:rsidRDefault="003B2083">
      <w:pPr>
        <w:numPr>
          <w:ilvl w:val="1"/>
          <w:numId w:val="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Halifax Abuse principle</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w:t>
      </w:r>
    </w:p>
    <w:p w:rsidR="00EE20A0" w:rsidRDefault="003B2083">
      <w:pPr>
        <w:numPr>
          <w:ilvl w:val="1"/>
          <w:numId w:val="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Entered into arrangements caught by a DOTAS or VADR scheme</w:t>
      </w:r>
      <w:r>
        <w:rPr>
          <w:rFonts w:ascii="Arial" w:eastAsia="Arial" w:hAnsi="Arial" w:cs="Arial"/>
          <w:color w:val="000000"/>
          <w:sz w:val="24"/>
          <w:szCs w:val="24"/>
          <w:vertAlign w:val="superscript"/>
        </w:rPr>
        <w:footnoteReference w:id="5"/>
      </w:r>
      <w:r>
        <w:rPr>
          <w:rFonts w:ascii="Arial" w:eastAsia="Arial" w:hAnsi="Arial" w:cs="Arial"/>
          <w:color w:val="000000"/>
          <w:sz w:val="24"/>
          <w:szCs w:val="24"/>
        </w:rPr>
        <w:t>;</w:t>
      </w:r>
    </w:p>
    <w:p w:rsidR="00EE20A0" w:rsidRDefault="003B2083">
      <w:pPr>
        <w:numPr>
          <w:ilvl w:val="1"/>
          <w:numId w:val="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lastRenderedPageBreak/>
        <w:t>Conduct caught by a recognised ‘anti-avoidance rule’</w:t>
      </w:r>
      <w:r>
        <w:rPr>
          <w:rFonts w:ascii="Arial" w:eastAsia="Arial" w:hAnsi="Arial" w:cs="Arial"/>
          <w:color w:val="000000"/>
          <w:sz w:val="24"/>
          <w:szCs w:val="24"/>
          <w:vertAlign w:val="superscript"/>
        </w:rPr>
        <w:footnoteReference w:id="6"/>
      </w:r>
      <w:r>
        <w:rPr>
          <w:rFonts w:ascii="Arial" w:eastAsia="Arial" w:hAnsi="Arial" w:cs="Arial"/>
          <w:color w:val="000000"/>
          <w:sz w:val="24"/>
          <w:szCs w:val="24"/>
        </w:rPr>
        <w:t xml:space="preserve"> being a statutory provision which targets arrangements where either a main purpose, or an expected benefit, is to obtain a tax advantage or where the arrangement is not </w:t>
      </w:r>
      <w:proofErr w:type="gramStart"/>
      <w:r>
        <w:rPr>
          <w:rFonts w:ascii="Arial" w:eastAsia="Arial" w:hAnsi="Arial" w:cs="Arial"/>
          <w:color w:val="000000"/>
          <w:sz w:val="24"/>
          <w:szCs w:val="24"/>
        </w:rPr>
        <w:t>effected</w:t>
      </w:r>
      <w:proofErr w:type="gramEnd"/>
      <w:r>
        <w:rPr>
          <w:rFonts w:ascii="Arial" w:eastAsia="Arial" w:hAnsi="Arial" w:cs="Arial"/>
          <w:color w:val="000000"/>
          <w:sz w:val="24"/>
          <w:szCs w:val="24"/>
        </w:rPr>
        <w:t xml:space="preserve"> for commercial purposes. ‘Targeted Anti-Avoidance Rules’ (TAARs). It may be useful to confirm that the Diverted Profits Tax is a TAAR for these purposes;</w:t>
      </w:r>
    </w:p>
    <w:p w:rsidR="00EE20A0" w:rsidRDefault="003B2083">
      <w:pPr>
        <w:numPr>
          <w:ilvl w:val="1"/>
          <w:numId w:val="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Entered into an avoidance scheme identified by HMRC’s published Spotlights list</w:t>
      </w:r>
      <w:r>
        <w:rPr>
          <w:rFonts w:ascii="Arial" w:eastAsia="Arial" w:hAnsi="Arial" w:cs="Arial"/>
          <w:color w:val="000000"/>
          <w:sz w:val="24"/>
          <w:szCs w:val="24"/>
          <w:vertAlign w:val="superscript"/>
        </w:rPr>
        <w:footnoteReference w:id="7"/>
      </w:r>
      <w:r>
        <w:rPr>
          <w:rFonts w:ascii="Arial" w:eastAsia="Arial" w:hAnsi="Arial" w:cs="Arial"/>
          <w:color w:val="000000"/>
          <w:sz w:val="24"/>
          <w:szCs w:val="24"/>
        </w:rPr>
        <w:t>;</w:t>
      </w:r>
    </w:p>
    <w:p w:rsidR="00EE20A0" w:rsidRDefault="003B2083">
      <w:pPr>
        <w:numPr>
          <w:ilvl w:val="1"/>
          <w:numId w:val="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Engaged in conduct which falls under rules in other jurisdictions which are equivalent or similar to (a) to (f) above.</w:t>
      </w:r>
    </w:p>
    <w:p w:rsidR="00EE20A0" w:rsidRDefault="003B2083">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three (Arrangements are admitted, or subject to litigation/prosecution or identified in a published list (Spotlights))</w:t>
      </w:r>
    </w:p>
    <w:p w:rsidR="00EE20A0" w:rsidRDefault="003B2083">
      <w:pPr>
        <w:numPr>
          <w:ilvl w:val="0"/>
          <w:numId w:val="7"/>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X’s activity in </w:t>
      </w:r>
      <w:r>
        <w:rPr>
          <w:rFonts w:ascii="Arial" w:eastAsia="Arial" w:hAnsi="Arial" w:cs="Arial"/>
          <w:i/>
          <w:color w:val="000000"/>
          <w:sz w:val="24"/>
          <w:szCs w:val="24"/>
        </w:rPr>
        <w:t>Condition 2</w:t>
      </w:r>
      <w:r>
        <w:rPr>
          <w:rFonts w:ascii="Arial" w:eastAsia="Arial" w:hAnsi="Arial" w:cs="Arial"/>
          <w:color w:val="000000"/>
          <w:sz w:val="24"/>
          <w:szCs w:val="24"/>
        </w:rPr>
        <w:t xml:space="preserve"> is, where applicable, subject to dispute and/or litigation as follows:</w:t>
      </w:r>
    </w:p>
    <w:p w:rsidR="00EE20A0" w:rsidRDefault="00EE20A0">
      <w:pPr>
        <w:pBdr>
          <w:top w:val="nil"/>
          <w:left w:val="nil"/>
          <w:bottom w:val="nil"/>
          <w:right w:val="nil"/>
          <w:between w:val="nil"/>
        </w:pBdr>
        <w:spacing w:after="240" w:line="240" w:lineRule="auto"/>
        <w:ind w:firstLine="60"/>
        <w:rPr>
          <w:rFonts w:ascii="Arial" w:eastAsia="Arial" w:hAnsi="Arial" w:cs="Arial"/>
          <w:color w:val="000000"/>
          <w:sz w:val="24"/>
          <w:szCs w:val="24"/>
        </w:rPr>
      </w:pPr>
    </w:p>
    <w:p w:rsidR="00EE20A0" w:rsidRDefault="003B2083">
      <w:pPr>
        <w:numPr>
          <w:ilvl w:val="1"/>
          <w:numId w:val="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(a), either X:</w:t>
      </w:r>
    </w:p>
    <w:p w:rsidR="00EE20A0" w:rsidRDefault="003B2083">
      <w:pPr>
        <w:numPr>
          <w:ilvl w:val="2"/>
          <w:numId w:val="5"/>
        </w:numPr>
        <w:pBdr>
          <w:top w:val="nil"/>
          <w:left w:val="nil"/>
          <w:bottom w:val="nil"/>
          <w:right w:val="nil"/>
          <w:between w:val="nil"/>
        </w:pBd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Has accepted the terms of an offer made under a Contractual Disclosure Facility (CDF) pursuant to the Code of Practice 9 (COP9) procedure</w:t>
      </w:r>
      <w:r>
        <w:rPr>
          <w:rFonts w:ascii="Arial" w:eastAsia="Arial" w:hAnsi="Arial" w:cs="Arial"/>
          <w:color w:val="000000"/>
          <w:sz w:val="24"/>
          <w:szCs w:val="24"/>
          <w:vertAlign w:val="superscript"/>
        </w:rPr>
        <w:footnoteReference w:id="8"/>
      </w:r>
      <w:r>
        <w:rPr>
          <w:rFonts w:ascii="Arial" w:eastAsia="Arial" w:hAnsi="Arial" w:cs="Arial"/>
          <w:color w:val="000000"/>
          <w:sz w:val="24"/>
          <w:szCs w:val="24"/>
        </w:rPr>
        <w:t>; or,</w:t>
      </w:r>
    </w:p>
    <w:p w:rsidR="00EE20A0" w:rsidRDefault="003B2083">
      <w:pPr>
        <w:numPr>
          <w:ilvl w:val="2"/>
          <w:numId w:val="5"/>
        </w:numPr>
        <w:pBdr>
          <w:top w:val="nil"/>
          <w:left w:val="nil"/>
          <w:bottom w:val="nil"/>
          <w:right w:val="nil"/>
          <w:between w:val="nil"/>
        </w:pBd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Has been charged with an offence of fraudulent evasion. </w:t>
      </w:r>
    </w:p>
    <w:p w:rsidR="00EE20A0" w:rsidRDefault="003B2083">
      <w:pPr>
        <w:numPr>
          <w:ilvl w:val="1"/>
          <w:numId w:val="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rsidR="00EE20A0" w:rsidRDefault="003B2083">
      <w:pPr>
        <w:numPr>
          <w:ilvl w:val="1"/>
          <w:numId w:val="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lastRenderedPageBreak/>
        <w:t>In respect of (b) to (e), during an HMRC enquiry, if it has been agreed between HMRC and X that there is a pause with the enquiry in order to await the outcome of related litigation.</w:t>
      </w:r>
    </w:p>
    <w:p w:rsidR="00EE20A0" w:rsidRDefault="003B2083">
      <w:pPr>
        <w:numPr>
          <w:ilvl w:val="1"/>
          <w:numId w:val="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(f) this condition is satisfied without any further steps being taken.</w:t>
      </w:r>
    </w:p>
    <w:p w:rsidR="00EE20A0" w:rsidRDefault="003B2083">
      <w:pPr>
        <w:numPr>
          <w:ilvl w:val="1"/>
          <w:numId w:val="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(g) the foreign equivalent to each of the corresponding steps set out above in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to (iii).</w:t>
      </w:r>
    </w:p>
    <w:p w:rsidR="00EE20A0" w:rsidRDefault="003B2083">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rsidR="00EE20A0" w:rsidRDefault="003B2083">
      <w:pPr>
        <w:pStyle w:val="Heading3"/>
        <w:keepNext w:val="0"/>
        <w:keepLines w:val="0"/>
        <w:spacing w:before="0" w:after="240" w:line="240" w:lineRule="auto"/>
        <w:jc w:val="both"/>
        <w:rPr>
          <w:rFonts w:ascii="Arial" w:eastAsia="Arial" w:hAnsi="Arial" w:cs="Arial"/>
          <w:color w:val="000000"/>
        </w:rPr>
      </w:pPr>
      <w:r>
        <w:rPr>
          <w:rFonts w:ascii="Arial" w:eastAsia="Arial" w:hAnsi="Arial" w:cs="Arial"/>
          <w:color w:val="000000"/>
        </w:rPr>
        <w:t xml:space="preserve">For the avoidance of doubt, any reference in this Annex 1 to any Law includes a reference to that Law as amended, extended, consolidated or re-enacted from time to time including any implementing or successor legislation. </w:t>
      </w:r>
    </w:p>
    <w:p w:rsidR="00EE20A0" w:rsidRDefault="003B2083">
      <w:pPr>
        <w:spacing w:after="240" w:line="240" w:lineRule="auto"/>
        <w:rPr>
          <w:rFonts w:ascii="Arial" w:eastAsia="Arial" w:hAnsi="Arial" w:cs="Arial"/>
          <w:sz w:val="24"/>
          <w:szCs w:val="24"/>
        </w:rPr>
      </w:pPr>
      <w:r>
        <w:br w:type="page"/>
      </w:r>
    </w:p>
    <w:p w:rsidR="00EE20A0" w:rsidRDefault="003B2083">
      <w:pPr>
        <w:spacing w:after="240" w:line="240" w:lineRule="auto"/>
        <w:jc w:val="center"/>
        <w:rPr>
          <w:rFonts w:ascii="Arial" w:eastAsia="Arial" w:hAnsi="Arial" w:cs="Arial"/>
          <w:b/>
          <w:sz w:val="24"/>
          <w:szCs w:val="24"/>
        </w:rPr>
      </w:pPr>
      <w:r>
        <w:rPr>
          <w:rFonts w:ascii="Arial" w:eastAsia="Arial" w:hAnsi="Arial" w:cs="Arial"/>
          <w:b/>
          <w:sz w:val="24"/>
          <w:szCs w:val="24"/>
        </w:rPr>
        <w:lastRenderedPageBreak/>
        <w:t xml:space="preserve">Annex 2 Form </w:t>
      </w:r>
    </w:p>
    <w:p w:rsidR="00EE20A0" w:rsidRDefault="003B2083">
      <w:pPr>
        <w:spacing w:after="240" w:line="240" w:lineRule="auto"/>
        <w:jc w:val="center"/>
        <w:rPr>
          <w:rFonts w:ascii="Arial" w:eastAsia="Arial" w:hAnsi="Arial" w:cs="Arial"/>
          <w:b/>
          <w:sz w:val="24"/>
          <w:szCs w:val="24"/>
        </w:rPr>
      </w:pPr>
      <w:r>
        <w:rPr>
          <w:rFonts w:ascii="Arial" w:eastAsia="Arial" w:hAnsi="Arial" w:cs="Arial"/>
          <w:b/>
          <w:sz w:val="24"/>
          <w:szCs w:val="24"/>
        </w:rPr>
        <w:t xml:space="preserve">CONFIDENTIALITY DECLARATION </w:t>
      </w:r>
    </w:p>
    <w:p w:rsidR="00EE20A0" w:rsidRDefault="003B2083">
      <w:pPr>
        <w:spacing w:after="240" w:line="240" w:lineRule="auto"/>
        <w:jc w:val="both"/>
        <w:rPr>
          <w:rFonts w:ascii="Arial" w:eastAsia="Arial" w:hAnsi="Arial" w:cs="Arial"/>
          <w:sz w:val="24"/>
          <w:szCs w:val="24"/>
        </w:rPr>
      </w:pPr>
      <w:r>
        <w:rPr>
          <w:rFonts w:ascii="Arial" w:eastAsia="Arial" w:hAnsi="Arial" w:cs="Arial"/>
          <w:sz w:val="24"/>
          <w:szCs w:val="24"/>
        </w:rPr>
        <w:t>CONTRACT REFERENCE: [</w:t>
      </w:r>
      <w:r>
        <w:rPr>
          <w:rFonts w:ascii="Arial" w:eastAsia="Arial" w:hAnsi="Arial" w:cs="Arial"/>
          <w:sz w:val="24"/>
          <w:szCs w:val="24"/>
          <w:highlight w:val="yellow"/>
        </w:rPr>
        <w:t>for Supplier to insert Contract reference number and contract date</w:t>
      </w:r>
      <w:r>
        <w:rPr>
          <w:rFonts w:ascii="Arial" w:eastAsia="Arial" w:hAnsi="Arial" w:cs="Arial"/>
          <w:sz w:val="24"/>
          <w:szCs w:val="24"/>
        </w:rPr>
        <w:t>] ((‘the Agreement’)</w:t>
      </w:r>
    </w:p>
    <w:p w:rsidR="00EE20A0" w:rsidRDefault="003B2083">
      <w:pPr>
        <w:spacing w:after="240" w:line="240" w:lineRule="auto"/>
        <w:jc w:val="both"/>
        <w:rPr>
          <w:rFonts w:ascii="Arial" w:eastAsia="Arial" w:hAnsi="Arial" w:cs="Arial"/>
          <w:sz w:val="24"/>
          <w:szCs w:val="24"/>
        </w:rPr>
      </w:pPr>
      <w:r>
        <w:rPr>
          <w:rFonts w:ascii="Arial" w:eastAsia="Arial" w:hAnsi="Arial" w:cs="Arial"/>
          <w:sz w:val="24"/>
          <w:szCs w:val="24"/>
        </w:rPr>
        <w:t>DECLARATION:</w:t>
      </w:r>
    </w:p>
    <w:p w:rsidR="00EE20A0" w:rsidRDefault="003B2083">
      <w:pPr>
        <w:spacing w:after="240" w:line="240" w:lineRule="auto"/>
        <w:jc w:val="both"/>
        <w:rPr>
          <w:rFonts w:ascii="Arial" w:eastAsia="Arial" w:hAnsi="Arial" w:cs="Arial"/>
          <w:sz w:val="24"/>
          <w:szCs w:val="24"/>
        </w:rPr>
      </w:pPr>
      <w:r>
        <w:rPr>
          <w:rFonts w:ascii="Arial" w:eastAsia="Arial" w:hAnsi="Arial" w:cs="Arial"/>
          <w:sz w:val="24"/>
          <w:szCs w:val="24"/>
        </w:rPr>
        <w:t xml:space="preserve">I solemnly declare that: </w:t>
      </w:r>
    </w:p>
    <w:p w:rsidR="00EE20A0" w:rsidRDefault="003B2083">
      <w:pPr>
        <w:numPr>
          <w:ilvl w:val="0"/>
          <w:numId w:val="3"/>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I am aware that the duty of confidentiality imposed by section 18 of the Commissioners for Revenue and Customs Act 2005 applies to Government Data (as defined in the Agreement) that has been or will be provided to me in accordance with the Agreement.</w:t>
      </w:r>
    </w:p>
    <w:p w:rsidR="00EE20A0" w:rsidRDefault="003B2083">
      <w:pPr>
        <w:numPr>
          <w:ilvl w:val="0"/>
          <w:numId w:val="3"/>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I understand and acknowledge that under Section 19 of the Commissioners for Revenue and Customs Act 2005 it may be a criminal offence to disclose any Government Data provided to me. </w:t>
      </w:r>
    </w:p>
    <w:p w:rsidR="00EE20A0" w:rsidRDefault="00EE20A0">
      <w:pPr>
        <w:pBdr>
          <w:top w:val="nil"/>
          <w:left w:val="nil"/>
          <w:bottom w:val="nil"/>
          <w:right w:val="nil"/>
          <w:between w:val="nil"/>
        </w:pBdr>
        <w:spacing w:after="240" w:line="240" w:lineRule="auto"/>
        <w:ind w:left="426"/>
        <w:jc w:val="both"/>
        <w:rPr>
          <w:rFonts w:ascii="Arial" w:eastAsia="Arial" w:hAnsi="Arial" w:cs="Arial"/>
          <w:color w:val="000000"/>
          <w:sz w:val="24"/>
          <w:szCs w:val="24"/>
        </w:rPr>
      </w:pPr>
    </w:p>
    <w:tbl>
      <w:tblPr>
        <w:tblStyle w:val="a0"/>
        <w:tblW w:w="5670"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tblGrid>
      <w:tr w:rsidR="00EE20A0">
        <w:tc>
          <w:tcPr>
            <w:tcW w:w="5670" w:type="dxa"/>
          </w:tcPr>
          <w:p w:rsidR="00EE20A0" w:rsidRDefault="003B2083">
            <w:pPr>
              <w:spacing w:after="240"/>
              <w:rPr>
                <w:rFonts w:ascii="Arial" w:eastAsia="Arial" w:hAnsi="Arial" w:cs="Arial"/>
                <w:sz w:val="24"/>
                <w:szCs w:val="24"/>
              </w:rPr>
            </w:pPr>
            <w:r>
              <w:rPr>
                <w:rFonts w:ascii="Arial" w:eastAsia="Arial" w:hAnsi="Arial" w:cs="Arial"/>
                <w:sz w:val="24"/>
                <w:szCs w:val="24"/>
              </w:rPr>
              <w:t>SIGNED:</w:t>
            </w:r>
          </w:p>
        </w:tc>
      </w:tr>
      <w:tr w:rsidR="00EE20A0">
        <w:tc>
          <w:tcPr>
            <w:tcW w:w="5670" w:type="dxa"/>
          </w:tcPr>
          <w:p w:rsidR="00EE20A0" w:rsidRDefault="003B2083">
            <w:pPr>
              <w:spacing w:after="240"/>
              <w:rPr>
                <w:rFonts w:ascii="Arial" w:eastAsia="Arial" w:hAnsi="Arial" w:cs="Arial"/>
                <w:sz w:val="24"/>
                <w:szCs w:val="24"/>
              </w:rPr>
            </w:pPr>
            <w:r>
              <w:rPr>
                <w:rFonts w:ascii="Arial" w:eastAsia="Arial" w:hAnsi="Arial" w:cs="Arial"/>
                <w:sz w:val="24"/>
                <w:szCs w:val="24"/>
              </w:rPr>
              <w:t>FULL NAME:</w:t>
            </w:r>
          </w:p>
        </w:tc>
      </w:tr>
      <w:tr w:rsidR="00EE20A0">
        <w:tc>
          <w:tcPr>
            <w:tcW w:w="5670" w:type="dxa"/>
          </w:tcPr>
          <w:p w:rsidR="00EE20A0" w:rsidRDefault="003B2083">
            <w:pPr>
              <w:spacing w:after="240"/>
              <w:rPr>
                <w:rFonts w:ascii="Arial" w:eastAsia="Arial" w:hAnsi="Arial" w:cs="Arial"/>
                <w:sz w:val="24"/>
                <w:szCs w:val="24"/>
              </w:rPr>
            </w:pPr>
            <w:r>
              <w:rPr>
                <w:rFonts w:ascii="Arial" w:eastAsia="Arial" w:hAnsi="Arial" w:cs="Arial"/>
                <w:sz w:val="24"/>
                <w:szCs w:val="24"/>
              </w:rPr>
              <w:t>POSITION:</w:t>
            </w:r>
          </w:p>
        </w:tc>
      </w:tr>
      <w:tr w:rsidR="00EE20A0">
        <w:tc>
          <w:tcPr>
            <w:tcW w:w="5670" w:type="dxa"/>
          </w:tcPr>
          <w:p w:rsidR="00EE20A0" w:rsidRDefault="003B2083">
            <w:pPr>
              <w:spacing w:after="240"/>
              <w:rPr>
                <w:rFonts w:ascii="Arial" w:eastAsia="Arial" w:hAnsi="Arial" w:cs="Arial"/>
                <w:sz w:val="24"/>
                <w:szCs w:val="24"/>
              </w:rPr>
            </w:pPr>
            <w:r>
              <w:rPr>
                <w:rFonts w:ascii="Arial" w:eastAsia="Arial" w:hAnsi="Arial" w:cs="Arial"/>
                <w:sz w:val="24"/>
                <w:szCs w:val="24"/>
              </w:rPr>
              <w:t xml:space="preserve">COMPANY: </w:t>
            </w:r>
          </w:p>
        </w:tc>
      </w:tr>
      <w:tr w:rsidR="00EE20A0">
        <w:tc>
          <w:tcPr>
            <w:tcW w:w="5670" w:type="dxa"/>
          </w:tcPr>
          <w:p w:rsidR="00EE20A0" w:rsidRDefault="003B2083">
            <w:pPr>
              <w:spacing w:after="240"/>
              <w:rPr>
                <w:rFonts w:ascii="Arial" w:eastAsia="Arial" w:hAnsi="Arial" w:cs="Arial"/>
                <w:sz w:val="24"/>
                <w:szCs w:val="24"/>
              </w:rPr>
            </w:pPr>
            <w:r>
              <w:rPr>
                <w:rFonts w:ascii="Arial" w:eastAsia="Arial" w:hAnsi="Arial" w:cs="Arial"/>
                <w:sz w:val="24"/>
                <w:szCs w:val="24"/>
              </w:rPr>
              <w:t>DATE OF SIGN</w:t>
            </w:r>
            <w:r w:rsidR="000E7772">
              <w:rPr>
                <w:rFonts w:ascii="Arial" w:eastAsia="Arial" w:hAnsi="Arial" w:cs="Arial"/>
                <w:sz w:val="24"/>
                <w:szCs w:val="24"/>
              </w:rPr>
              <w:t>A</w:t>
            </w:r>
            <w:r>
              <w:rPr>
                <w:rFonts w:ascii="Arial" w:eastAsia="Arial" w:hAnsi="Arial" w:cs="Arial"/>
                <w:sz w:val="24"/>
                <w:szCs w:val="24"/>
              </w:rPr>
              <w:t xml:space="preserve">TURE: </w:t>
            </w:r>
          </w:p>
        </w:tc>
      </w:tr>
    </w:tbl>
    <w:p w:rsidR="00EE20A0" w:rsidRDefault="00EE20A0">
      <w:pPr>
        <w:spacing w:after="240" w:line="240" w:lineRule="auto"/>
        <w:rPr>
          <w:rFonts w:ascii="Arial" w:eastAsia="Arial" w:hAnsi="Arial" w:cs="Arial"/>
          <w:sz w:val="24"/>
          <w:szCs w:val="24"/>
        </w:rPr>
      </w:pPr>
    </w:p>
    <w:p w:rsidR="00EE20A0" w:rsidRDefault="00EE20A0">
      <w:pPr>
        <w:spacing w:after="240" w:line="240" w:lineRule="auto"/>
        <w:rPr>
          <w:rFonts w:ascii="Arial" w:eastAsia="Arial" w:hAnsi="Arial" w:cs="Arial"/>
          <w:sz w:val="24"/>
          <w:szCs w:val="24"/>
        </w:rPr>
      </w:pPr>
    </w:p>
    <w:p w:rsidR="00EE20A0" w:rsidRDefault="00EE20A0">
      <w:pPr>
        <w:spacing w:after="240" w:line="240" w:lineRule="auto"/>
        <w:rPr>
          <w:rFonts w:ascii="Arial" w:eastAsia="Arial" w:hAnsi="Arial" w:cs="Arial"/>
          <w:sz w:val="24"/>
          <w:szCs w:val="24"/>
        </w:rPr>
      </w:pPr>
    </w:p>
    <w:p w:rsidR="00EE20A0" w:rsidRDefault="00EE20A0">
      <w:pPr>
        <w:spacing w:after="240" w:line="240" w:lineRule="auto"/>
        <w:jc w:val="right"/>
      </w:pPr>
    </w:p>
    <w:sectPr w:rsidR="00EE20A0">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22A" w:rsidRDefault="003C722A">
      <w:pPr>
        <w:spacing w:after="0" w:line="240" w:lineRule="auto"/>
      </w:pPr>
      <w:r>
        <w:separator/>
      </w:r>
    </w:p>
  </w:endnote>
  <w:endnote w:type="continuationSeparator" w:id="0">
    <w:p w:rsidR="003C722A" w:rsidRDefault="003C7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roman"/>
    <w:notTrueType/>
    <w:pitch w:val="default"/>
  </w:font>
  <w:font w:name="Segoe UI">
    <w:panose1 w:val="020B0502040204020203"/>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TZhongsong">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0A0" w:rsidRDefault="000E7772">
    <w:pPr>
      <w:pBdr>
        <w:top w:val="nil"/>
        <w:left w:val="nil"/>
        <w:bottom w:val="nil"/>
        <w:right w:val="nil"/>
        <w:between w:val="nil"/>
      </w:pBdr>
      <w:tabs>
        <w:tab w:val="center" w:pos="4513"/>
        <w:tab w:val="right" w:pos="9026"/>
      </w:tabs>
      <w:spacing w:after="0" w:line="240" w:lineRule="auto"/>
      <w:jc w:val="center"/>
      <w:rPr>
        <w:color w:val="000000"/>
      </w:rPr>
    </w:pPr>
    <w:r>
      <w:rPr>
        <w:color w:val="000000"/>
      </w:rPr>
      <w:tab/>
    </w:r>
    <w:r>
      <w:rPr>
        <w:color w:val="000000"/>
      </w:rPr>
      <w:tab/>
    </w:r>
    <w:r w:rsidR="003B2083">
      <w:rPr>
        <w:color w:val="000000"/>
      </w:rPr>
      <w:fldChar w:fldCharType="begin"/>
    </w:r>
    <w:r w:rsidR="003B2083">
      <w:rPr>
        <w:color w:val="000000"/>
      </w:rPr>
      <w:instrText>PAGE</w:instrText>
    </w:r>
    <w:r w:rsidR="003B2083">
      <w:rPr>
        <w:color w:val="000000"/>
      </w:rPr>
      <w:fldChar w:fldCharType="separate"/>
    </w:r>
    <w:r>
      <w:rPr>
        <w:noProof/>
        <w:color w:val="000000"/>
      </w:rPr>
      <w:t>1</w:t>
    </w:r>
    <w:r w:rsidR="003B2083">
      <w:rPr>
        <w:color w:val="000000"/>
      </w:rPr>
      <w:fldChar w:fldCharType="end"/>
    </w:r>
  </w:p>
  <w:p w:rsidR="00EE20A0" w:rsidRDefault="000E7772">
    <w:pPr>
      <w:pBdr>
        <w:top w:val="nil"/>
        <w:left w:val="nil"/>
        <w:bottom w:val="nil"/>
        <w:right w:val="nil"/>
        <w:between w:val="nil"/>
      </w:pBdr>
      <w:tabs>
        <w:tab w:val="center" w:pos="4513"/>
        <w:tab w:val="right" w:pos="9026"/>
      </w:tabs>
      <w:spacing w:after="0" w:line="240" w:lineRule="auto"/>
      <w:rPr>
        <w:color w:val="000000"/>
      </w:rPr>
    </w:pPr>
    <w:r>
      <w:rPr>
        <w:color w:val="000000"/>
      </w:rPr>
      <w:t>Framework Ref: RM6345</w:t>
    </w:r>
  </w:p>
  <w:p w:rsidR="000E7772" w:rsidRDefault="000E7772">
    <w:pPr>
      <w:pBdr>
        <w:top w:val="nil"/>
        <w:left w:val="nil"/>
        <w:bottom w:val="nil"/>
        <w:right w:val="nil"/>
        <w:between w:val="nil"/>
      </w:pBdr>
      <w:tabs>
        <w:tab w:val="center" w:pos="4513"/>
        <w:tab w:val="right" w:pos="9026"/>
      </w:tabs>
      <w:spacing w:after="0" w:line="240" w:lineRule="auto"/>
      <w:rPr>
        <w:color w:val="000000"/>
      </w:rPr>
    </w:pPr>
    <w:r>
      <w:rPr>
        <w:color w:val="000000"/>
      </w:rPr>
      <w:t xml:space="preserve">Project Version: </w:t>
    </w:r>
    <w:r w:rsidR="00CC1272">
      <w:rPr>
        <w:color w:val="000000"/>
      </w:rPr>
      <w:t>v1.0</w:t>
    </w:r>
  </w:p>
  <w:p w:rsidR="000E7772" w:rsidRDefault="000E7772">
    <w:pPr>
      <w:pBdr>
        <w:top w:val="nil"/>
        <w:left w:val="nil"/>
        <w:bottom w:val="nil"/>
        <w:right w:val="nil"/>
        <w:between w:val="nil"/>
      </w:pBdr>
      <w:tabs>
        <w:tab w:val="center" w:pos="4513"/>
        <w:tab w:val="right" w:pos="9026"/>
      </w:tabs>
      <w:spacing w:after="0" w:line="240" w:lineRule="auto"/>
      <w:rPr>
        <w:color w:val="000000"/>
      </w:rPr>
    </w:pPr>
    <w:r>
      <w:rPr>
        <w:color w:val="000000"/>
      </w:rPr>
      <w:t>Model Version: V3.12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22A" w:rsidRDefault="003C722A">
      <w:pPr>
        <w:spacing w:after="0" w:line="240" w:lineRule="auto"/>
      </w:pPr>
      <w:r>
        <w:separator/>
      </w:r>
    </w:p>
  </w:footnote>
  <w:footnote w:type="continuationSeparator" w:id="0">
    <w:p w:rsidR="003C722A" w:rsidRDefault="003C722A">
      <w:pPr>
        <w:spacing w:after="0" w:line="240" w:lineRule="auto"/>
      </w:pPr>
      <w:r>
        <w:continuationSeparator/>
      </w:r>
    </w:p>
  </w:footnote>
  <w:footnote w:id="1">
    <w:p w:rsidR="00EE20A0" w:rsidRDefault="003B2083">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1">
        <w:r>
          <w:rPr>
            <w:color w:val="0000FF"/>
            <w:sz w:val="20"/>
            <w:szCs w:val="20"/>
            <w:u w:val="single"/>
          </w:rPr>
          <w:t>https://www.iasplus.com/en/standards/ifrs/ifrs10</w:t>
        </w:r>
      </w:hyperlink>
      <w:r>
        <w:rPr>
          <w:color w:val="000000"/>
          <w:sz w:val="20"/>
          <w:szCs w:val="20"/>
        </w:rPr>
        <w:t xml:space="preserve"> </w:t>
      </w:r>
    </w:p>
  </w:footnote>
  <w:footnote w:id="2">
    <w:p w:rsidR="00EE20A0" w:rsidRDefault="003B2083">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3">
    <w:p w:rsidR="00EE20A0" w:rsidRDefault="003B2083">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“General Anti-Abuse Rule” means (a) the legislation in Part 5 of the Finance Act 2013; and (b) any</w:t>
      </w:r>
    </w:p>
    <w:p w:rsidR="00EE20A0" w:rsidRDefault="003B2083">
      <w:pPr>
        <w:pBdr>
          <w:top w:val="nil"/>
          <w:left w:val="nil"/>
          <w:bottom w:val="nil"/>
          <w:right w:val="nil"/>
          <w:between w:val="nil"/>
        </w:pBdr>
        <w:spacing w:after="0" w:line="240" w:lineRule="auto"/>
        <w:jc w:val="both"/>
        <w:rPr>
          <w:color w:val="000000"/>
          <w:sz w:val="20"/>
          <w:szCs w:val="20"/>
        </w:rPr>
      </w:pPr>
      <w:r>
        <w:rPr>
          <w:color w:val="000000"/>
          <w:sz w:val="20"/>
          <w:szCs w:val="20"/>
        </w:rPr>
        <w:t>future legislation introduced into Parliament to counteract tax advantages arising from abusive</w:t>
      </w:r>
    </w:p>
    <w:p w:rsidR="00EE20A0" w:rsidRDefault="003B2083">
      <w:pPr>
        <w:pBdr>
          <w:top w:val="nil"/>
          <w:left w:val="nil"/>
          <w:bottom w:val="nil"/>
          <w:right w:val="nil"/>
          <w:between w:val="nil"/>
        </w:pBdr>
        <w:spacing w:after="0" w:line="240" w:lineRule="auto"/>
        <w:rPr>
          <w:color w:val="000000"/>
          <w:sz w:val="20"/>
          <w:szCs w:val="20"/>
        </w:rPr>
      </w:pPr>
      <w:r>
        <w:rPr>
          <w:color w:val="000000"/>
          <w:sz w:val="20"/>
          <w:szCs w:val="20"/>
        </w:rPr>
        <w:t>arrangements to avoid national insurance contributions</w:t>
      </w:r>
    </w:p>
  </w:footnote>
  <w:footnote w:id="4">
    <w:p w:rsidR="00EE20A0" w:rsidRDefault="003B2083">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“Halifax Abuse Principle” means the principle explained in the CJEU Case C-255/02 Halifax and others</w:t>
      </w:r>
    </w:p>
  </w:footnote>
  <w:footnote w:id="5">
    <w:p w:rsidR="00EE20A0" w:rsidRDefault="003B2083">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rsidR="00EE20A0" w:rsidRDefault="003B2083">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The full definition of ‘Anti-avoidance rule’ can be found at Paragraph 25(1) of Schedule 18 to the Finance Act 2016 and Condition 2 (a) above shall be construed accordingly.     </w:t>
      </w:r>
    </w:p>
  </w:footnote>
  <w:footnote w:id="7">
    <w:p w:rsidR="00EE20A0" w:rsidRDefault="003B2083">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Targeted list of tax avoidance schemes that HMRC believes are being used to avoid paying tax due and which are listed on the Spotlight website: </w:t>
      </w:r>
      <w:hyperlink r:id="rId2">
        <w:r>
          <w:rPr>
            <w:color w:val="0000FF"/>
            <w:sz w:val="20"/>
            <w:szCs w:val="20"/>
            <w:u w:val="single"/>
          </w:rPr>
          <w:t>https://www.gov.uk/government/collections/tax-avoidance-schemes-currently-in-the-spotlight</w:t>
        </w:r>
      </w:hyperlink>
      <w:r>
        <w:rPr>
          <w:color w:val="000000"/>
          <w:sz w:val="20"/>
          <w:szCs w:val="20"/>
        </w:rPr>
        <w:t xml:space="preserve">  </w:t>
      </w:r>
    </w:p>
  </w:footnote>
  <w:footnote w:id="8">
    <w:p w:rsidR="00EE20A0" w:rsidRDefault="003B2083">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0A0" w:rsidRDefault="003B2083">
    <w:pPr>
      <w:tabs>
        <w:tab w:val="center" w:pos="4153"/>
        <w:tab w:val="right" w:pos="8306"/>
      </w:tabs>
      <w:spacing w:after="0" w:line="240" w:lineRule="auto"/>
      <w:jc w:val="both"/>
      <w:rPr>
        <w:rFonts w:ascii="Arial" w:eastAsia="Arial" w:hAnsi="Arial" w:cs="Arial"/>
        <w:sz w:val="20"/>
        <w:szCs w:val="20"/>
      </w:rPr>
    </w:pPr>
    <w:r>
      <w:rPr>
        <w:rFonts w:ascii="Arial" w:eastAsia="Arial" w:hAnsi="Arial" w:cs="Arial"/>
        <w:b/>
        <w:sz w:val="20"/>
        <w:szCs w:val="20"/>
      </w:rPr>
      <w:t>Call-Off Schedule 23 (HMRC Terms)</w:t>
    </w:r>
  </w:p>
  <w:p w:rsidR="00EE20A0" w:rsidRDefault="003B2083">
    <w:pPr>
      <w:tabs>
        <w:tab w:val="center" w:pos="4153"/>
        <w:tab w:val="right" w:pos="8306"/>
      </w:tabs>
      <w:spacing w:after="0" w:line="240" w:lineRule="auto"/>
      <w:rPr>
        <w:rFonts w:ascii="Arial" w:eastAsia="Arial" w:hAnsi="Arial" w:cs="Arial"/>
        <w:sz w:val="20"/>
        <w:szCs w:val="20"/>
      </w:rPr>
    </w:pPr>
    <w:r>
      <w:rPr>
        <w:rFonts w:ascii="Arial" w:eastAsia="Arial" w:hAnsi="Arial" w:cs="Arial"/>
        <w:sz w:val="20"/>
        <w:szCs w:val="20"/>
      </w:rPr>
      <w:t>Call-Off Ref:</w:t>
    </w:r>
  </w:p>
  <w:p w:rsidR="00EE20A0" w:rsidRDefault="003B2083">
    <w:pPr>
      <w:tabs>
        <w:tab w:val="center" w:pos="4153"/>
        <w:tab w:val="right" w:pos="8306"/>
      </w:tabs>
      <w:spacing w:after="0" w:line="240" w:lineRule="auto"/>
    </w:pPr>
    <w:r>
      <w:rPr>
        <w:rFonts w:ascii="Arial" w:eastAsia="Arial" w:hAnsi="Arial" w:cs="Arial"/>
        <w:sz w:val="20"/>
        <w:szCs w:val="20"/>
      </w:rPr>
      <w:t>Crown Copyright 202</w:t>
    </w:r>
    <w:r w:rsidR="000E7772">
      <w:rPr>
        <w:rFonts w:ascii="Arial" w:eastAsia="Arial" w:hAnsi="Arial" w:cs="Arial"/>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1405"/>
    <w:multiLevelType w:val="multilevel"/>
    <w:tmpl w:val="81947770"/>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 w15:restartNumberingAfterBreak="0">
    <w:nsid w:val="053D15CF"/>
    <w:multiLevelType w:val="multilevel"/>
    <w:tmpl w:val="CEE0F71C"/>
    <w:lvl w:ilvl="0">
      <w:start w:val="1"/>
      <w:numFmt w:val="decimal"/>
      <w:lvlText w:val="%1."/>
      <w:lvlJc w:val="left"/>
      <w:pPr>
        <w:ind w:left="360" w:hanging="360"/>
      </w:pPr>
      <w:rPr>
        <w:b/>
        <w:color w:val="000000"/>
      </w:rPr>
    </w:lvl>
    <w:lvl w:ilvl="1">
      <w:start w:val="1"/>
      <w:numFmt w:val="decimal"/>
      <w:lvlText w:val="%1.%2."/>
      <w:lvlJc w:val="left"/>
      <w:pPr>
        <w:ind w:left="792" w:hanging="432"/>
      </w:pPr>
      <w:rPr>
        <w:rFonts w:ascii="Arial" w:eastAsia="Arial" w:hAnsi="Arial" w:cs="Arial"/>
        <w:b w:val="0"/>
        <w:color w:val="000000"/>
        <w:sz w:val="24"/>
        <w:szCs w:val="24"/>
      </w:rPr>
    </w:lvl>
    <w:lvl w:ilvl="2">
      <w:start w:val="1"/>
      <w:numFmt w:val="decimal"/>
      <w:lvlText w:val="%1.%2.%3."/>
      <w:lvlJc w:val="left"/>
      <w:pPr>
        <w:ind w:left="1224" w:hanging="504"/>
      </w:pPr>
      <w:rPr>
        <w:rFonts w:ascii="Arial" w:eastAsia="Arial" w:hAnsi="Arial" w:cs="Arial"/>
        <w:color w:val="000000"/>
        <w:sz w:val="24"/>
        <w:szCs w:val="24"/>
      </w:rPr>
    </w:lvl>
    <w:lvl w:ilvl="3">
      <w:start w:val="1"/>
      <w:numFmt w:val="decimal"/>
      <w:lvlText w:val="%1.%2.%3.%4."/>
      <w:lvlJc w:val="left"/>
      <w:pPr>
        <w:ind w:left="1728" w:hanging="647"/>
      </w:pPr>
      <w:rPr>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DD30A0"/>
    <w:multiLevelType w:val="multilevel"/>
    <w:tmpl w:val="2CE834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9E4294"/>
    <w:multiLevelType w:val="multilevel"/>
    <w:tmpl w:val="C8667A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D75F9F"/>
    <w:multiLevelType w:val="multilevel"/>
    <w:tmpl w:val="66369E44"/>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5" w15:restartNumberingAfterBreak="0">
    <w:nsid w:val="5F7130A5"/>
    <w:multiLevelType w:val="multilevel"/>
    <w:tmpl w:val="E6B40FA2"/>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73B00579"/>
    <w:multiLevelType w:val="multilevel"/>
    <w:tmpl w:val="3C0E6F5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82F7A9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DD47D3E"/>
    <w:multiLevelType w:val="multilevel"/>
    <w:tmpl w:val="217006C4"/>
    <w:lvl w:ilvl="0">
      <w:start w:val="1"/>
      <w:numFmt w:val="decimal"/>
      <w:lvlText w:val="%1."/>
      <w:lvlJc w:val="left"/>
      <w:pPr>
        <w:ind w:left="720" w:hanging="360"/>
      </w:pPr>
    </w:lvl>
    <w:lvl w:ilvl="1">
      <w:start w:val="1"/>
      <w:numFmt w:val="lowerRoman"/>
      <w:lvlText w:val="%2."/>
      <w:lvlJc w:val="righ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3"/>
  </w:num>
  <w:num w:numId="3">
    <w:abstractNumId w:val="6"/>
  </w:num>
  <w:num w:numId="4">
    <w:abstractNumId w:val="5"/>
  </w:num>
  <w:num w:numId="5">
    <w:abstractNumId w:val="8"/>
  </w:num>
  <w:num w:numId="6">
    <w:abstractNumId w:val="7"/>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0A0"/>
    <w:rsid w:val="000E7772"/>
    <w:rsid w:val="003B2083"/>
    <w:rsid w:val="003C722A"/>
    <w:rsid w:val="00696FD3"/>
    <w:rsid w:val="009C4FA9"/>
    <w:rsid w:val="00CC1272"/>
    <w:rsid w:val="00EE2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75FA5A-9259-435D-A2C6-0EB0001E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unhideWhenUsed/>
    <w:qFormat/>
    <w:rsid w:val="00F74A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41B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ody2">
    <w:name w:val="Body2"/>
    <w:basedOn w:val="Normal"/>
    <w:uiPriority w:val="99"/>
    <w:rsid w:val="005D2DCE"/>
    <w:pPr>
      <w:spacing w:after="220" w:line="240" w:lineRule="auto"/>
      <w:ind w:left="709"/>
      <w:jc w:val="both"/>
    </w:pPr>
    <w:rPr>
      <w:rFonts w:ascii="Trebuchet MS" w:eastAsia="Times New Roman" w:hAnsi="Trebuchet MS" w:cs="Times New Roman"/>
      <w:sz w:val="20"/>
      <w:szCs w:val="20"/>
    </w:rPr>
  </w:style>
  <w:style w:type="table" w:styleId="TableGrid">
    <w:name w:val="Table Grid"/>
    <w:basedOn w:val="TableNormal"/>
    <w:uiPriority w:val="39"/>
    <w:rsid w:val="00165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67D"/>
    <w:pPr>
      <w:ind w:left="720"/>
      <w:contextualSpacing/>
    </w:pPr>
  </w:style>
  <w:style w:type="paragraph" w:styleId="BodyText">
    <w:name w:val="Body Text"/>
    <w:basedOn w:val="Normal"/>
    <w:link w:val="BodyTextChar"/>
    <w:semiHidden/>
    <w:rsid w:val="008A5F1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8A5F1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53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3FD"/>
  </w:style>
  <w:style w:type="paragraph" w:styleId="Footer">
    <w:name w:val="footer"/>
    <w:basedOn w:val="Normal"/>
    <w:link w:val="FooterChar"/>
    <w:unhideWhenUsed/>
    <w:rsid w:val="003533FD"/>
    <w:pPr>
      <w:tabs>
        <w:tab w:val="center" w:pos="4513"/>
        <w:tab w:val="right" w:pos="9026"/>
      </w:tabs>
      <w:spacing w:after="0" w:line="240" w:lineRule="auto"/>
    </w:pPr>
  </w:style>
  <w:style w:type="character" w:customStyle="1" w:styleId="FooterChar">
    <w:name w:val="Footer Char"/>
    <w:basedOn w:val="DefaultParagraphFont"/>
    <w:link w:val="Footer"/>
    <w:rsid w:val="003533FD"/>
  </w:style>
  <w:style w:type="paragraph" w:styleId="BalloonText">
    <w:name w:val="Balloon Text"/>
    <w:basedOn w:val="Normal"/>
    <w:link w:val="BalloonTextChar"/>
    <w:uiPriority w:val="99"/>
    <w:semiHidden/>
    <w:unhideWhenUsed/>
    <w:rsid w:val="00763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06D"/>
    <w:rPr>
      <w:rFonts w:ascii="Segoe UI" w:hAnsi="Segoe UI" w:cs="Segoe UI"/>
      <w:sz w:val="18"/>
      <w:szCs w:val="18"/>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F74A0D"/>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CD5173"/>
    <w:rPr>
      <w:sz w:val="16"/>
      <w:szCs w:val="16"/>
    </w:rPr>
  </w:style>
  <w:style w:type="paragraph" w:styleId="CommentText">
    <w:name w:val="annotation text"/>
    <w:basedOn w:val="Normal"/>
    <w:link w:val="CommentTextChar"/>
    <w:uiPriority w:val="99"/>
    <w:unhideWhenUsed/>
    <w:rsid w:val="00CD5173"/>
    <w:pPr>
      <w:spacing w:line="240" w:lineRule="auto"/>
    </w:pPr>
    <w:rPr>
      <w:sz w:val="20"/>
      <w:szCs w:val="20"/>
    </w:rPr>
  </w:style>
  <w:style w:type="character" w:customStyle="1" w:styleId="CommentTextChar">
    <w:name w:val="Comment Text Char"/>
    <w:basedOn w:val="DefaultParagraphFont"/>
    <w:link w:val="CommentText"/>
    <w:uiPriority w:val="99"/>
    <w:rsid w:val="00CD5173"/>
    <w:rPr>
      <w:sz w:val="20"/>
      <w:szCs w:val="20"/>
    </w:rPr>
  </w:style>
  <w:style w:type="paragraph" w:styleId="CommentSubject">
    <w:name w:val="annotation subject"/>
    <w:basedOn w:val="CommentText"/>
    <w:next w:val="CommentText"/>
    <w:link w:val="CommentSubjectChar"/>
    <w:uiPriority w:val="99"/>
    <w:semiHidden/>
    <w:unhideWhenUsed/>
    <w:rsid w:val="00CD5173"/>
    <w:rPr>
      <w:b/>
      <w:bCs/>
    </w:rPr>
  </w:style>
  <w:style w:type="character" w:customStyle="1" w:styleId="CommentSubjectChar">
    <w:name w:val="Comment Subject Char"/>
    <w:basedOn w:val="CommentTextChar"/>
    <w:link w:val="CommentSubject"/>
    <w:uiPriority w:val="99"/>
    <w:semiHidden/>
    <w:rsid w:val="00CD5173"/>
    <w:rPr>
      <w:b/>
      <w:bCs/>
      <w:sz w:val="20"/>
      <w:szCs w:val="20"/>
    </w:rPr>
  </w:style>
  <w:style w:type="paragraph" w:customStyle="1" w:styleId="TableNormal1">
    <w:name w:val="Table Normal1"/>
    <w:basedOn w:val="Normal"/>
    <w:rsid w:val="00555F2E"/>
    <w:pPr>
      <w:spacing w:before="120" w:after="120" w:line="240" w:lineRule="auto"/>
      <w:ind w:left="34"/>
    </w:pPr>
    <w:rPr>
      <w:rFonts w:ascii="Trebuchet MS" w:eastAsia="Trebuchet MS" w:hAnsi="Trebuchet MS" w:cs="Times New Roman"/>
    </w:rPr>
  </w:style>
  <w:style w:type="character" w:styleId="Hyperlink">
    <w:name w:val="Hyperlink"/>
    <w:basedOn w:val="DefaultParagraphFont"/>
    <w:uiPriority w:val="99"/>
    <w:unhideWhenUsed/>
    <w:rsid w:val="00C103F3"/>
    <w:rPr>
      <w:color w:val="0000FF"/>
      <w:u w:val="single"/>
    </w:rPr>
  </w:style>
  <w:style w:type="paragraph" w:styleId="Revision">
    <w:name w:val="Revision"/>
    <w:hidden/>
    <w:uiPriority w:val="99"/>
    <w:semiHidden/>
    <w:rsid w:val="00413E82"/>
    <w:pPr>
      <w:spacing w:after="0" w:line="240" w:lineRule="auto"/>
    </w:pPr>
  </w:style>
  <w:style w:type="paragraph" w:styleId="NormalWeb">
    <w:name w:val="Normal (Web)"/>
    <w:basedOn w:val="Normal"/>
    <w:uiPriority w:val="99"/>
    <w:rsid w:val="00601C72"/>
    <w:pPr>
      <w:spacing w:after="100" w:afterAutospacing="1" w:line="312" w:lineRule="atLeast"/>
    </w:pPr>
    <w:rPr>
      <w:rFonts w:ascii="Arial Unicode MS" w:eastAsia="Arial Unicode MS" w:hAnsi="Arial Unicode MS" w:cs="Arial Unicode MS"/>
      <w:sz w:val="24"/>
      <w:szCs w:val="24"/>
    </w:rPr>
  </w:style>
  <w:style w:type="paragraph" w:styleId="FootnoteText">
    <w:name w:val="footnote text"/>
    <w:basedOn w:val="Normal"/>
    <w:link w:val="FootnoteTextChar"/>
    <w:uiPriority w:val="99"/>
    <w:unhideWhenUsed/>
    <w:rsid w:val="00601C72"/>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601C72"/>
    <w:rPr>
      <w:rFonts w:ascii="Calibri" w:eastAsia="Calibri" w:hAnsi="Calibri" w:cs="Times New Roman"/>
      <w:sz w:val="20"/>
      <w:szCs w:val="20"/>
    </w:rPr>
  </w:style>
  <w:style w:type="character" w:styleId="FootnoteReference">
    <w:name w:val="footnote reference"/>
    <w:uiPriority w:val="99"/>
    <w:unhideWhenUsed/>
    <w:rsid w:val="00601C72"/>
    <w:rPr>
      <w:vertAlign w:val="superscript"/>
    </w:rPr>
  </w:style>
  <w:style w:type="paragraph" w:customStyle="1" w:styleId="paragraph">
    <w:name w:val="paragraph"/>
    <w:basedOn w:val="Normal"/>
    <w:rsid w:val="00E07350"/>
    <w:pPr>
      <w:spacing w:after="0"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E07350"/>
  </w:style>
  <w:style w:type="character" w:customStyle="1" w:styleId="normaltextrun1">
    <w:name w:val="normaltextrun1"/>
    <w:basedOn w:val="DefaultParagraphFont"/>
    <w:rsid w:val="00E07350"/>
  </w:style>
  <w:style w:type="character" w:customStyle="1" w:styleId="eop">
    <w:name w:val="eop"/>
    <w:basedOn w:val="DefaultParagraphFont"/>
    <w:rsid w:val="00E07350"/>
  </w:style>
  <w:style w:type="character" w:customStyle="1" w:styleId="findhit">
    <w:name w:val="findhit"/>
    <w:basedOn w:val="DefaultParagraphFont"/>
    <w:rsid w:val="00CE122B"/>
    <w:rPr>
      <w:shd w:val="clear" w:color="auto" w:fill="FFEE80"/>
    </w:rPr>
  </w:style>
  <w:style w:type="character" w:customStyle="1" w:styleId="Heading3Char">
    <w:name w:val="Heading 3 Char"/>
    <w:basedOn w:val="DefaultParagraphFont"/>
    <w:link w:val="Heading3"/>
    <w:uiPriority w:val="9"/>
    <w:rsid w:val="00F41BDE"/>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F052EE"/>
  </w:style>
  <w:style w:type="paragraph" w:customStyle="1" w:styleId="ScheduleL1">
    <w:name w:val="Schedule L1"/>
    <w:basedOn w:val="Normal"/>
    <w:rsid w:val="004E2481"/>
    <w:pPr>
      <w:keepNext/>
      <w:numPr>
        <w:numId w:val="9"/>
      </w:numPr>
      <w:tabs>
        <w:tab w:val="clear" w:pos="720"/>
      </w:tabs>
      <w:adjustRightInd w:val="0"/>
      <w:spacing w:before="120" w:after="240" w:line="240" w:lineRule="auto"/>
      <w:ind w:left="357" w:hanging="357"/>
      <w:jc w:val="both"/>
      <w:outlineLvl w:val="0"/>
    </w:pPr>
    <w:rPr>
      <w:rFonts w:eastAsia="STZhongsong" w:cs="Times New Roman"/>
      <w:b/>
      <w:caps/>
      <w:szCs w:val="20"/>
      <w:lang w:eastAsia="zh-CN"/>
    </w:rPr>
  </w:style>
  <w:style w:type="paragraph" w:customStyle="1" w:styleId="ScheduleL2">
    <w:name w:val="Schedule L2"/>
    <w:basedOn w:val="Normal"/>
    <w:link w:val="ScheduleL2Char"/>
    <w:rsid w:val="004E2481"/>
    <w:pPr>
      <w:numPr>
        <w:ilvl w:val="1"/>
        <w:numId w:val="9"/>
      </w:numPr>
      <w:tabs>
        <w:tab w:val="left" w:pos="993"/>
      </w:tabs>
      <w:adjustRightInd w:val="0"/>
      <w:spacing w:before="120" w:after="120" w:line="240" w:lineRule="auto"/>
      <w:ind w:left="992" w:hanging="635"/>
      <w:jc w:val="both"/>
      <w:outlineLvl w:val="1"/>
    </w:pPr>
    <w:rPr>
      <w:rFonts w:eastAsia="STZhongsong" w:cs="Times New Roman"/>
      <w:szCs w:val="20"/>
      <w:lang w:val="en-US" w:eastAsia="zh-CN"/>
    </w:rPr>
  </w:style>
  <w:style w:type="character" w:customStyle="1" w:styleId="ScheduleL2Char">
    <w:name w:val="Schedule L2 Char"/>
    <w:link w:val="ScheduleL2"/>
    <w:rsid w:val="004E2481"/>
    <w:rPr>
      <w:rFonts w:ascii="Calibri" w:eastAsia="STZhongsong" w:hAnsi="Calibri" w:cs="Times New Roman"/>
      <w:szCs w:val="20"/>
      <w:lang w:val="en-US" w:eastAsia="zh-CN"/>
    </w:rPr>
  </w:style>
  <w:style w:type="paragraph" w:customStyle="1" w:styleId="ScheduleL3">
    <w:name w:val="Schedule L3"/>
    <w:basedOn w:val="Normal"/>
    <w:rsid w:val="004E2481"/>
    <w:pPr>
      <w:numPr>
        <w:ilvl w:val="2"/>
        <w:numId w:val="9"/>
      </w:numPr>
      <w:adjustRightInd w:val="0"/>
      <w:spacing w:before="120" w:after="120" w:line="240" w:lineRule="auto"/>
      <w:ind w:hanging="807"/>
      <w:jc w:val="both"/>
      <w:outlineLvl w:val="2"/>
    </w:pPr>
    <w:rPr>
      <w:rFonts w:eastAsia="STZhongsong" w:cs="Times New Roman"/>
      <w:szCs w:val="20"/>
      <w:lang w:eastAsia="zh-CN"/>
    </w:rPr>
  </w:style>
  <w:style w:type="paragraph" w:customStyle="1" w:styleId="ScheduleL4">
    <w:name w:val="Schedule L4"/>
    <w:basedOn w:val="Normal"/>
    <w:rsid w:val="004E2481"/>
    <w:pPr>
      <w:numPr>
        <w:ilvl w:val="3"/>
        <w:numId w:val="9"/>
      </w:numPr>
      <w:adjustRightInd w:val="0"/>
      <w:spacing w:before="120" w:after="120" w:line="240" w:lineRule="auto"/>
      <w:jc w:val="both"/>
      <w:outlineLvl w:val="3"/>
    </w:pPr>
    <w:rPr>
      <w:rFonts w:eastAsia="STZhongsong" w:cs="Times New Roman"/>
      <w:szCs w:val="20"/>
      <w:lang w:eastAsia="zh-CN"/>
    </w:rPr>
  </w:style>
  <w:style w:type="paragraph" w:customStyle="1" w:styleId="ScheduleL5">
    <w:name w:val="Schedule L5"/>
    <w:basedOn w:val="Normal"/>
    <w:rsid w:val="004E2481"/>
    <w:pPr>
      <w:numPr>
        <w:ilvl w:val="4"/>
        <w:numId w:val="9"/>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4E2481"/>
    <w:pPr>
      <w:numPr>
        <w:ilvl w:val="5"/>
        <w:numId w:val="9"/>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4E2481"/>
    <w:pPr>
      <w:numPr>
        <w:ilvl w:val="6"/>
        <w:numId w:val="9"/>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4E2481"/>
    <w:pPr>
      <w:numPr>
        <w:ilvl w:val="7"/>
        <w:numId w:val="9"/>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4E2481"/>
    <w:pPr>
      <w:numPr>
        <w:ilvl w:val="8"/>
        <w:numId w:val="9"/>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character" w:customStyle="1" w:styleId="Heading1Char">
    <w:name w:val="Heading 1 Char"/>
    <w:basedOn w:val="DefaultParagraphFont"/>
    <w:link w:val="Heading1"/>
    <w:uiPriority w:val="9"/>
    <w:rsid w:val="005E034E"/>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2F5D6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0zTCtr5vWqlJo+qOJvChNwy+8Jw==">AMUW2mUoeLUsjUyOufOr0jDEfWWp81cIWmMJ+y+hebsmrzsep4u+29PI+sDr6l/uPbxkIHjYZ7sJ59aEgd/KZLMS5P/YKIliJgkOoD72CLWzklCm4PZAhUfnZlIa7xoTl1KYqWOU2F6Gncah0J9HApJVJGN36hNPFVjHnLUYiTHfRwnGcNwhO3ipRLdfPA097Vitw3SEbcSZn4iDHdodc5Sc7C1huEyJ7KlATBBzTDI5ID/1RDmzmKOS66LMuRSeePllarSjNMazwfuDu/n0g2TWTm/jbA6caXcmXN9DjiZRsGu6eWyHL0K4Xp/DH2E0HwO7GvXf2ppESzEAbR32a2fg7RkWlC/aYBo2cNgJxGGHxfhHz+ny7jNOOCmbVaxSWseWqFvEfY7T644tDe5yq9nXk7LP4aBb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2680</Words>
  <Characters>15280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Nightingale, Maksuda (Sols)</dc:creator>
  <cp:lastModifiedBy>Josh Kendal</cp:lastModifiedBy>
  <cp:revision>3</cp:revision>
  <dcterms:created xsi:type="dcterms:W3CDTF">2024-05-16T13:38:00Z</dcterms:created>
  <dcterms:modified xsi:type="dcterms:W3CDTF">2024-05-16T13:38:00Z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0x010100890674E04011F34AA050921BEBFA8B69</vt:lpwstr>
  </property>
</Properties>
</file>