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E343E" w14:textId="2DFF37F6" w:rsidR="00EF36CF" w:rsidRPr="0028145F" w:rsidRDefault="008E2D68">
      <w:pPr>
        <w:keepNext/>
        <w:pBdr>
          <w:top w:val="nil"/>
          <w:left w:val="nil"/>
          <w:bottom w:val="nil"/>
          <w:right w:val="nil"/>
          <w:between w:val="nil"/>
        </w:pBdr>
        <w:tabs>
          <w:tab w:val="left" w:pos="5715"/>
        </w:tabs>
        <w:spacing w:after="240" w:line="240" w:lineRule="auto"/>
        <w:rPr>
          <w:rFonts w:ascii="Arial" w:hAnsi="Arial"/>
          <w:b/>
          <w:color w:val="000000"/>
          <w:sz w:val="36"/>
        </w:rPr>
      </w:pPr>
      <w:r w:rsidRPr="0028145F">
        <w:rPr>
          <w:rFonts w:ascii="Arial" w:hAnsi="Arial"/>
          <w:b/>
          <w:color w:val="000000"/>
          <w:sz w:val="36"/>
        </w:rPr>
        <w:t>Call-Off Schedule 2</w:t>
      </w:r>
      <w:r w:rsidR="00056F2E">
        <w:rPr>
          <w:rFonts w:ascii="Arial" w:hAnsi="Arial"/>
          <w:b/>
          <w:color w:val="000000"/>
          <w:sz w:val="36"/>
        </w:rPr>
        <w:t>6</w:t>
      </w:r>
      <w:r w:rsidRPr="0028145F">
        <w:rPr>
          <w:rFonts w:ascii="Arial" w:hAnsi="Arial"/>
          <w:b/>
          <w:color w:val="000000"/>
          <w:sz w:val="36"/>
        </w:rPr>
        <w:t xml:space="preserve"> (</w:t>
      </w:r>
      <w:r w:rsidR="0058245E" w:rsidRPr="0028145F">
        <w:rPr>
          <w:rFonts w:ascii="Arial" w:hAnsi="Arial"/>
          <w:b/>
          <w:color w:val="000000"/>
          <w:sz w:val="36"/>
        </w:rPr>
        <w:t>Health</w:t>
      </w:r>
      <w:r w:rsidR="00724267" w:rsidRPr="0028145F">
        <w:rPr>
          <w:rFonts w:ascii="Arial" w:hAnsi="Arial"/>
          <w:b/>
          <w:color w:val="000000"/>
          <w:sz w:val="36"/>
        </w:rPr>
        <w:t xml:space="preserve"> </w:t>
      </w:r>
      <w:r w:rsidRPr="0028145F">
        <w:rPr>
          <w:rFonts w:ascii="Arial" w:hAnsi="Arial"/>
          <w:b/>
          <w:color w:val="000000"/>
          <w:sz w:val="36"/>
        </w:rPr>
        <w:t>Additional Call-Off Terms)</w:t>
      </w:r>
    </w:p>
    <w:p w14:paraId="74E3EFB1" w14:textId="230BBDB3" w:rsidR="005B2C7C" w:rsidRPr="0028145F" w:rsidRDefault="008E2D68" w:rsidP="008F7E8C">
      <w:pPr>
        <w:pStyle w:val="ListParagraph"/>
        <w:numPr>
          <w:ilvl w:val="0"/>
          <w:numId w:val="7"/>
        </w:numPr>
        <w:ind w:hanging="720"/>
        <w:rPr>
          <w:rFonts w:ascii="Arial" w:hAnsi="Arial"/>
          <w:b/>
        </w:rPr>
      </w:pPr>
      <w:r w:rsidRPr="0028145F">
        <w:rPr>
          <w:rFonts w:ascii="Arial" w:hAnsi="Arial"/>
          <w:b/>
        </w:rPr>
        <w:t>Definitions</w:t>
      </w:r>
    </w:p>
    <w:p w14:paraId="3E5D0642" w14:textId="453C3DB6" w:rsidR="00B33611" w:rsidRPr="0028145F" w:rsidRDefault="008E2D68" w:rsidP="00CA09F5">
      <w:pPr>
        <w:pStyle w:val="H2"/>
        <w:rPr>
          <w:sz w:val="22"/>
        </w:rPr>
      </w:pPr>
      <w:r w:rsidRPr="0028145F">
        <w:rPr>
          <w:sz w:val="22"/>
        </w:rPr>
        <w:t>In this Schedule, the following words shall have the following meanings and they shall supplement Joint Schedule 1 (Definitions):</w:t>
      </w: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5248"/>
      </w:tblGrid>
      <w:tr w:rsidR="00E70118" w14:paraId="2CD56420" w14:textId="77777777" w:rsidTr="005635AB">
        <w:trPr>
          <w:cantSplit/>
        </w:trPr>
        <w:tc>
          <w:tcPr>
            <w:tcW w:w="3257" w:type="dxa"/>
            <w:shd w:val="clear" w:color="auto" w:fill="auto"/>
          </w:tcPr>
          <w:p w14:paraId="03FEC83E" w14:textId="6C4BC730" w:rsidR="007D2BDE" w:rsidRPr="0028145F" w:rsidRDefault="008E2D68" w:rsidP="004E1024">
            <w:pPr>
              <w:rPr>
                <w:rFonts w:ascii="Arial" w:hAnsi="Arial"/>
                <w:b/>
                <w:sz w:val="22"/>
              </w:rPr>
            </w:pPr>
            <w:r w:rsidRPr="0028145F">
              <w:rPr>
                <w:rFonts w:ascii="Arial" w:hAnsi="Arial"/>
                <w:b/>
                <w:sz w:val="22"/>
              </w:rPr>
              <w:t>“Buyer Software</w:t>
            </w:r>
            <w:r w:rsidR="009E62BB" w:rsidRPr="0028145F">
              <w:rPr>
                <w:rFonts w:ascii="Arial" w:hAnsi="Arial"/>
                <w:b/>
                <w:sz w:val="22"/>
              </w:rPr>
              <w:t>”</w:t>
            </w:r>
          </w:p>
        </w:tc>
        <w:tc>
          <w:tcPr>
            <w:tcW w:w="5248" w:type="dxa"/>
            <w:shd w:val="clear" w:color="auto" w:fill="auto"/>
          </w:tcPr>
          <w:p w14:paraId="55596566" w14:textId="77777777" w:rsidR="009E62BB" w:rsidRPr="0028145F" w:rsidRDefault="008E2D68" w:rsidP="004E1024">
            <w:pPr>
              <w:jc w:val="both"/>
              <w:rPr>
                <w:rFonts w:ascii="Arial" w:hAnsi="Arial"/>
                <w:sz w:val="22"/>
              </w:rPr>
            </w:pPr>
            <w:r w:rsidRPr="0028145F">
              <w:rPr>
                <w:rFonts w:ascii="Arial" w:hAnsi="Arial"/>
                <w:sz w:val="22"/>
              </w:rPr>
              <w:t>means any software which is owned by or licensed to the Buyer and which is or will be used by the Supplier for the purposes of providing the Deliverables;</w:t>
            </w:r>
          </w:p>
          <w:p w14:paraId="6054B5F5" w14:textId="59EF88A1" w:rsidR="007E17F2" w:rsidRPr="0028145F" w:rsidRDefault="007E17F2" w:rsidP="004E1024">
            <w:pPr>
              <w:jc w:val="both"/>
              <w:rPr>
                <w:rFonts w:ascii="Arial" w:hAnsi="Arial"/>
                <w:sz w:val="22"/>
              </w:rPr>
            </w:pPr>
          </w:p>
        </w:tc>
      </w:tr>
      <w:tr w:rsidR="008E2D68" w14:paraId="7C5BA2A0" w14:textId="77777777" w:rsidTr="005635AB">
        <w:trPr>
          <w:cantSplit/>
        </w:trPr>
        <w:tc>
          <w:tcPr>
            <w:tcW w:w="3257" w:type="dxa"/>
            <w:shd w:val="clear" w:color="auto" w:fill="auto"/>
          </w:tcPr>
          <w:p w14:paraId="509D5B7C" w14:textId="606811DF" w:rsidR="008E2D68" w:rsidRPr="008E2D68" w:rsidRDefault="008E2D68" w:rsidP="004E1024">
            <w:pPr>
              <w:rPr>
                <w:rFonts w:ascii="Arial" w:hAnsi="Arial"/>
                <w:b/>
                <w:sz w:val="22"/>
                <w:szCs w:val="22"/>
              </w:rPr>
            </w:pPr>
            <w:r w:rsidRPr="008E2D68">
              <w:rPr>
                <w:rFonts w:ascii="Arial" w:hAnsi="Arial"/>
                <w:b/>
                <w:sz w:val="22"/>
                <w:szCs w:val="22"/>
              </w:rPr>
              <w:t xml:space="preserve">"COTS Software" </w:t>
            </w:r>
          </w:p>
        </w:tc>
        <w:tc>
          <w:tcPr>
            <w:tcW w:w="5248" w:type="dxa"/>
            <w:shd w:val="clear" w:color="auto" w:fill="auto"/>
          </w:tcPr>
          <w:p w14:paraId="1D3048E4" w14:textId="6E847B9A" w:rsidR="008E2D68" w:rsidRPr="008E2D68" w:rsidRDefault="008E2D68" w:rsidP="008E2D68">
            <w:pPr>
              <w:jc w:val="both"/>
              <w:rPr>
                <w:rFonts w:ascii="Arial" w:hAnsi="Arial"/>
                <w:sz w:val="22"/>
                <w:szCs w:val="22"/>
              </w:rPr>
            </w:pPr>
            <w:r w:rsidRPr="008E2D68">
              <w:rPr>
                <w:rFonts w:ascii="Arial" w:hAnsi="Arial"/>
                <w:sz w:val="22"/>
                <w:szCs w:val="22"/>
              </w:rPr>
              <w:t xml:space="preserve">means </w:t>
            </w:r>
            <w:r>
              <w:rPr>
                <w:rFonts w:ascii="Arial" w:hAnsi="Arial"/>
                <w:sz w:val="22"/>
                <w:szCs w:val="22"/>
              </w:rPr>
              <w:t>n</w:t>
            </w:r>
            <w:r w:rsidRPr="008E2D68">
              <w:rPr>
                <w:rFonts w:ascii="Arial" w:hAnsi="Arial"/>
                <w:sz w:val="22"/>
                <w:szCs w:val="22"/>
              </w:rPr>
              <w:t>on-customised software where the IPR may be</w:t>
            </w:r>
            <w:r>
              <w:rPr>
                <w:rFonts w:ascii="Arial" w:hAnsi="Arial"/>
                <w:sz w:val="22"/>
                <w:szCs w:val="22"/>
              </w:rPr>
              <w:t xml:space="preserve"> </w:t>
            </w:r>
            <w:r w:rsidRPr="008E2D68">
              <w:rPr>
                <w:rFonts w:ascii="Arial" w:hAnsi="Arial"/>
                <w:sz w:val="22"/>
                <w:szCs w:val="22"/>
              </w:rPr>
              <w:t>owned and licensed either by the Supplier or a</w:t>
            </w:r>
          </w:p>
          <w:p w14:paraId="7A7CE6DC" w14:textId="7DBADB20" w:rsidR="008E2D68" w:rsidRPr="008E2D68" w:rsidRDefault="008E2D68" w:rsidP="008E2D68">
            <w:pPr>
              <w:jc w:val="both"/>
              <w:rPr>
                <w:rFonts w:ascii="Arial" w:hAnsi="Arial"/>
                <w:sz w:val="22"/>
                <w:szCs w:val="22"/>
              </w:rPr>
            </w:pPr>
            <w:r w:rsidRPr="008E2D68">
              <w:rPr>
                <w:rFonts w:ascii="Arial" w:hAnsi="Arial"/>
                <w:sz w:val="22"/>
                <w:szCs w:val="22"/>
              </w:rPr>
              <w:t>third party, and which</w:t>
            </w:r>
            <w:r>
              <w:rPr>
                <w:rFonts w:ascii="Arial" w:hAnsi="Arial"/>
                <w:sz w:val="22"/>
                <w:szCs w:val="22"/>
              </w:rPr>
              <w:t xml:space="preserve"> </w:t>
            </w:r>
            <w:r w:rsidRPr="008E2D68">
              <w:rPr>
                <w:rFonts w:ascii="Arial" w:hAnsi="Arial"/>
                <w:sz w:val="22"/>
                <w:szCs w:val="22"/>
              </w:rPr>
              <w:t>is commercially available for purchase and</w:t>
            </w:r>
            <w:r>
              <w:rPr>
                <w:rFonts w:ascii="Arial" w:hAnsi="Arial"/>
                <w:sz w:val="22"/>
                <w:szCs w:val="22"/>
              </w:rPr>
              <w:t xml:space="preserve"> </w:t>
            </w:r>
            <w:r w:rsidRPr="008E2D68">
              <w:rPr>
                <w:rFonts w:ascii="Arial" w:hAnsi="Arial"/>
                <w:sz w:val="22"/>
                <w:szCs w:val="22"/>
              </w:rPr>
              <w:t>subject to standard licence terms;</w:t>
            </w:r>
          </w:p>
          <w:p w14:paraId="3FCB7BDD" w14:textId="5C9FD360" w:rsidR="008E2D68" w:rsidRPr="008E2D68" w:rsidRDefault="008E2D68" w:rsidP="008E2D68">
            <w:pPr>
              <w:jc w:val="both"/>
              <w:rPr>
                <w:rFonts w:ascii="Arial" w:hAnsi="Arial"/>
                <w:sz w:val="22"/>
                <w:szCs w:val="22"/>
              </w:rPr>
            </w:pPr>
          </w:p>
        </w:tc>
      </w:tr>
      <w:tr w:rsidR="00E70118" w14:paraId="0095EE06" w14:textId="77777777" w:rsidTr="005635AB">
        <w:trPr>
          <w:cantSplit/>
        </w:trPr>
        <w:tc>
          <w:tcPr>
            <w:tcW w:w="3257" w:type="dxa"/>
            <w:shd w:val="clear" w:color="auto" w:fill="auto"/>
          </w:tcPr>
          <w:p w14:paraId="4545A9D4" w14:textId="0417BE31" w:rsidR="0057726C" w:rsidRPr="0028145F" w:rsidRDefault="008E2D68" w:rsidP="004E1024">
            <w:pPr>
              <w:rPr>
                <w:rFonts w:ascii="Arial" w:hAnsi="Arial"/>
                <w:b/>
                <w:sz w:val="22"/>
              </w:rPr>
            </w:pPr>
            <w:r w:rsidRPr="0028145F">
              <w:rPr>
                <w:rFonts w:ascii="Arial" w:hAnsi="Arial"/>
                <w:b/>
                <w:sz w:val="22"/>
              </w:rPr>
              <w:t>“Malicious Software”</w:t>
            </w:r>
          </w:p>
        </w:tc>
        <w:tc>
          <w:tcPr>
            <w:tcW w:w="5248" w:type="dxa"/>
            <w:shd w:val="clear" w:color="auto" w:fill="auto"/>
          </w:tcPr>
          <w:p w14:paraId="3EA91635" w14:textId="77777777" w:rsidR="0057726C" w:rsidRPr="0028145F" w:rsidRDefault="008E2D68" w:rsidP="004E1024">
            <w:pPr>
              <w:jc w:val="both"/>
              <w:rPr>
                <w:rFonts w:ascii="Arial" w:hAnsi="Arial"/>
                <w:sz w:val="22"/>
              </w:rPr>
            </w:pPr>
            <w:r w:rsidRPr="0028145F">
              <w:rPr>
                <w:rFonts w:ascii="Arial" w:hAnsi="Arial"/>
                <w:sz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1C90F865" w14:textId="3DCB6331" w:rsidR="00B22647" w:rsidRPr="0028145F" w:rsidRDefault="00B22647" w:rsidP="004E1024">
            <w:pPr>
              <w:jc w:val="both"/>
              <w:rPr>
                <w:rFonts w:ascii="Arial" w:hAnsi="Arial"/>
                <w:sz w:val="22"/>
              </w:rPr>
            </w:pPr>
          </w:p>
        </w:tc>
      </w:tr>
      <w:tr w:rsidR="00E70118" w14:paraId="10BAA4DD" w14:textId="77777777" w:rsidTr="005635AB">
        <w:trPr>
          <w:cantSplit/>
        </w:trPr>
        <w:tc>
          <w:tcPr>
            <w:tcW w:w="3257" w:type="dxa"/>
            <w:shd w:val="clear" w:color="auto" w:fill="auto"/>
          </w:tcPr>
          <w:p w14:paraId="4391A450" w14:textId="5AC5FE77" w:rsidR="005F4476" w:rsidRPr="0028145F" w:rsidRDefault="008E2D68" w:rsidP="004E1024">
            <w:pPr>
              <w:rPr>
                <w:rFonts w:ascii="Arial" w:hAnsi="Arial"/>
                <w:b/>
                <w:sz w:val="22"/>
              </w:rPr>
            </w:pPr>
            <w:r w:rsidRPr="0028145F">
              <w:rPr>
                <w:rFonts w:ascii="Arial" w:hAnsi="Arial"/>
                <w:b/>
                <w:sz w:val="22"/>
              </w:rPr>
              <w:t>“Medical Devices”</w:t>
            </w:r>
          </w:p>
        </w:tc>
        <w:tc>
          <w:tcPr>
            <w:tcW w:w="5248" w:type="dxa"/>
            <w:shd w:val="clear" w:color="auto" w:fill="auto"/>
          </w:tcPr>
          <w:p w14:paraId="6FBE4785" w14:textId="60E50616" w:rsidR="005F4476" w:rsidRPr="0028145F" w:rsidRDefault="008E2D68" w:rsidP="004E1024">
            <w:pPr>
              <w:jc w:val="both"/>
              <w:rPr>
                <w:rFonts w:ascii="Arial" w:hAnsi="Arial"/>
                <w:sz w:val="22"/>
              </w:rPr>
            </w:pPr>
            <w:r w:rsidRPr="0028145F">
              <w:rPr>
                <w:rFonts w:ascii="Arial" w:hAnsi="Arial"/>
                <w:sz w:val="22"/>
              </w:rPr>
              <w:t xml:space="preserve">means any Deliverable that falls under the definition of a </w:t>
            </w:r>
            <w:r w:rsidR="00D520CC" w:rsidRPr="0028145F">
              <w:rPr>
                <w:rFonts w:ascii="Arial" w:hAnsi="Arial"/>
                <w:sz w:val="22"/>
              </w:rPr>
              <w:t>M</w:t>
            </w:r>
            <w:r w:rsidRPr="0028145F">
              <w:rPr>
                <w:rFonts w:ascii="Arial" w:hAnsi="Arial"/>
                <w:sz w:val="22"/>
              </w:rPr>
              <w:t xml:space="preserve">edical </w:t>
            </w:r>
            <w:r w:rsidR="00D520CC" w:rsidRPr="0028145F">
              <w:rPr>
                <w:rFonts w:ascii="Arial" w:hAnsi="Arial"/>
                <w:sz w:val="22"/>
              </w:rPr>
              <w:t>D</w:t>
            </w:r>
            <w:r w:rsidRPr="0028145F">
              <w:rPr>
                <w:rFonts w:ascii="Arial" w:hAnsi="Arial"/>
                <w:sz w:val="22"/>
              </w:rPr>
              <w:t>evice in accordance with guidance published by the Medicines and Healthcare Products Regulatory Agency;</w:t>
            </w:r>
          </w:p>
          <w:p w14:paraId="45595FBD" w14:textId="414784CB" w:rsidR="00413FB6" w:rsidRPr="0028145F" w:rsidRDefault="00413FB6" w:rsidP="004E1024">
            <w:pPr>
              <w:jc w:val="both"/>
              <w:rPr>
                <w:rFonts w:ascii="Arial" w:hAnsi="Arial"/>
                <w:sz w:val="22"/>
              </w:rPr>
            </w:pPr>
          </w:p>
        </w:tc>
      </w:tr>
      <w:tr w:rsidR="00E70118" w14:paraId="3D3D5413" w14:textId="77777777" w:rsidTr="005635AB">
        <w:trPr>
          <w:cantSplit/>
        </w:trPr>
        <w:tc>
          <w:tcPr>
            <w:tcW w:w="3257" w:type="dxa"/>
            <w:shd w:val="clear" w:color="auto" w:fill="auto"/>
          </w:tcPr>
          <w:p w14:paraId="6DADDD17" w14:textId="13E076C9" w:rsidR="00B22647" w:rsidRPr="0028145F" w:rsidRDefault="008E2D68" w:rsidP="004E1024">
            <w:pPr>
              <w:rPr>
                <w:rFonts w:ascii="Arial" w:hAnsi="Arial"/>
                <w:b/>
                <w:sz w:val="22"/>
              </w:rPr>
            </w:pPr>
            <w:r w:rsidRPr="0028145F">
              <w:rPr>
                <w:rFonts w:ascii="Arial" w:hAnsi="Arial"/>
                <w:b/>
                <w:sz w:val="22"/>
              </w:rPr>
              <w:t>“Open Source Software”</w:t>
            </w:r>
          </w:p>
        </w:tc>
        <w:tc>
          <w:tcPr>
            <w:tcW w:w="5248" w:type="dxa"/>
            <w:shd w:val="clear" w:color="auto" w:fill="auto"/>
          </w:tcPr>
          <w:p w14:paraId="1B41DE72" w14:textId="77777777" w:rsidR="00B22647" w:rsidRPr="0028145F" w:rsidRDefault="008E2D68" w:rsidP="004E1024">
            <w:pPr>
              <w:jc w:val="both"/>
              <w:rPr>
                <w:rFonts w:ascii="Arial" w:hAnsi="Arial"/>
                <w:sz w:val="22"/>
              </w:rPr>
            </w:pPr>
            <w:r w:rsidRPr="0028145F">
              <w:rPr>
                <w:rFonts w:ascii="Arial" w:hAnsi="Arial"/>
                <w:sz w:val="22"/>
              </w:rPr>
              <w:t>means 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p w14:paraId="4207B87C" w14:textId="6566290E" w:rsidR="0064559B" w:rsidRPr="0028145F" w:rsidRDefault="0064559B" w:rsidP="004E1024">
            <w:pPr>
              <w:jc w:val="both"/>
              <w:rPr>
                <w:rFonts w:ascii="Arial" w:hAnsi="Arial"/>
                <w:sz w:val="22"/>
              </w:rPr>
            </w:pPr>
          </w:p>
        </w:tc>
      </w:tr>
      <w:tr w:rsidR="00B25252" w14:paraId="54C3D05F" w14:textId="77777777" w:rsidTr="005635AB">
        <w:trPr>
          <w:cantSplit/>
          <w:trHeight w:val="982"/>
        </w:trPr>
        <w:tc>
          <w:tcPr>
            <w:tcW w:w="3257" w:type="dxa"/>
            <w:shd w:val="clear" w:color="auto" w:fill="auto"/>
          </w:tcPr>
          <w:p w14:paraId="3B34972E" w14:textId="20B12329" w:rsidR="00B25252" w:rsidRPr="008E2D68" w:rsidRDefault="00B25252" w:rsidP="004E1024">
            <w:pPr>
              <w:rPr>
                <w:rFonts w:ascii="Arial" w:hAnsi="Arial"/>
                <w:b/>
                <w:sz w:val="22"/>
                <w:szCs w:val="22"/>
              </w:rPr>
            </w:pPr>
            <w:r w:rsidRPr="008E2D68">
              <w:rPr>
                <w:rFonts w:ascii="Arial" w:hAnsi="Arial"/>
                <w:b/>
                <w:sz w:val="22"/>
                <w:szCs w:val="22"/>
              </w:rPr>
              <w:t>"Software Supporting Materials"</w:t>
            </w:r>
          </w:p>
        </w:tc>
        <w:tc>
          <w:tcPr>
            <w:tcW w:w="5248" w:type="dxa"/>
            <w:shd w:val="clear" w:color="auto" w:fill="auto"/>
          </w:tcPr>
          <w:p w14:paraId="6B988218" w14:textId="420583E1" w:rsidR="00B25252" w:rsidRPr="008E2D68" w:rsidRDefault="00B25252" w:rsidP="004E1024">
            <w:pPr>
              <w:jc w:val="both"/>
              <w:rPr>
                <w:rFonts w:ascii="Arial" w:hAnsi="Arial"/>
                <w:sz w:val="22"/>
                <w:szCs w:val="22"/>
              </w:rPr>
            </w:pPr>
            <w:r w:rsidRPr="008E2D68">
              <w:rPr>
                <w:rFonts w:ascii="Arial" w:hAnsi="Arial"/>
                <w:sz w:val="22"/>
                <w:szCs w:val="22"/>
              </w:rPr>
              <w:t>has the meaning given to it in paragraph 3A.1.2;</w:t>
            </w:r>
          </w:p>
        </w:tc>
      </w:tr>
      <w:tr w:rsidR="00E70118" w14:paraId="7E5BE49F" w14:textId="77777777" w:rsidTr="005635AB">
        <w:trPr>
          <w:cantSplit/>
          <w:trHeight w:val="982"/>
        </w:trPr>
        <w:tc>
          <w:tcPr>
            <w:tcW w:w="3257" w:type="dxa"/>
            <w:shd w:val="clear" w:color="auto" w:fill="auto"/>
          </w:tcPr>
          <w:p w14:paraId="1632DF0E" w14:textId="7B20EE78" w:rsidR="00420BAB" w:rsidRPr="0028145F" w:rsidRDefault="008E2D68" w:rsidP="004E1024">
            <w:pPr>
              <w:rPr>
                <w:rFonts w:ascii="Arial" w:hAnsi="Arial"/>
                <w:b/>
                <w:sz w:val="22"/>
              </w:rPr>
            </w:pPr>
            <w:r w:rsidRPr="0028145F">
              <w:rPr>
                <w:rFonts w:ascii="Arial" w:hAnsi="Arial"/>
                <w:b/>
                <w:sz w:val="22"/>
              </w:rPr>
              <w:lastRenderedPageBreak/>
              <w:t>“Source Code”</w:t>
            </w:r>
          </w:p>
        </w:tc>
        <w:tc>
          <w:tcPr>
            <w:tcW w:w="5248" w:type="dxa"/>
            <w:shd w:val="clear" w:color="auto" w:fill="auto"/>
          </w:tcPr>
          <w:p w14:paraId="3D2A23C1" w14:textId="160967A8" w:rsidR="00420BAB" w:rsidRPr="0028145F" w:rsidRDefault="008E2D68" w:rsidP="004E1024">
            <w:pPr>
              <w:jc w:val="both"/>
              <w:rPr>
                <w:rFonts w:ascii="Arial" w:hAnsi="Arial"/>
                <w:sz w:val="22"/>
              </w:rPr>
            </w:pPr>
            <w:r w:rsidRPr="0028145F">
              <w:rPr>
                <w:rFonts w:ascii="Arial" w:hAnsi="Arial"/>
                <w:sz w:val="22"/>
              </w:rPr>
              <w:t xml:space="preserve">means </w:t>
            </w:r>
            <w:r w:rsidR="0064559B" w:rsidRPr="0028145F">
              <w:rPr>
                <w:rFonts w:ascii="Arial" w:hAnsi="Arial"/>
                <w:sz w:val="22"/>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p w14:paraId="38A3C8D2" w14:textId="60E1453D" w:rsidR="00FC4C84" w:rsidRPr="0028145F" w:rsidRDefault="00FC4C84" w:rsidP="004E1024">
            <w:pPr>
              <w:jc w:val="both"/>
              <w:rPr>
                <w:rFonts w:ascii="Arial" w:hAnsi="Arial"/>
                <w:sz w:val="22"/>
              </w:rPr>
            </w:pPr>
          </w:p>
        </w:tc>
      </w:tr>
      <w:tr w:rsidR="00E70118" w14:paraId="3EE7A1A1" w14:textId="77777777" w:rsidTr="005635AB">
        <w:trPr>
          <w:cantSplit/>
          <w:trHeight w:val="982"/>
        </w:trPr>
        <w:tc>
          <w:tcPr>
            <w:tcW w:w="3257" w:type="dxa"/>
            <w:shd w:val="clear" w:color="auto" w:fill="auto"/>
          </w:tcPr>
          <w:p w14:paraId="666A6668" w14:textId="6399EAEF" w:rsidR="00333943" w:rsidRPr="0028145F" w:rsidRDefault="008E2D68" w:rsidP="004E1024">
            <w:pPr>
              <w:rPr>
                <w:rFonts w:ascii="Arial" w:hAnsi="Arial"/>
                <w:b/>
                <w:sz w:val="22"/>
              </w:rPr>
            </w:pPr>
            <w:r w:rsidRPr="0028145F">
              <w:rPr>
                <w:rFonts w:ascii="Arial" w:hAnsi="Arial"/>
                <w:b/>
                <w:sz w:val="22"/>
              </w:rPr>
              <w:t>“Specially Written Software”</w:t>
            </w:r>
          </w:p>
        </w:tc>
        <w:tc>
          <w:tcPr>
            <w:tcW w:w="5248" w:type="dxa"/>
            <w:shd w:val="clear" w:color="auto" w:fill="auto"/>
          </w:tcPr>
          <w:p w14:paraId="1CA583C3" w14:textId="7F7722B8" w:rsidR="00333943" w:rsidRPr="0028145F" w:rsidRDefault="008E2D68" w:rsidP="004E1024">
            <w:pPr>
              <w:jc w:val="both"/>
              <w:rPr>
                <w:rFonts w:ascii="Arial" w:hAnsi="Arial"/>
                <w:sz w:val="22"/>
              </w:rPr>
            </w:pPr>
            <w:r w:rsidRPr="0028145F">
              <w:rPr>
                <w:rFonts w:ascii="Arial" w:hAnsi="Arial"/>
                <w:sz w:val="22"/>
              </w:rPr>
              <w:t>any software (including database software, linking instructions, test scripts, compilation instructions and test instructions) created by the Supplier (or by a Sub</w:t>
            </w:r>
            <w:r w:rsidR="00A01544" w:rsidRPr="0028145F">
              <w:rPr>
                <w:rFonts w:ascii="Arial" w:hAnsi="Arial"/>
                <w:sz w:val="22"/>
              </w:rPr>
              <w:t>c</w:t>
            </w:r>
            <w:r w:rsidRPr="0028145F">
              <w:rPr>
                <w:rFonts w:ascii="Arial" w:hAnsi="Arial"/>
                <w:sz w:val="22"/>
              </w:rPr>
              <w:t xml:space="preserve">ontractor or other third party on behalf of the Supplier) specifically for the purposes of this Contract, including any </w:t>
            </w:r>
            <w:proofErr w:type="gramStart"/>
            <w:r w:rsidRPr="0028145F">
              <w:rPr>
                <w:rFonts w:ascii="Arial" w:hAnsi="Arial"/>
                <w:sz w:val="22"/>
              </w:rPr>
              <w:t>modifications</w:t>
            </w:r>
            <w:r w:rsidR="005635AB">
              <w:rPr>
                <w:rFonts w:ascii="Arial" w:hAnsi="Arial"/>
                <w:sz w:val="22"/>
              </w:rPr>
              <w:t xml:space="preserve">, </w:t>
            </w:r>
            <w:r w:rsidRPr="0028145F">
              <w:rPr>
                <w:rFonts w:ascii="Arial" w:hAnsi="Arial"/>
                <w:sz w:val="22"/>
              </w:rPr>
              <w:t xml:space="preserve"> enhancements</w:t>
            </w:r>
            <w:proofErr w:type="gramEnd"/>
            <w:r w:rsidRPr="0028145F">
              <w:rPr>
                <w:rFonts w:ascii="Arial" w:hAnsi="Arial"/>
                <w:sz w:val="22"/>
              </w:rPr>
              <w:t xml:space="preserve"> </w:t>
            </w:r>
            <w:r w:rsidR="005635AB">
              <w:rPr>
                <w:rFonts w:ascii="Arial" w:hAnsi="Arial"/>
                <w:sz w:val="22"/>
              </w:rPr>
              <w:t xml:space="preserve">or configurations </w:t>
            </w:r>
            <w:r w:rsidRPr="0028145F">
              <w:rPr>
                <w:rFonts w:ascii="Arial" w:hAnsi="Arial"/>
                <w:sz w:val="22"/>
              </w:rPr>
              <w:t>to COTS Software</w:t>
            </w:r>
            <w:r w:rsidR="002E7243" w:rsidRPr="0028145F">
              <w:rPr>
                <w:rFonts w:ascii="Arial" w:hAnsi="Arial"/>
                <w:sz w:val="22"/>
              </w:rPr>
              <w:t>; and</w:t>
            </w:r>
          </w:p>
          <w:p w14:paraId="1AE7850A" w14:textId="17CC88B7" w:rsidR="002E7243" w:rsidRPr="0028145F" w:rsidRDefault="002E7243" w:rsidP="004E1024">
            <w:pPr>
              <w:jc w:val="both"/>
              <w:rPr>
                <w:rFonts w:ascii="Arial" w:hAnsi="Arial"/>
                <w:sz w:val="22"/>
              </w:rPr>
            </w:pPr>
          </w:p>
        </w:tc>
      </w:tr>
      <w:tr w:rsidR="00E70118" w14:paraId="06181CF0" w14:textId="77777777" w:rsidTr="005635AB">
        <w:trPr>
          <w:cantSplit/>
          <w:trHeight w:val="982"/>
        </w:trPr>
        <w:tc>
          <w:tcPr>
            <w:tcW w:w="3257" w:type="dxa"/>
            <w:shd w:val="clear" w:color="auto" w:fill="auto"/>
          </w:tcPr>
          <w:p w14:paraId="1509A636" w14:textId="310D62C7" w:rsidR="002E7243" w:rsidRPr="0028145F" w:rsidRDefault="008E2D68" w:rsidP="004E1024">
            <w:pPr>
              <w:rPr>
                <w:rFonts w:ascii="Arial" w:hAnsi="Arial"/>
                <w:b/>
                <w:sz w:val="22"/>
              </w:rPr>
            </w:pPr>
            <w:r w:rsidRPr="0028145F">
              <w:rPr>
                <w:rFonts w:ascii="Arial" w:hAnsi="Arial"/>
                <w:b/>
                <w:sz w:val="22"/>
              </w:rPr>
              <w:t>“Third Party Body”</w:t>
            </w:r>
          </w:p>
        </w:tc>
        <w:tc>
          <w:tcPr>
            <w:tcW w:w="5248" w:type="dxa"/>
            <w:shd w:val="clear" w:color="auto" w:fill="auto"/>
          </w:tcPr>
          <w:p w14:paraId="2E3A1A85" w14:textId="57B74903" w:rsidR="002E7243" w:rsidRPr="0028145F" w:rsidRDefault="008E2D68" w:rsidP="004E1024">
            <w:pPr>
              <w:jc w:val="both"/>
              <w:rPr>
                <w:rFonts w:ascii="Arial" w:hAnsi="Arial"/>
                <w:sz w:val="22"/>
              </w:rPr>
            </w:pPr>
            <w:r w:rsidRPr="0028145F">
              <w:rPr>
                <w:rFonts w:ascii="Arial" w:hAnsi="Arial"/>
                <w:sz w:val="22"/>
              </w:rPr>
              <w:t xml:space="preserve">has the meaning given to it in paragraph </w:t>
            </w:r>
            <w:r w:rsidRPr="0061115B">
              <w:rPr>
                <w:rFonts w:ascii="Arial" w:hAnsi="Arial" w:cs="Arial"/>
              </w:rPr>
              <w:fldChar w:fldCharType="begin"/>
            </w:r>
            <w:r w:rsidRPr="0061115B">
              <w:rPr>
                <w:rFonts w:ascii="Arial" w:hAnsi="Arial" w:cs="Arial"/>
                <w:sz w:val="22"/>
                <w:szCs w:val="22"/>
              </w:rPr>
              <w:instrText xml:space="preserve"> REF _Ref45700404 \r \h </w:instrText>
            </w:r>
            <w:r w:rsidR="0061115B" w:rsidRPr="0061115B">
              <w:rPr>
                <w:rFonts w:ascii="Arial" w:hAnsi="Arial" w:cs="Arial"/>
                <w:sz w:val="22"/>
                <w:szCs w:val="22"/>
              </w:rPr>
              <w:instrText xml:space="preserve"> \* MERGEFORMAT </w:instrText>
            </w:r>
            <w:r w:rsidRPr="0061115B">
              <w:rPr>
                <w:rFonts w:ascii="Arial" w:hAnsi="Arial" w:cs="Arial"/>
              </w:rPr>
            </w:r>
            <w:r w:rsidRPr="0061115B">
              <w:rPr>
                <w:rFonts w:ascii="Arial" w:hAnsi="Arial" w:cs="Arial"/>
              </w:rPr>
              <w:fldChar w:fldCharType="separate"/>
            </w:r>
            <w:r w:rsidR="003751FA" w:rsidRPr="0061115B">
              <w:rPr>
                <w:rFonts w:ascii="Arial" w:hAnsi="Arial" w:cs="Arial"/>
                <w:sz w:val="22"/>
                <w:szCs w:val="22"/>
              </w:rPr>
              <w:t>6.1</w:t>
            </w:r>
            <w:r w:rsidRPr="0061115B">
              <w:rPr>
                <w:rFonts w:ascii="Arial" w:hAnsi="Arial" w:cs="Arial"/>
              </w:rPr>
              <w:fldChar w:fldCharType="end"/>
            </w:r>
            <w:r w:rsidRPr="0028145F">
              <w:rPr>
                <w:rFonts w:ascii="Arial" w:hAnsi="Arial"/>
                <w:sz w:val="22"/>
              </w:rPr>
              <w:t>.</w:t>
            </w:r>
          </w:p>
        </w:tc>
      </w:tr>
    </w:tbl>
    <w:p w14:paraId="63ADF190" w14:textId="0AC80719" w:rsidR="00410CF4" w:rsidRPr="0028145F" w:rsidRDefault="008E2D68" w:rsidP="00CA09F5">
      <w:pPr>
        <w:pStyle w:val="H1"/>
        <w:rPr>
          <w:sz w:val="22"/>
        </w:rPr>
      </w:pPr>
      <w:bookmarkStart w:id="0" w:name="_heading=h.gjdgxs" w:colFirst="0" w:colLast="0"/>
      <w:bookmarkEnd w:id="0"/>
      <w:r w:rsidRPr="0028145F">
        <w:rPr>
          <w:sz w:val="22"/>
        </w:rPr>
        <w:t>Additional Warranties</w:t>
      </w:r>
    </w:p>
    <w:p w14:paraId="22B89783" w14:textId="1F2D17F6" w:rsidR="00410CF4" w:rsidRPr="0028145F" w:rsidRDefault="008E2D68" w:rsidP="00CA09F5">
      <w:pPr>
        <w:pStyle w:val="H2"/>
        <w:rPr>
          <w:sz w:val="22"/>
        </w:rPr>
      </w:pPr>
      <w:r w:rsidRPr="0028145F">
        <w:rPr>
          <w:sz w:val="22"/>
          <w:highlight w:val="white"/>
        </w:rPr>
        <w:t xml:space="preserve">The Supplier represents and undertakes to the Buyer that </w:t>
      </w:r>
      <w:r w:rsidR="001808E2" w:rsidRPr="0028145F">
        <w:rPr>
          <w:sz w:val="22"/>
          <w:highlight w:val="white"/>
        </w:rPr>
        <w:t>all Deliverables</w:t>
      </w:r>
      <w:r w:rsidRPr="0028145F">
        <w:rPr>
          <w:sz w:val="22"/>
          <w:highlight w:val="white"/>
        </w:rPr>
        <w:t xml:space="preserve"> will meet the Buyer</w:t>
      </w:r>
      <w:r w:rsidRPr="0028145F">
        <w:rPr>
          <w:sz w:val="22"/>
        </w:rPr>
        <w:t xml:space="preserve">’s acceptance criteria, as defined in </w:t>
      </w:r>
      <w:r w:rsidR="001808E2" w:rsidRPr="0028145F">
        <w:rPr>
          <w:sz w:val="22"/>
        </w:rPr>
        <w:t>each Statement of Work</w:t>
      </w:r>
      <w:r w:rsidRPr="0028145F">
        <w:rPr>
          <w:sz w:val="22"/>
        </w:rPr>
        <w:t>.</w:t>
      </w:r>
    </w:p>
    <w:p w14:paraId="701EEF87" w14:textId="1347EE66" w:rsidR="006A779C" w:rsidRPr="0028145F" w:rsidRDefault="008E2D68" w:rsidP="00CA09F5">
      <w:pPr>
        <w:pStyle w:val="H2"/>
        <w:rPr>
          <w:sz w:val="22"/>
        </w:rPr>
      </w:pPr>
      <w:r w:rsidRPr="0028145F">
        <w:rPr>
          <w:sz w:val="22"/>
          <w:highlight w:val="white"/>
        </w:rPr>
        <w:t>The</w:t>
      </w:r>
      <w:r w:rsidRPr="0028145F">
        <w:rPr>
          <w:sz w:val="22"/>
        </w:rPr>
        <w:t xml:space="preserve"> </w:t>
      </w:r>
      <w:r w:rsidRPr="0028145F">
        <w:rPr>
          <w:sz w:val="22"/>
          <w:highlight w:val="white"/>
        </w:rPr>
        <w:t>Supplier</w:t>
      </w:r>
      <w:r w:rsidRPr="0028145F">
        <w:rPr>
          <w:sz w:val="22"/>
        </w:rPr>
        <w:t xml:space="preserve"> undertakes to maintain a</w:t>
      </w:r>
      <w:r w:rsidR="001808E2" w:rsidRPr="0028145F">
        <w:rPr>
          <w:sz w:val="22"/>
        </w:rPr>
        <w:t>ll</w:t>
      </w:r>
      <w:r w:rsidRPr="0028145F">
        <w:rPr>
          <w:sz w:val="22"/>
        </w:rPr>
        <w:t xml:space="preserve"> interface and interoperability between </w:t>
      </w:r>
      <w:r w:rsidR="00862647" w:rsidRPr="0028145F">
        <w:rPr>
          <w:sz w:val="22"/>
          <w:highlight w:val="white"/>
        </w:rPr>
        <w:t>T</w:t>
      </w:r>
      <w:r w:rsidRPr="0028145F">
        <w:rPr>
          <w:sz w:val="22"/>
          <w:highlight w:val="white"/>
        </w:rPr>
        <w:t>hird</w:t>
      </w:r>
      <w:r w:rsidR="00862647" w:rsidRPr="0028145F">
        <w:rPr>
          <w:sz w:val="22"/>
        </w:rPr>
        <w:t xml:space="preserve"> P</w:t>
      </w:r>
      <w:r w:rsidRPr="0028145F">
        <w:rPr>
          <w:sz w:val="22"/>
        </w:rPr>
        <w:t xml:space="preserve">arty </w:t>
      </w:r>
      <w:r w:rsidR="00862647" w:rsidRPr="0028145F">
        <w:rPr>
          <w:sz w:val="22"/>
          <w:highlight w:val="white"/>
        </w:rPr>
        <w:t>S</w:t>
      </w:r>
      <w:r w:rsidRPr="0028145F">
        <w:rPr>
          <w:sz w:val="22"/>
          <w:highlight w:val="white"/>
        </w:rPr>
        <w:t>oftware</w:t>
      </w:r>
      <w:r w:rsidRPr="0028145F">
        <w:rPr>
          <w:sz w:val="22"/>
        </w:rPr>
        <w:t xml:space="preserve"> or </w:t>
      </w:r>
      <w:r w:rsidRPr="0028145F">
        <w:rPr>
          <w:sz w:val="22"/>
          <w:highlight w:val="white"/>
        </w:rPr>
        <w:t>services</w:t>
      </w:r>
      <w:r w:rsidRPr="0028145F">
        <w:rPr>
          <w:sz w:val="22"/>
        </w:rPr>
        <w:t xml:space="preserve"> and </w:t>
      </w:r>
      <w:r w:rsidR="00862647" w:rsidRPr="0028145F">
        <w:rPr>
          <w:sz w:val="22"/>
        </w:rPr>
        <w:t xml:space="preserve">Specially Written Software </w:t>
      </w:r>
      <w:r w:rsidR="001808E2" w:rsidRPr="0028145F">
        <w:rPr>
          <w:sz w:val="22"/>
        </w:rPr>
        <w:t>as required for the performance of the Services or delivery of any Deliverables</w:t>
      </w:r>
      <w:r w:rsidRPr="0028145F">
        <w:rPr>
          <w:sz w:val="22"/>
        </w:rPr>
        <w:t>.</w:t>
      </w:r>
    </w:p>
    <w:p w14:paraId="499188A2" w14:textId="2497EF7A" w:rsidR="00D520CC" w:rsidRPr="0028145F" w:rsidRDefault="008E2D68" w:rsidP="00CA09F5">
      <w:pPr>
        <w:pStyle w:val="H2"/>
        <w:rPr>
          <w:sz w:val="22"/>
        </w:rPr>
      </w:pPr>
      <w:r w:rsidRPr="0028145F">
        <w:rPr>
          <w:sz w:val="22"/>
        </w:rPr>
        <w:t>The Supplier undertakes and warrants that it has or shall procure all consents, registrations, approvals, licences and permissions relating to Medical Devices as recommended or stipulated by any materials published by the Medicines and Healthcare Products Regulatory Agency.</w:t>
      </w:r>
    </w:p>
    <w:p w14:paraId="5A1577D1" w14:textId="37BFFD01" w:rsidR="00410CF4" w:rsidRPr="0028145F" w:rsidRDefault="008E2D68" w:rsidP="00CA09F5">
      <w:pPr>
        <w:pStyle w:val="ListParagraph"/>
        <w:numPr>
          <w:ilvl w:val="0"/>
          <w:numId w:val="7"/>
        </w:numPr>
        <w:ind w:hanging="720"/>
        <w:jc w:val="both"/>
        <w:rPr>
          <w:rFonts w:ascii="Arial" w:hAnsi="Arial"/>
          <w:b/>
        </w:rPr>
      </w:pPr>
      <w:r w:rsidRPr="0028145F">
        <w:rPr>
          <w:rFonts w:ascii="Arial" w:hAnsi="Arial"/>
          <w:b/>
        </w:rPr>
        <w:t>Additional Intellectual Property Terms</w:t>
      </w:r>
    </w:p>
    <w:p w14:paraId="46C1DA4F" w14:textId="2FD14792" w:rsidR="00975034" w:rsidRPr="0028145F" w:rsidRDefault="005635AB" w:rsidP="00CA09F5">
      <w:pPr>
        <w:pStyle w:val="H2"/>
        <w:rPr>
          <w:sz w:val="22"/>
        </w:rPr>
      </w:pPr>
      <w:r>
        <w:rPr>
          <w:sz w:val="22"/>
        </w:rPr>
        <w:t>Unless otherwise agreed in a Statement of Work under paragraph 3.3, t</w:t>
      </w:r>
      <w:r w:rsidR="008E2D68" w:rsidRPr="0028145F">
        <w:rPr>
          <w:sz w:val="22"/>
        </w:rPr>
        <w:t xml:space="preserve">he Supplier grants to the Buyer a perpetual, irrevocable, non-exclusive, assignable, royalty-free </w:t>
      </w:r>
      <w:bookmarkStart w:id="1" w:name="_GoBack"/>
      <w:bookmarkEnd w:id="1"/>
      <w:r w:rsidR="008E2D68" w:rsidRPr="0028145F">
        <w:rPr>
          <w:sz w:val="22"/>
        </w:rPr>
        <w:t>licence to use, assign, sub-license, adapt, commercially exploit or otherwise deal with any of the Supplier’s Existing IPR and any Third Party IPR to the extent necessary to enable the Buyer to obtain the full benefits of ownership of any New IPRs. The Supplier shall procure that such licence shall permit subsequent sub-licensees to sub-license the Existing IPR and Third Party IPR on the same terms and subject to the same restrictions as under this paragraph to enable each further subsequent sub-licensee to obtain the full benefits of any New IPRs that are sub-licensed to them.</w:t>
      </w:r>
    </w:p>
    <w:p w14:paraId="4C9CB954" w14:textId="09268A64" w:rsidR="00870A20" w:rsidRPr="0028145F" w:rsidRDefault="008E2D68" w:rsidP="00CA09F5">
      <w:pPr>
        <w:pStyle w:val="H2"/>
        <w:rPr>
          <w:sz w:val="22"/>
        </w:rPr>
      </w:pPr>
      <w:r w:rsidRPr="0028145F">
        <w:rPr>
          <w:sz w:val="22"/>
        </w:rPr>
        <w:lastRenderedPageBreak/>
        <w:t>In respect of all Government Data, the Authority shall be the owner of all such Government Data and any Existing IPR and New IPR in such Government Data and any modifications, updates and amendments in relation to the same. The Supplier may not assign, license or otherwise deal with any Government Data or IPRs in such Government Data without the Authority’s specific written consent.</w:t>
      </w:r>
    </w:p>
    <w:p w14:paraId="1FCAC101" w14:textId="2E4887B8" w:rsidR="00870A20" w:rsidRPr="0028145F" w:rsidRDefault="008E2D68" w:rsidP="00CA09F5">
      <w:pPr>
        <w:pStyle w:val="H2"/>
        <w:rPr>
          <w:sz w:val="22"/>
        </w:rPr>
      </w:pPr>
      <w:r w:rsidRPr="0028145F">
        <w:rPr>
          <w:sz w:val="22"/>
        </w:rPr>
        <w:t>The Supplier may only use its Existing IPR or any Third Party IPR</w:t>
      </w:r>
      <w:r w:rsidR="005635AB">
        <w:rPr>
          <w:sz w:val="22"/>
        </w:rPr>
        <w:t xml:space="preserve"> (including COTS Software)</w:t>
      </w:r>
      <w:r w:rsidRPr="0028145F">
        <w:rPr>
          <w:sz w:val="22"/>
        </w:rPr>
        <w:t xml:space="preserve"> in any New IPR if the Buyer has given its written consent in advance.</w:t>
      </w:r>
      <w:r w:rsidR="005635AB">
        <w:rPr>
          <w:sz w:val="22"/>
        </w:rPr>
        <w:t xml:space="preserve"> Details of such Existing IPR and Third Party IPR (as applicable) and the applicable licensing terms shall be set out in the relevant Statement of Work.</w:t>
      </w:r>
    </w:p>
    <w:p w14:paraId="7F7F87F6" w14:textId="2BA60B7A" w:rsidR="00870A20" w:rsidRPr="0028145F" w:rsidRDefault="008E2D68" w:rsidP="00CA09F5">
      <w:pPr>
        <w:pStyle w:val="H2"/>
        <w:rPr>
          <w:sz w:val="22"/>
        </w:rPr>
      </w:pPr>
      <w:r w:rsidRPr="0028145F">
        <w:rPr>
          <w:sz w:val="22"/>
        </w:rPr>
        <w:t xml:space="preserve">The </w:t>
      </w:r>
      <w:r w:rsidR="007029F6" w:rsidRPr="0028145F">
        <w:rPr>
          <w:sz w:val="22"/>
        </w:rPr>
        <w:t xml:space="preserve">Supplier </w:t>
      </w:r>
      <w:r w:rsidRPr="0028145F">
        <w:rPr>
          <w:sz w:val="22"/>
        </w:rPr>
        <w:t xml:space="preserve">may only use Open Source Software in any New IPR </w:t>
      </w:r>
      <w:r w:rsidR="007F1800">
        <w:rPr>
          <w:sz w:val="22"/>
        </w:rPr>
        <w:t xml:space="preserve">or Specially Written Software </w:t>
      </w:r>
      <w:r w:rsidRPr="0028145F">
        <w:rPr>
          <w:sz w:val="22"/>
        </w:rPr>
        <w:t>if the Buyer has given its written consent in advance.</w:t>
      </w:r>
    </w:p>
    <w:p w14:paraId="3525B27B" w14:textId="405B0946" w:rsidR="008C6057" w:rsidRPr="0028145F" w:rsidRDefault="008E2D68" w:rsidP="00CA09F5">
      <w:pPr>
        <w:pStyle w:val="H2"/>
        <w:rPr>
          <w:sz w:val="22"/>
        </w:rPr>
      </w:pPr>
      <w:r w:rsidRPr="0028145F">
        <w:rPr>
          <w:sz w:val="22"/>
        </w:rPr>
        <w:t>The Supplier shall ensure that all New IPR, Existing IPR and Third Party IPR licensed or assigned to the Buyer is able to be assigned, novated or otherwise transferred to:</w:t>
      </w:r>
    </w:p>
    <w:p w14:paraId="023CF406" w14:textId="18B70CA7" w:rsidR="008C6057" w:rsidRPr="0028145F" w:rsidRDefault="008E2D68" w:rsidP="00CA09F5">
      <w:pPr>
        <w:pStyle w:val="H3"/>
        <w:rPr>
          <w:sz w:val="22"/>
        </w:rPr>
      </w:pPr>
      <w:r w:rsidRPr="0028145F">
        <w:rPr>
          <w:sz w:val="22"/>
        </w:rPr>
        <w:t>any other Central Government Body</w:t>
      </w:r>
      <w:r w:rsidR="00E15BC3" w:rsidRPr="0028145F">
        <w:rPr>
          <w:sz w:val="22"/>
        </w:rPr>
        <w:t>,</w:t>
      </w:r>
      <w:r w:rsidRPr="0028145F">
        <w:rPr>
          <w:sz w:val="22"/>
        </w:rPr>
        <w:t xml:space="preserve"> </w:t>
      </w:r>
      <w:r w:rsidR="00705520" w:rsidRPr="0028145F">
        <w:rPr>
          <w:sz w:val="22"/>
        </w:rPr>
        <w:t xml:space="preserve">DHSC or any other </w:t>
      </w:r>
      <w:r w:rsidRPr="0028145F">
        <w:rPr>
          <w:sz w:val="22"/>
        </w:rPr>
        <w:t>Crown Body or any public or private sector body which performs or carries on any of the functions and/or activities that previously had been performed and/or carried on by the Buyer; or</w:t>
      </w:r>
    </w:p>
    <w:p w14:paraId="776A4DC3" w14:textId="1121692B" w:rsidR="008C6057" w:rsidRPr="0028145F" w:rsidRDefault="008E2D68" w:rsidP="00CA09F5">
      <w:pPr>
        <w:pStyle w:val="H3"/>
        <w:rPr>
          <w:sz w:val="22"/>
        </w:rPr>
      </w:pPr>
      <w:r w:rsidRPr="0028145F">
        <w:rPr>
          <w:sz w:val="22"/>
        </w:rPr>
        <w:t>any other public or private body.</w:t>
      </w:r>
    </w:p>
    <w:p w14:paraId="17771877" w14:textId="1C132283" w:rsidR="00724267" w:rsidRDefault="008E2D68" w:rsidP="00CA09F5">
      <w:pPr>
        <w:pStyle w:val="H2"/>
        <w:rPr>
          <w:sz w:val="22"/>
        </w:rPr>
      </w:pPr>
      <w:r w:rsidRPr="0028145F">
        <w:rPr>
          <w:sz w:val="22"/>
        </w:rPr>
        <w:t>Unless otherwise agreed by the Parties in writing, the Supplier shall ensure that all computer program elements of New IPR shall be created in a format, or able to be converted (in which case the Supplier shall also provide the converted format to the Buyer) into a format, which is suitable for publication by the Buyer as Open Source and based on Open Standards (where applicable), and the Buyer may, at its sole discretion, publish the same as Open Source.</w:t>
      </w:r>
    </w:p>
    <w:p w14:paraId="251FB13E" w14:textId="34442FDF" w:rsidR="007F1800" w:rsidRDefault="007F1800" w:rsidP="00CA09F5">
      <w:pPr>
        <w:pStyle w:val="H2"/>
        <w:rPr>
          <w:sz w:val="22"/>
        </w:rPr>
      </w:pPr>
      <w:r w:rsidRPr="007F1800">
        <w:rPr>
          <w:sz w:val="22"/>
        </w:rPr>
        <w:t>Nothing herein shall prevent the Supplier from using for any purpose that experience which is gained by its Personnel in providing the Services, or prevent the Supplier from providing similar services to others using the same or different Personnel.</w:t>
      </w:r>
    </w:p>
    <w:p w14:paraId="5492598E" w14:textId="5AD517D3" w:rsidR="008D1EA2" w:rsidRPr="008E2D68" w:rsidRDefault="008D1EA2" w:rsidP="008D1EA2">
      <w:pPr>
        <w:pStyle w:val="H1"/>
        <w:numPr>
          <w:ilvl w:val="0"/>
          <w:numId w:val="0"/>
        </w:numPr>
        <w:ind w:left="720" w:hanging="720"/>
        <w:rPr>
          <w:sz w:val="22"/>
          <w:szCs w:val="22"/>
        </w:rPr>
      </w:pPr>
      <w:r w:rsidRPr="008E2D68">
        <w:rPr>
          <w:sz w:val="22"/>
          <w:szCs w:val="22"/>
        </w:rPr>
        <w:t>3A</w:t>
      </w:r>
      <w:r w:rsidRPr="008E2D68">
        <w:rPr>
          <w:sz w:val="22"/>
          <w:szCs w:val="22"/>
        </w:rPr>
        <w:tab/>
        <w:t>Assignments granted by the Supplier: Specially Written Software</w:t>
      </w:r>
    </w:p>
    <w:p w14:paraId="3BFFD2AB" w14:textId="03634859" w:rsidR="008D1EA2" w:rsidRPr="008E2D68" w:rsidRDefault="008D1EA2" w:rsidP="008D1EA2">
      <w:pPr>
        <w:pStyle w:val="H1"/>
        <w:numPr>
          <w:ilvl w:val="0"/>
          <w:numId w:val="0"/>
        </w:numPr>
        <w:ind w:left="720" w:hanging="720"/>
        <w:rPr>
          <w:b w:val="0"/>
          <w:bCs w:val="0"/>
          <w:sz w:val="22"/>
          <w:szCs w:val="22"/>
        </w:rPr>
      </w:pPr>
      <w:r w:rsidRPr="008E2D68">
        <w:rPr>
          <w:b w:val="0"/>
          <w:bCs w:val="0"/>
          <w:sz w:val="22"/>
          <w:szCs w:val="22"/>
        </w:rPr>
        <w:t>3A.1</w:t>
      </w:r>
      <w:r w:rsidRPr="008E2D68">
        <w:rPr>
          <w:b w:val="0"/>
          <w:bCs w:val="0"/>
          <w:sz w:val="22"/>
          <w:szCs w:val="22"/>
        </w:rPr>
        <w:tab/>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12DB38A1" w14:textId="63EC0981" w:rsidR="008D1EA2" w:rsidRDefault="008D1EA2" w:rsidP="008E2D68">
      <w:pPr>
        <w:pStyle w:val="H1"/>
        <w:numPr>
          <w:ilvl w:val="0"/>
          <w:numId w:val="0"/>
        </w:numPr>
        <w:spacing w:after="0"/>
        <w:ind w:left="2160" w:hanging="720"/>
        <w:rPr>
          <w:b w:val="0"/>
          <w:bCs w:val="0"/>
          <w:sz w:val="22"/>
          <w:szCs w:val="22"/>
        </w:rPr>
      </w:pPr>
      <w:r w:rsidRPr="008E2D68">
        <w:rPr>
          <w:b w:val="0"/>
          <w:bCs w:val="0"/>
          <w:sz w:val="22"/>
          <w:szCs w:val="22"/>
        </w:rPr>
        <w:lastRenderedPageBreak/>
        <w:t>3A.1.1</w:t>
      </w:r>
      <w:r w:rsidRPr="008E2D68">
        <w:rPr>
          <w:b w:val="0"/>
          <w:bCs w:val="0"/>
          <w:sz w:val="22"/>
          <w:szCs w:val="22"/>
        </w:rPr>
        <w:tab/>
      </w:r>
      <w:r w:rsidRPr="008D1EA2">
        <w:rPr>
          <w:b w:val="0"/>
          <w:bCs w:val="0"/>
          <w:sz w:val="22"/>
          <w:szCs w:val="22"/>
        </w:rPr>
        <w:t xml:space="preserve">the Documentation, Source Code and the </w:t>
      </w:r>
      <w:r w:rsidR="00B25252">
        <w:rPr>
          <w:b w:val="0"/>
          <w:bCs w:val="0"/>
          <w:sz w:val="22"/>
          <w:szCs w:val="22"/>
        </w:rPr>
        <w:t>o</w:t>
      </w:r>
      <w:r w:rsidRPr="008D1EA2">
        <w:rPr>
          <w:b w:val="0"/>
          <w:bCs w:val="0"/>
          <w:sz w:val="22"/>
          <w:szCs w:val="22"/>
        </w:rPr>
        <w:t xml:space="preserve">bject </w:t>
      </w:r>
      <w:r w:rsidR="00B25252">
        <w:rPr>
          <w:b w:val="0"/>
          <w:bCs w:val="0"/>
          <w:sz w:val="22"/>
          <w:szCs w:val="22"/>
        </w:rPr>
        <w:t>c</w:t>
      </w:r>
      <w:r w:rsidRPr="008D1EA2">
        <w:rPr>
          <w:b w:val="0"/>
          <w:bCs w:val="0"/>
          <w:sz w:val="22"/>
          <w:szCs w:val="22"/>
        </w:rPr>
        <w:t>ode of</w:t>
      </w:r>
      <w:r>
        <w:rPr>
          <w:b w:val="0"/>
          <w:bCs w:val="0"/>
          <w:sz w:val="22"/>
          <w:szCs w:val="22"/>
        </w:rPr>
        <w:t xml:space="preserve"> </w:t>
      </w:r>
      <w:r w:rsidRPr="008D1EA2">
        <w:rPr>
          <w:b w:val="0"/>
          <w:bCs w:val="0"/>
          <w:sz w:val="22"/>
          <w:szCs w:val="22"/>
        </w:rPr>
        <w:t>the Specially Written Software; and</w:t>
      </w:r>
      <w:r w:rsidRPr="008D1EA2">
        <w:rPr>
          <w:b w:val="0"/>
          <w:bCs w:val="0"/>
          <w:sz w:val="22"/>
          <w:szCs w:val="22"/>
        </w:rPr>
        <w:cr/>
      </w:r>
    </w:p>
    <w:p w14:paraId="4F732998" w14:textId="3508716C" w:rsidR="00A41D2E" w:rsidRDefault="00A41D2E" w:rsidP="00A41D2E">
      <w:pPr>
        <w:pStyle w:val="H1"/>
        <w:numPr>
          <w:ilvl w:val="0"/>
          <w:numId w:val="0"/>
        </w:numPr>
        <w:ind w:left="2160" w:hanging="720"/>
        <w:rPr>
          <w:b w:val="0"/>
          <w:bCs w:val="0"/>
          <w:sz w:val="22"/>
          <w:szCs w:val="22"/>
        </w:rPr>
      </w:pPr>
      <w:r>
        <w:rPr>
          <w:b w:val="0"/>
          <w:bCs w:val="0"/>
          <w:sz w:val="22"/>
          <w:szCs w:val="22"/>
        </w:rPr>
        <w:t>3A.1.2</w:t>
      </w:r>
      <w:r>
        <w:rPr>
          <w:b w:val="0"/>
          <w:bCs w:val="0"/>
          <w:sz w:val="22"/>
          <w:szCs w:val="22"/>
        </w:rPr>
        <w:tab/>
      </w:r>
      <w:r w:rsidRPr="00A41D2E">
        <w:rPr>
          <w:b w:val="0"/>
          <w:bCs w:val="0"/>
          <w:sz w:val="22"/>
          <w:szCs w:val="22"/>
        </w:rPr>
        <w:t>all build instructions, test instructions, test scripts, test data,</w:t>
      </w:r>
      <w:r>
        <w:rPr>
          <w:b w:val="0"/>
          <w:bCs w:val="0"/>
          <w:sz w:val="22"/>
          <w:szCs w:val="22"/>
        </w:rPr>
        <w:t xml:space="preserve"> </w:t>
      </w:r>
      <w:r w:rsidRPr="00A41D2E">
        <w:rPr>
          <w:b w:val="0"/>
          <w:bCs w:val="0"/>
          <w:sz w:val="22"/>
          <w:szCs w:val="22"/>
        </w:rPr>
        <w:t>operating instructions and other documents and tools</w:t>
      </w:r>
      <w:r>
        <w:rPr>
          <w:b w:val="0"/>
          <w:bCs w:val="0"/>
          <w:sz w:val="22"/>
          <w:szCs w:val="22"/>
        </w:rPr>
        <w:t xml:space="preserve"> </w:t>
      </w:r>
      <w:r w:rsidRPr="00A41D2E">
        <w:rPr>
          <w:b w:val="0"/>
          <w:bCs w:val="0"/>
          <w:sz w:val="22"/>
          <w:szCs w:val="22"/>
        </w:rPr>
        <w:t>necessary for maintaining and supporting the Specially</w:t>
      </w:r>
      <w:r>
        <w:rPr>
          <w:b w:val="0"/>
          <w:bCs w:val="0"/>
          <w:sz w:val="22"/>
          <w:szCs w:val="22"/>
        </w:rPr>
        <w:t xml:space="preserve"> </w:t>
      </w:r>
      <w:r w:rsidRPr="00A41D2E">
        <w:rPr>
          <w:b w:val="0"/>
          <w:bCs w:val="0"/>
          <w:sz w:val="22"/>
          <w:szCs w:val="22"/>
        </w:rPr>
        <w:t xml:space="preserve">Written Software and the New IPR (together the </w:t>
      </w:r>
      <w:r w:rsidRPr="00A41D2E">
        <w:rPr>
          <w:sz w:val="22"/>
          <w:szCs w:val="22"/>
        </w:rPr>
        <w:t>"Software</w:t>
      </w:r>
      <w:r w:rsidRPr="008E2D68">
        <w:rPr>
          <w:sz w:val="22"/>
          <w:szCs w:val="22"/>
        </w:rPr>
        <w:t xml:space="preserve"> Supporting Materials"</w:t>
      </w:r>
      <w:r w:rsidRPr="00A41D2E">
        <w:rPr>
          <w:b w:val="0"/>
          <w:bCs w:val="0"/>
          <w:sz w:val="22"/>
          <w:szCs w:val="22"/>
        </w:rPr>
        <w:t>).</w:t>
      </w:r>
    </w:p>
    <w:p w14:paraId="76695C0C" w14:textId="2C956C66" w:rsidR="00A41D2E" w:rsidRDefault="00A41D2E" w:rsidP="00B30EC0">
      <w:pPr>
        <w:pStyle w:val="H1"/>
        <w:keepNext/>
        <w:keepLines/>
        <w:numPr>
          <w:ilvl w:val="0"/>
          <w:numId w:val="0"/>
        </w:numPr>
        <w:ind w:left="720" w:hanging="720"/>
        <w:rPr>
          <w:b w:val="0"/>
          <w:bCs w:val="0"/>
          <w:sz w:val="22"/>
          <w:szCs w:val="22"/>
        </w:rPr>
      </w:pPr>
      <w:r>
        <w:rPr>
          <w:b w:val="0"/>
          <w:bCs w:val="0"/>
          <w:sz w:val="22"/>
          <w:szCs w:val="22"/>
        </w:rPr>
        <w:t>3A.2</w:t>
      </w:r>
      <w:r>
        <w:rPr>
          <w:b w:val="0"/>
          <w:bCs w:val="0"/>
          <w:sz w:val="22"/>
          <w:szCs w:val="22"/>
        </w:rPr>
        <w:tab/>
      </w:r>
      <w:r w:rsidRPr="00A41D2E">
        <w:rPr>
          <w:b w:val="0"/>
          <w:bCs w:val="0"/>
          <w:sz w:val="22"/>
          <w:szCs w:val="22"/>
        </w:rPr>
        <w:t>The Supplier shall:</w:t>
      </w:r>
    </w:p>
    <w:p w14:paraId="7B6C3EF9" w14:textId="3A3DA8F1" w:rsidR="00A41D2E" w:rsidRDefault="00A41D2E" w:rsidP="00A41D2E">
      <w:pPr>
        <w:pStyle w:val="H1"/>
        <w:numPr>
          <w:ilvl w:val="0"/>
          <w:numId w:val="0"/>
        </w:numPr>
        <w:ind w:left="2160" w:hanging="720"/>
        <w:rPr>
          <w:b w:val="0"/>
          <w:bCs w:val="0"/>
          <w:sz w:val="22"/>
          <w:szCs w:val="22"/>
        </w:rPr>
      </w:pPr>
      <w:r>
        <w:rPr>
          <w:b w:val="0"/>
          <w:bCs w:val="0"/>
          <w:sz w:val="22"/>
          <w:szCs w:val="22"/>
        </w:rPr>
        <w:t>3A.2.1</w:t>
      </w:r>
      <w:r>
        <w:rPr>
          <w:b w:val="0"/>
          <w:bCs w:val="0"/>
          <w:sz w:val="22"/>
          <w:szCs w:val="22"/>
        </w:rPr>
        <w:tab/>
      </w:r>
      <w:r w:rsidRPr="00A41D2E">
        <w:rPr>
          <w:b w:val="0"/>
          <w:bCs w:val="0"/>
          <w:sz w:val="22"/>
          <w:szCs w:val="22"/>
        </w:rPr>
        <w:t>inform the Buyer of all Specially Written Software or New</w:t>
      </w:r>
      <w:r>
        <w:rPr>
          <w:b w:val="0"/>
          <w:bCs w:val="0"/>
          <w:sz w:val="22"/>
          <w:szCs w:val="22"/>
        </w:rPr>
        <w:t xml:space="preserve"> </w:t>
      </w:r>
      <w:r w:rsidRPr="00A41D2E">
        <w:rPr>
          <w:b w:val="0"/>
          <w:bCs w:val="0"/>
          <w:sz w:val="22"/>
          <w:szCs w:val="22"/>
        </w:rPr>
        <w:t>IPRs that are a modification, customisation, configuration or</w:t>
      </w:r>
      <w:r>
        <w:rPr>
          <w:b w:val="0"/>
          <w:bCs w:val="0"/>
          <w:sz w:val="22"/>
          <w:szCs w:val="22"/>
        </w:rPr>
        <w:t xml:space="preserve"> </w:t>
      </w:r>
      <w:r w:rsidRPr="00A41D2E">
        <w:rPr>
          <w:b w:val="0"/>
          <w:bCs w:val="0"/>
          <w:sz w:val="22"/>
          <w:szCs w:val="22"/>
        </w:rPr>
        <w:t>enhancement to any</w:t>
      </w:r>
      <w:r w:rsidR="00B25252">
        <w:rPr>
          <w:b w:val="0"/>
          <w:bCs w:val="0"/>
          <w:sz w:val="22"/>
          <w:szCs w:val="22"/>
        </w:rPr>
        <w:t xml:space="preserve"> </w:t>
      </w:r>
      <w:r w:rsidR="008E2D68">
        <w:rPr>
          <w:b w:val="0"/>
          <w:bCs w:val="0"/>
          <w:sz w:val="22"/>
          <w:szCs w:val="22"/>
        </w:rPr>
        <w:t>COTS Software</w:t>
      </w:r>
      <w:r w:rsidRPr="00A41D2E">
        <w:rPr>
          <w:b w:val="0"/>
          <w:bCs w:val="0"/>
          <w:sz w:val="22"/>
          <w:szCs w:val="22"/>
        </w:rPr>
        <w:t xml:space="preserve">; </w:t>
      </w:r>
    </w:p>
    <w:p w14:paraId="2EF714AA" w14:textId="465857C8" w:rsidR="00A41D2E" w:rsidRDefault="00A41D2E" w:rsidP="006E59A0">
      <w:pPr>
        <w:pStyle w:val="H1"/>
        <w:numPr>
          <w:ilvl w:val="0"/>
          <w:numId w:val="0"/>
        </w:numPr>
        <w:ind w:left="2160" w:hanging="720"/>
        <w:rPr>
          <w:b w:val="0"/>
          <w:bCs w:val="0"/>
          <w:sz w:val="22"/>
          <w:szCs w:val="22"/>
        </w:rPr>
      </w:pPr>
      <w:r w:rsidRPr="006E59A0">
        <w:rPr>
          <w:b w:val="0"/>
          <w:bCs w:val="0"/>
          <w:sz w:val="22"/>
          <w:szCs w:val="22"/>
        </w:rPr>
        <w:t>3A.2.2</w:t>
      </w:r>
      <w:r w:rsidRPr="006E59A0">
        <w:rPr>
          <w:b w:val="0"/>
          <w:bCs w:val="0"/>
          <w:sz w:val="22"/>
          <w:szCs w:val="22"/>
        </w:rPr>
        <w:tab/>
        <w:t>deliver to the Buyer the Specially Written Software and any</w:t>
      </w:r>
      <w:r w:rsidRPr="00B25252">
        <w:rPr>
          <w:b w:val="0"/>
          <w:bCs w:val="0"/>
          <w:sz w:val="22"/>
          <w:szCs w:val="22"/>
        </w:rPr>
        <w:t xml:space="preserve"> computer program elements of the New IPRs in both Source Code and </w:t>
      </w:r>
      <w:r w:rsidR="00B25252">
        <w:rPr>
          <w:b w:val="0"/>
          <w:bCs w:val="0"/>
          <w:sz w:val="22"/>
          <w:szCs w:val="22"/>
        </w:rPr>
        <w:t>o</w:t>
      </w:r>
      <w:r w:rsidRPr="00B25252">
        <w:rPr>
          <w:b w:val="0"/>
          <w:bCs w:val="0"/>
          <w:sz w:val="22"/>
          <w:szCs w:val="22"/>
        </w:rPr>
        <w:t xml:space="preserve">bject </w:t>
      </w:r>
      <w:r w:rsidR="00B25252">
        <w:rPr>
          <w:b w:val="0"/>
          <w:bCs w:val="0"/>
          <w:sz w:val="22"/>
          <w:szCs w:val="22"/>
        </w:rPr>
        <w:t>c</w:t>
      </w:r>
      <w:r w:rsidRPr="00B25252">
        <w:rPr>
          <w:b w:val="0"/>
          <w:bCs w:val="0"/>
          <w:sz w:val="22"/>
          <w:szCs w:val="22"/>
        </w:rPr>
        <w:t>ode forms together with relevant Documentation and all related Software Supporting</w:t>
      </w:r>
      <w:r w:rsidRPr="008E2D68">
        <w:rPr>
          <w:b w:val="0"/>
          <w:bCs w:val="0"/>
          <w:sz w:val="22"/>
          <w:szCs w:val="22"/>
        </w:rPr>
        <w:t xml:space="preserve"> Materials within seven days of completion or, if a relevant </w:t>
      </w:r>
      <w:r w:rsidRPr="006E59A0">
        <w:rPr>
          <w:b w:val="0"/>
          <w:bCs w:val="0"/>
          <w:sz w:val="22"/>
          <w:szCs w:val="22"/>
        </w:rPr>
        <w:t>Milestone has been identified in an Implementation Plan</w:t>
      </w:r>
      <w:r w:rsidR="00B25252">
        <w:rPr>
          <w:b w:val="0"/>
          <w:bCs w:val="0"/>
          <w:sz w:val="22"/>
          <w:szCs w:val="22"/>
        </w:rPr>
        <w:t xml:space="preserve"> or Statement of Work</w:t>
      </w:r>
      <w:r w:rsidRPr="00B25252">
        <w:rPr>
          <w:b w:val="0"/>
          <w:bCs w:val="0"/>
          <w:sz w:val="22"/>
          <w:szCs w:val="22"/>
        </w:rPr>
        <w:t>, Achievement of that Milestone and shall provide updates of</w:t>
      </w:r>
      <w:r w:rsidR="006E59A0" w:rsidRPr="00B25252">
        <w:rPr>
          <w:b w:val="0"/>
          <w:bCs w:val="0"/>
          <w:sz w:val="22"/>
          <w:szCs w:val="22"/>
        </w:rPr>
        <w:t xml:space="preserve"> them promptly following each new release of the Specially Written Software, in each case on media that is reasonably</w:t>
      </w:r>
      <w:r w:rsidR="006E59A0" w:rsidRPr="008E2D68">
        <w:rPr>
          <w:b w:val="0"/>
          <w:bCs w:val="0"/>
          <w:sz w:val="22"/>
          <w:szCs w:val="22"/>
        </w:rPr>
        <w:t xml:space="preserve"> acceptable to the Buyer and the Buyer shall become the</w:t>
      </w:r>
      <w:r w:rsidR="006E59A0">
        <w:rPr>
          <w:b w:val="0"/>
          <w:bCs w:val="0"/>
          <w:sz w:val="22"/>
          <w:szCs w:val="22"/>
        </w:rPr>
        <w:t xml:space="preserve"> </w:t>
      </w:r>
      <w:r w:rsidR="006E59A0" w:rsidRPr="006E59A0">
        <w:rPr>
          <w:b w:val="0"/>
          <w:bCs w:val="0"/>
          <w:sz w:val="22"/>
          <w:szCs w:val="22"/>
        </w:rPr>
        <w:t>owner of such media upon receipt; and</w:t>
      </w:r>
    </w:p>
    <w:p w14:paraId="4B70459C" w14:textId="787C5B54" w:rsidR="006E59A0" w:rsidRDefault="006E59A0" w:rsidP="006E59A0">
      <w:pPr>
        <w:pStyle w:val="H1"/>
        <w:numPr>
          <w:ilvl w:val="0"/>
          <w:numId w:val="0"/>
        </w:numPr>
        <w:ind w:left="2160" w:hanging="720"/>
        <w:rPr>
          <w:b w:val="0"/>
          <w:bCs w:val="0"/>
          <w:sz w:val="22"/>
          <w:szCs w:val="22"/>
        </w:rPr>
      </w:pPr>
      <w:r>
        <w:rPr>
          <w:b w:val="0"/>
          <w:bCs w:val="0"/>
          <w:sz w:val="22"/>
          <w:szCs w:val="22"/>
        </w:rPr>
        <w:t>3A.2.3</w:t>
      </w:r>
      <w:r>
        <w:rPr>
          <w:b w:val="0"/>
          <w:bCs w:val="0"/>
          <w:sz w:val="22"/>
          <w:szCs w:val="22"/>
        </w:rPr>
        <w:tab/>
      </w:r>
      <w:r w:rsidRPr="006E59A0">
        <w:rPr>
          <w:b w:val="0"/>
          <w:bCs w:val="0"/>
          <w:sz w:val="22"/>
          <w:szCs w:val="22"/>
        </w:rPr>
        <w:t xml:space="preserve">without prejudice to paragraph </w:t>
      </w:r>
      <w:r w:rsidR="00B25252">
        <w:rPr>
          <w:b w:val="0"/>
          <w:bCs w:val="0"/>
          <w:sz w:val="22"/>
          <w:szCs w:val="22"/>
        </w:rPr>
        <w:t>3A.2.2</w:t>
      </w:r>
      <w:r w:rsidRPr="006E59A0">
        <w:rPr>
          <w:b w:val="0"/>
          <w:bCs w:val="0"/>
          <w:sz w:val="22"/>
          <w:szCs w:val="22"/>
        </w:rPr>
        <w:t>, provide full details to</w:t>
      </w:r>
      <w:r>
        <w:rPr>
          <w:b w:val="0"/>
          <w:bCs w:val="0"/>
          <w:sz w:val="22"/>
          <w:szCs w:val="22"/>
        </w:rPr>
        <w:t xml:space="preserve"> </w:t>
      </w:r>
      <w:r w:rsidRPr="006E59A0">
        <w:rPr>
          <w:b w:val="0"/>
          <w:bCs w:val="0"/>
          <w:sz w:val="22"/>
          <w:szCs w:val="22"/>
        </w:rPr>
        <w:t>the Buyer of any of the Supplier’s Existing IPRs or Third</w:t>
      </w:r>
      <w:r>
        <w:rPr>
          <w:b w:val="0"/>
          <w:bCs w:val="0"/>
          <w:sz w:val="22"/>
          <w:szCs w:val="22"/>
        </w:rPr>
        <w:t xml:space="preserve"> </w:t>
      </w:r>
      <w:r w:rsidRPr="006E59A0">
        <w:rPr>
          <w:b w:val="0"/>
          <w:bCs w:val="0"/>
          <w:sz w:val="22"/>
          <w:szCs w:val="22"/>
        </w:rPr>
        <w:t>Party IPRs which are embedded or which are an integral</w:t>
      </w:r>
      <w:r>
        <w:rPr>
          <w:b w:val="0"/>
          <w:bCs w:val="0"/>
          <w:sz w:val="22"/>
          <w:szCs w:val="22"/>
        </w:rPr>
        <w:t xml:space="preserve"> </w:t>
      </w:r>
      <w:r w:rsidRPr="006E59A0">
        <w:rPr>
          <w:b w:val="0"/>
          <w:bCs w:val="0"/>
          <w:sz w:val="22"/>
          <w:szCs w:val="22"/>
        </w:rPr>
        <w:t>part of the Specially Written Software</w:t>
      </w:r>
      <w:r w:rsidR="007F1800">
        <w:rPr>
          <w:b w:val="0"/>
          <w:bCs w:val="0"/>
          <w:sz w:val="22"/>
          <w:szCs w:val="22"/>
        </w:rPr>
        <w:t xml:space="preserve">. Unless otherwise agreed in a Statement of Work </w:t>
      </w:r>
      <w:r w:rsidRPr="006E59A0">
        <w:rPr>
          <w:b w:val="0"/>
          <w:bCs w:val="0"/>
          <w:sz w:val="22"/>
          <w:szCs w:val="22"/>
        </w:rPr>
        <w:t>the</w:t>
      </w:r>
      <w:r>
        <w:rPr>
          <w:b w:val="0"/>
          <w:bCs w:val="0"/>
          <w:sz w:val="22"/>
          <w:szCs w:val="22"/>
        </w:rPr>
        <w:t xml:space="preserve"> </w:t>
      </w:r>
      <w:r w:rsidRPr="006E59A0">
        <w:rPr>
          <w:b w:val="0"/>
          <w:bCs w:val="0"/>
          <w:sz w:val="22"/>
          <w:szCs w:val="22"/>
        </w:rPr>
        <w:t xml:space="preserve">Supplier </w:t>
      </w:r>
      <w:r w:rsidR="002D670E">
        <w:rPr>
          <w:b w:val="0"/>
          <w:bCs w:val="0"/>
          <w:sz w:val="22"/>
          <w:szCs w:val="22"/>
        </w:rPr>
        <w:t xml:space="preserve">shall </w:t>
      </w:r>
      <w:r w:rsidRPr="006E59A0">
        <w:rPr>
          <w:b w:val="0"/>
          <w:bCs w:val="0"/>
          <w:sz w:val="22"/>
          <w:szCs w:val="22"/>
        </w:rPr>
        <w:t>grant to the Buyer and shall procure that</w:t>
      </w:r>
      <w:r>
        <w:rPr>
          <w:b w:val="0"/>
          <w:bCs w:val="0"/>
          <w:sz w:val="22"/>
          <w:szCs w:val="22"/>
        </w:rPr>
        <w:t xml:space="preserve"> </w:t>
      </w:r>
      <w:r w:rsidRPr="006E59A0">
        <w:rPr>
          <w:b w:val="0"/>
          <w:bCs w:val="0"/>
          <w:sz w:val="22"/>
          <w:szCs w:val="22"/>
        </w:rPr>
        <w:t xml:space="preserve">any relevant </w:t>
      </w:r>
      <w:proofErr w:type="gramStart"/>
      <w:r w:rsidRPr="006E59A0">
        <w:rPr>
          <w:b w:val="0"/>
          <w:bCs w:val="0"/>
          <w:sz w:val="22"/>
          <w:szCs w:val="22"/>
        </w:rPr>
        <w:t>third party</w:t>
      </w:r>
      <w:proofErr w:type="gramEnd"/>
      <w:r w:rsidRPr="006E59A0">
        <w:rPr>
          <w:b w:val="0"/>
          <w:bCs w:val="0"/>
          <w:sz w:val="22"/>
          <w:szCs w:val="22"/>
        </w:rPr>
        <w:t xml:space="preserve"> licensor shall grant to the Buyer a</w:t>
      </w:r>
      <w:r>
        <w:rPr>
          <w:b w:val="0"/>
          <w:bCs w:val="0"/>
          <w:sz w:val="22"/>
          <w:szCs w:val="22"/>
        </w:rPr>
        <w:t xml:space="preserve"> </w:t>
      </w:r>
      <w:r w:rsidRPr="006E59A0">
        <w:rPr>
          <w:b w:val="0"/>
          <w:bCs w:val="0"/>
          <w:sz w:val="22"/>
          <w:szCs w:val="22"/>
        </w:rPr>
        <w:t>perpetual, irrevocable, non-exclusive, assignable, royalty</w:t>
      </w:r>
      <w:r w:rsidR="00B25252">
        <w:rPr>
          <w:b w:val="0"/>
          <w:bCs w:val="0"/>
          <w:sz w:val="22"/>
          <w:szCs w:val="22"/>
        </w:rPr>
        <w:t xml:space="preserve"> </w:t>
      </w:r>
      <w:r w:rsidRPr="006E59A0">
        <w:rPr>
          <w:b w:val="0"/>
          <w:bCs w:val="0"/>
          <w:sz w:val="22"/>
          <w:szCs w:val="22"/>
        </w:rPr>
        <w:t>free licence to use, sub-license and/or commercially exploit</w:t>
      </w:r>
      <w:r>
        <w:rPr>
          <w:b w:val="0"/>
          <w:bCs w:val="0"/>
          <w:sz w:val="22"/>
          <w:szCs w:val="22"/>
        </w:rPr>
        <w:t xml:space="preserve"> </w:t>
      </w:r>
      <w:r w:rsidRPr="006E59A0">
        <w:rPr>
          <w:b w:val="0"/>
          <w:bCs w:val="0"/>
          <w:sz w:val="22"/>
          <w:szCs w:val="22"/>
        </w:rPr>
        <w:t>such Supplier’s Existing IPRs and Third Party IPRs to the</w:t>
      </w:r>
      <w:r>
        <w:rPr>
          <w:b w:val="0"/>
          <w:bCs w:val="0"/>
          <w:sz w:val="22"/>
          <w:szCs w:val="22"/>
        </w:rPr>
        <w:t xml:space="preserve"> </w:t>
      </w:r>
      <w:r w:rsidRPr="006E59A0">
        <w:rPr>
          <w:b w:val="0"/>
          <w:bCs w:val="0"/>
          <w:sz w:val="22"/>
          <w:szCs w:val="22"/>
        </w:rPr>
        <w:t>extent that it is necessary to enable the Buyer to obtain the</w:t>
      </w:r>
      <w:r>
        <w:rPr>
          <w:b w:val="0"/>
          <w:bCs w:val="0"/>
          <w:sz w:val="22"/>
          <w:szCs w:val="22"/>
        </w:rPr>
        <w:t xml:space="preserve"> </w:t>
      </w:r>
      <w:r w:rsidRPr="006E59A0">
        <w:rPr>
          <w:b w:val="0"/>
          <w:bCs w:val="0"/>
          <w:sz w:val="22"/>
          <w:szCs w:val="22"/>
        </w:rPr>
        <w:t>full benefits of ownership of the Specially Written Software.</w:t>
      </w:r>
    </w:p>
    <w:p w14:paraId="0C0095E5" w14:textId="77777777" w:rsidR="00E77206" w:rsidRDefault="00B25252" w:rsidP="00E77206">
      <w:pPr>
        <w:pStyle w:val="H1"/>
        <w:numPr>
          <w:ilvl w:val="0"/>
          <w:numId w:val="0"/>
        </w:numPr>
        <w:ind w:left="720" w:hanging="720"/>
        <w:rPr>
          <w:b w:val="0"/>
          <w:bCs w:val="0"/>
          <w:sz w:val="22"/>
          <w:szCs w:val="22"/>
        </w:rPr>
      </w:pPr>
      <w:r>
        <w:rPr>
          <w:b w:val="0"/>
          <w:bCs w:val="0"/>
          <w:sz w:val="22"/>
          <w:szCs w:val="22"/>
        </w:rPr>
        <w:t>3A.3</w:t>
      </w:r>
      <w:r>
        <w:rPr>
          <w:b w:val="0"/>
          <w:bCs w:val="0"/>
          <w:sz w:val="22"/>
          <w:szCs w:val="22"/>
        </w:rPr>
        <w:tab/>
      </w:r>
      <w:r w:rsidRPr="00B25252">
        <w:rPr>
          <w:b w:val="0"/>
          <w:bCs w:val="0"/>
          <w:sz w:val="22"/>
          <w:szCs w:val="22"/>
        </w:rPr>
        <w:t>The Supplier shall promptly execute all such assignments as are</w:t>
      </w:r>
      <w:r>
        <w:rPr>
          <w:b w:val="0"/>
          <w:bCs w:val="0"/>
          <w:sz w:val="22"/>
          <w:szCs w:val="22"/>
        </w:rPr>
        <w:t xml:space="preserve"> </w:t>
      </w:r>
      <w:r w:rsidRPr="00B25252">
        <w:rPr>
          <w:b w:val="0"/>
          <w:bCs w:val="0"/>
          <w:sz w:val="22"/>
          <w:szCs w:val="22"/>
        </w:rPr>
        <w:t>required to ensure that any rights in the Specially Written Software</w:t>
      </w:r>
      <w:r>
        <w:rPr>
          <w:b w:val="0"/>
          <w:bCs w:val="0"/>
          <w:sz w:val="22"/>
          <w:szCs w:val="22"/>
        </w:rPr>
        <w:t xml:space="preserve"> </w:t>
      </w:r>
      <w:r w:rsidRPr="00B25252">
        <w:rPr>
          <w:b w:val="0"/>
          <w:bCs w:val="0"/>
          <w:sz w:val="22"/>
          <w:szCs w:val="22"/>
        </w:rPr>
        <w:t>and New IPRs are properly transferred to the Buyer.</w:t>
      </w:r>
      <w:r w:rsidRPr="00B25252">
        <w:rPr>
          <w:b w:val="0"/>
          <w:bCs w:val="0"/>
          <w:sz w:val="22"/>
          <w:szCs w:val="22"/>
        </w:rPr>
        <w:cr/>
      </w:r>
    </w:p>
    <w:p w14:paraId="08E3A918" w14:textId="67A04EEC" w:rsidR="00E77206" w:rsidRPr="00E77206" w:rsidRDefault="00E77206" w:rsidP="00E77206">
      <w:pPr>
        <w:pStyle w:val="H1"/>
        <w:keepNext/>
        <w:keepLines/>
        <w:numPr>
          <w:ilvl w:val="0"/>
          <w:numId w:val="0"/>
        </w:numPr>
        <w:ind w:left="720" w:hanging="720"/>
        <w:rPr>
          <w:b w:val="0"/>
          <w:bCs w:val="0"/>
          <w:sz w:val="22"/>
          <w:szCs w:val="22"/>
        </w:rPr>
      </w:pPr>
      <w:r w:rsidRPr="00E77206">
        <w:rPr>
          <w:b w:val="0"/>
          <w:bCs w:val="0"/>
          <w:sz w:val="22"/>
          <w:szCs w:val="22"/>
        </w:rPr>
        <w:lastRenderedPageBreak/>
        <w:t xml:space="preserve">3A.4 </w:t>
      </w:r>
      <w:r w:rsidRPr="00E77206">
        <w:rPr>
          <w:b w:val="0"/>
          <w:bCs w:val="0"/>
          <w:sz w:val="22"/>
          <w:szCs w:val="22"/>
        </w:rPr>
        <w:tab/>
        <w:t>Where the Buyer approves the use of Third Party IPR that is not COTS Software the Supplier shall procure that the owners or the authorised licensors of any such Third Party IPR grant a direct licence to the Buyer on terms at least equivalent to those set out in Paragraph 3A.2.3. If the Supplier cannot obtain such a licence for the Buyer it shall:</w:t>
      </w:r>
    </w:p>
    <w:p w14:paraId="20DAC487" w14:textId="77777777" w:rsidR="00E77206" w:rsidRPr="00E77206" w:rsidRDefault="00E77206" w:rsidP="00E77206">
      <w:pPr>
        <w:pStyle w:val="H1"/>
        <w:keepNext/>
        <w:keepLines/>
        <w:numPr>
          <w:ilvl w:val="0"/>
          <w:numId w:val="0"/>
        </w:numPr>
        <w:ind w:left="2160" w:hanging="720"/>
        <w:rPr>
          <w:b w:val="0"/>
          <w:bCs w:val="0"/>
          <w:sz w:val="22"/>
          <w:szCs w:val="22"/>
        </w:rPr>
      </w:pPr>
      <w:r w:rsidRPr="00E77206">
        <w:rPr>
          <w:b w:val="0"/>
          <w:bCs w:val="0"/>
          <w:sz w:val="22"/>
          <w:szCs w:val="22"/>
        </w:rPr>
        <w:t>3A.4.1</w:t>
      </w:r>
      <w:r w:rsidRPr="00E77206">
        <w:rPr>
          <w:b w:val="0"/>
          <w:bCs w:val="0"/>
          <w:sz w:val="22"/>
          <w:szCs w:val="22"/>
        </w:rPr>
        <w:tab/>
        <w:t>notify the Buyer in writing giving details of what licence terms can be obtained and whether there are alternative software providers which the Supplier could seek to use; and</w:t>
      </w:r>
    </w:p>
    <w:p w14:paraId="4C452D66" w14:textId="03B23B79" w:rsidR="006E59A0" w:rsidRPr="008E2D68" w:rsidRDefault="00E77206" w:rsidP="00E77206">
      <w:pPr>
        <w:pStyle w:val="H1"/>
        <w:numPr>
          <w:ilvl w:val="0"/>
          <w:numId w:val="0"/>
        </w:numPr>
        <w:ind w:left="2160" w:hanging="720"/>
        <w:rPr>
          <w:b w:val="0"/>
          <w:bCs w:val="0"/>
          <w:sz w:val="22"/>
          <w:szCs w:val="22"/>
        </w:rPr>
      </w:pPr>
      <w:r w:rsidRPr="00E77206">
        <w:rPr>
          <w:b w:val="0"/>
          <w:bCs w:val="0"/>
          <w:sz w:val="22"/>
          <w:szCs w:val="22"/>
        </w:rPr>
        <w:t>3A.4.2</w:t>
      </w:r>
      <w:r w:rsidRPr="00E77206">
        <w:rPr>
          <w:b w:val="0"/>
          <w:bCs w:val="0"/>
          <w:sz w:val="22"/>
          <w:szCs w:val="22"/>
        </w:rPr>
        <w:tab/>
        <w:t xml:space="preserve">only use such Third Party IPR as referred to </w:t>
      </w:r>
      <w:proofErr w:type="spellStart"/>
      <w:r w:rsidRPr="00E77206">
        <w:rPr>
          <w:b w:val="0"/>
          <w:bCs w:val="0"/>
          <w:sz w:val="22"/>
          <w:szCs w:val="22"/>
        </w:rPr>
        <w:t>at</w:t>
      </w:r>
      <w:proofErr w:type="spellEnd"/>
      <w:r w:rsidRPr="00E77206">
        <w:rPr>
          <w:b w:val="0"/>
          <w:bCs w:val="0"/>
          <w:sz w:val="22"/>
          <w:szCs w:val="22"/>
        </w:rPr>
        <w:t xml:space="preserve"> paragraph 3A.4.1 if the Buyer approves the terms of the licence from the relevant third party.</w:t>
      </w:r>
    </w:p>
    <w:p w14:paraId="163E34A1" w14:textId="0D2536FD" w:rsidR="00EF36CF" w:rsidRPr="0028145F" w:rsidRDefault="008E2D68" w:rsidP="002D670E">
      <w:pPr>
        <w:pStyle w:val="H1"/>
        <w:keepNext/>
        <w:keepLines/>
        <w:rPr>
          <w:sz w:val="22"/>
          <w:lang w:val="fr-FR"/>
        </w:rPr>
      </w:pPr>
      <w:bookmarkStart w:id="2" w:name="bookmark=id.30j0zll" w:colFirst="0" w:colLast="0"/>
      <w:bookmarkStart w:id="3" w:name="bookmark=id.1fob9te" w:colFirst="0" w:colLast="0"/>
      <w:bookmarkStart w:id="4" w:name="_Ref45565553"/>
      <w:bookmarkStart w:id="5" w:name="_Ref46407583"/>
      <w:bookmarkEnd w:id="2"/>
      <w:bookmarkEnd w:id="3"/>
      <w:r w:rsidRPr="0028145F">
        <w:rPr>
          <w:sz w:val="22"/>
          <w:highlight w:val="white"/>
          <w:lang w:val="fr-FR"/>
        </w:rPr>
        <w:t xml:space="preserve">Document and </w:t>
      </w:r>
      <w:r w:rsidR="00217DEC" w:rsidRPr="0028145F">
        <w:rPr>
          <w:sz w:val="22"/>
          <w:highlight w:val="white"/>
          <w:lang w:val="fr-FR"/>
        </w:rPr>
        <w:t>Source Code Management Repository</w:t>
      </w:r>
      <w:bookmarkEnd w:id="4"/>
      <w:bookmarkEnd w:id="5"/>
      <w:r w:rsidR="00217DEC" w:rsidRPr="0028145F">
        <w:rPr>
          <w:sz w:val="22"/>
          <w:highlight w:val="white"/>
          <w:lang w:val="fr-FR"/>
        </w:rPr>
        <w:t xml:space="preserve"> </w:t>
      </w:r>
    </w:p>
    <w:p w14:paraId="71096BCA" w14:textId="66E09C5B" w:rsidR="00FC2AF6" w:rsidRPr="0028145F" w:rsidRDefault="008E2D68" w:rsidP="00CA09F5">
      <w:pPr>
        <w:pStyle w:val="H2"/>
        <w:rPr>
          <w:sz w:val="22"/>
          <w:highlight w:val="white"/>
        </w:rPr>
      </w:pPr>
      <w:r w:rsidRPr="0028145F">
        <w:rPr>
          <w:sz w:val="22"/>
        </w:rPr>
        <w:t>The Parties shall work together to ensure that there is appropriate IPR asset management. Where the Supplier is working on the Buyer’s system the Supplier shall comply with the Buyer’s IPR asset management approach and procedures. Where the Supplier is working on the Supplier’s system it will ensure that it maintains its IPR asset management procedures in accordance with Good Industry Practice. Records and documentation associated with IPR asset management shall form part of the Deliverables associated with any Specially Written Software</w:t>
      </w:r>
      <w:r w:rsidR="0004132A" w:rsidRPr="0028145F">
        <w:rPr>
          <w:sz w:val="22"/>
        </w:rPr>
        <w:t xml:space="preserve"> or New IPR.</w:t>
      </w:r>
    </w:p>
    <w:p w14:paraId="163E34A2" w14:textId="40390789" w:rsidR="00EF36CF" w:rsidRPr="0028145F" w:rsidRDefault="008E2D68" w:rsidP="00CA09F5">
      <w:pPr>
        <w:pStyle w:val="H2"/>
        <w:rPr>
          <w:sz w:val="22"/>
        </w:rPr>
      </w:pPr>
      <w:r w:rsidRPr="0028145F">
        <w:rPr>
          <w:sz w:val="22"/>
          <w:highlight w:val="white"/>
        </w:rPr>
        <w:t xml:space="preserve">The Supplier </w:t>
      </w:r>
      <w:r w:rsidR="00D81DC9" w:rsidRPr="0028145F">
        <w:rPr>
          <w:sz w:val="22"/>
          <w:highlight w:val="white"/>
        </w:rPr>
        <w:t>shall</w:t>
      </w:r>
      <w:r w:rsidRPr="0028145F">
        <w:rPr>
          <w:sz w:val="22"/>
          <w:highlight w:val="white"/>
        </w:rPr>
        <w:t xml:space="preserve"> comply with any reasonable instructions given by the Buyer as to where it will store </w:t>
      </w:r>
      <w:r w:rsidR="00D81DC9" w:rsidRPr="0028145F">
        <w:rPr>
          <w:sz w:val="22"/>
          <w:highlight w:val="white"/>
        </w:rPr>
        <w:t>Documentation</w:t>
      </w:r>
      <w:r w:rsidRPr="0028145F">
        <w:rPr>
          <w:sz w:val="22"/>
          <w:highlight w:val="white"/>
        </w:rPr>
        <w:t xml:space="preserve"> and </w:t>
      </w:r>
      <w:r w:rsidR="00D81DC9" w:rsidRPr="0028145F">
        <w:rPr>
          <w:sz w:val="22"/>
          <w:highlight w:val="white"/>
        </w:rPr>
        <w:t>S</w:t>
      </w:r>
      <w:r w:rsidRPr="0028145F">
        <w:rPr>
          <w:sz w:val="22"/>
          <w:highlight w:val="white"/>
        </w:rPr>
        <w:t xml:space="preserve">ource </w:t>
      </w:r>
      <w:r w:rsidR="00D81DC9" w:rsidRPr="0028145F">
        <w:rPr>
          <w:sz w:val="22"/>
          <w:highlight w:val="white"/>
        </w:rPr>
        <w:t>C</w:t>
      </w:r>
      <w:r w:rsidRPr="0028145F">
        <w:rPr>
          <w:sz w:val="22"/>
          <w:highlight w:val="white"/>
        </w:rPr>
        <w:t>ode, both finished and in progress, during the term of this Call-Off Contract, and at what frequency/intervals</w:t>
      </w:r>
      <w:r w:rsidR="00D81DC9" w:rsidRPr="0028145F">
        <w:rPr>
          <w:sz w:val="22"/>
          <w:highlight w:val="white"/>
        </w:rPr>
        <w:t>.</w:t>
      </w:r>
      <w:r w:rsidRPr="0028145F">
        <w:rPr>
          <w:sz w:val="22"/>
          <w:highlight w:val="white"/>
        </w:rPr>
        <w:t xml:space="preserve"> </w:t>
      </w:r>
    </w:p>
    <w:p w14:paraId="163E34A3" w14:textId="42F057D7" w:rsidR="00EF36CF" w:rsidRPr="0028145F" w:rsidRDefault="008E2D68" w:rsidP="00CA09F5">
      <w:pPr>
        <w:pStyle w:val="H2"/>
        <w:rPr>
          <w:sz w:val="22"/>
        </w:rPr>
      </w:pPr>
      <w:r w:rsidRPr="0028145F">
        <w:rPr>
          <w:sz w:val="22"/>
          <w:highlight w:val="white"/>
        </w:rPr>
        <w:t xml:space="preserve">The Supplier </w:t>
      </w:r>
      <w:r w:rsidR="00D81DC9" w:rsidRPr="0028145F">
        <w:rPr>
          <w:sz w:val="22"/>
          <w:highlight w:val="white"/>
        </w:rPr>
        <w:t>shall</w:t>
      </w:r>
      <w:r w:rsidRPr="0028145F">
        <w:rPr>
          <w:sz w:val="22"/>
          <w:highlight w:val="white"/>
        </w:rPr>
        <w:t xml:space="preserve">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7440E153" w14:textId="2AB4842C" w:rsidR="00B65874" w:rsidRPr="0028145F" w:rsidRDefault="008E2D68" w:rsidP="00CA09F5">
      <w:pPr>
        <w:pStyle w:val="H2"/>
        <w:rPr>
          <w:sz w:val="22"/>
        </w:rPr>
      </w:pPr>
      <w:r w:rsidRPr="0028145F">
        <w:rPr>
          <w:sz w:val="22"/>
        </w:rPr>
        <w:t xml:space="preserve">The Supplier shall maintain a register of </w:t>
      </w:r>
      <w:r w:rsidR="00F77E99" w:rsidRPr="0028145F">
        <w:rPr>
          <w:sz w:val="22"/>
        </w:rPr>
        <w:t>all</w:t>
      </w:r>
      <w:r w:rsidRPr="0028145F">
        <w:rPr>
          <w:sz w:val="22"/>
        </w:rPr>
        <w:t xml:space="preserve"> Open Source Software </w:t>
      </w:r>
      <w:r w:rsidR="00F77E99" w:rsidRPr="0028145F">
        <w:rPr>
          <w:sz w:val="22"/>
        </w:rPr>
        <w:t xml:space="preserve">used in the provision of the Deliverables </w:t>
      </w:r>
      <w:r w:rsidRPr="0028145F">
        <w:rPr>
          <w:sz w:val="22"/>
        </w:rPr>
        <w:t>in accordance with its IPR asset management obligations under this Contract</w:t>
      </w:r>
      <w:r w:rsidR="002A0883" w:rsidRPr="0028145F">
        <w:rPr>
          <w:sz w:val="22"/>
        </w:rPr>
        <w:t>.</w:t>
      </w:r>
    </w:p>
    <w:p w14:paraId="1B71B580" w14:textId="5FBCC4E7" w:rsidR="002A0883" w:rsidRPr="0028145F" w:rsidRDefault="008E2D68" w:rsidP="00CA09F5">
      <w:pPr>
        <w:pStyle w:val="H2"/>
        <w:rPr>
          <w:sz w:val="22"/>
        </w:rPr>
      </w:pPr>
      <w:r w:rsidRPr="0028145F">
        <w:rPr>
          <w:sz w:val="22"/>
        </w:rPr>
        <w:t xml:space="preserve">The Supplier shall provide the Buyer with a copy of the IPR asset management information relating to the Deliverables on request by the Buyer, in a standard portable </w:t>
      </w:r>
      <w:proofErr w:type="gramStart"/>
      <w:r w:rsidR="00FC78D7" w:rsidRPr="0028145F">
        <w:rPr>
          <w:sz w:val="22"/>
        </w:rPr>
        <w:t>machine readable</w:t>
      </w:r>
      <w:proofErr w:type="gramEnd"/>
      <w:r w:rsidR="00FC78D7" w:rsidRPr="0028145F">
        <w:rPr>
          <w:sz w:val="22"/>
        </w:rPr>
        <w:t xml:space="preserve"> </w:t>
      </w:r>
      <w:r w:rsidRPr="0028145F">
        <w:rPr>
          <w:sz w:val="22"/>
        </w:rPr>
        <w:t>format.</w:t>
      </w:r>
    </w:p>
    <w:p w14:paraId="68034B49" w14:textId="07E08745" w:rsidR="008278D8" w:rsidRPr="0028145F" w:rsidRDefault="008E2D68" w:rsidP="00CA09F5">
      <w:pPr>
        <w:pStyle w:val="H1"/>
        <w:rPr>
          <w:sz w:val="22"/>
        </w:rPr>
      </w:pPr>
      <w:bookmarkStart w:id="6" w:name="bookmark=id.2et92p0" w:colFirst="0" w:colLast="0"/>
      <w:bookmarkStart w:id="7" w:name="bookmark=id.3znysh7" w:colFirst="0" w:colLast="0"/>
      <w:bookmarkStart w:id="8" w:name="bookmark=id.tyjcwt" w:colFirst="0" w:colLast="0"/>
      <w:bookmarkStart w:id="9" w:name="bookmark=id.3dy6vkm" w:colFirst="0" w:colLast="0"/>
      <w:bookmarkEnd w:id="6"/>
      <w:bookmarkEnd w:id="7"/>
      <w:bookmarkEnd w:id="8"/>
      <w:bookmarkEnd w:id="9"/>
      <w:r w:rsidRPr="0028145F">
        <w:rPr>
          <w:sz w:val="22"/>
        </w:rPr>
        <w:t xml:space="preserve">Escrow </w:t>
      </w:r>
    </w:p>
    <w:p w14:paraId="03CC70DB" w14:textId="3668E877" w:rsidR="00A31C4A" w:rsidRPr="0028145F" w:rsidRDefault="008E2D68" w:rsidP="00CA09F5">
      <w:pPr>
        <w:pStyle w:val="H2"/>
        <w:rPr>
          <w:sz w:val="22"/>
        </w:rPr>
      </w:pPr>
      <w:bookmarkStart w:id="10" w:name="_Ref45828657"/>
      <w:r w:rsidRPr="0028145F">
        <w:rPr>
          <w:sz w:val="22"/>
        </w:rPr>
        <w:lastRenderedPageBreak/>
        <w:t xml:space="preserve">The Supplier shall </w:t>
      </w:r>
      <w:r w:rsidR="00B46FB4" w:rsidRPr="0028145F">
        <w:rPr>
          <w:sz w:val="22"/>
        </w:rPr>
        <w:t xml:space="preserve">on request from the Buyer </w:t>
      </w:r>
      <w:r w:rsidRPr="0028145F">
        <w:rPr>
          <w:sz w:val="22"/>
        </w:rPr>
        <w:t xml:space="preserve">within 20 Working Days after the Start Date, deposit the Source Code of </w:t>
      </w:r>
      <w:r w:rsidR="00C32E3C" w:rsidRPr="0028145F">
        <w:rPr>
          <w:sz w:val="22"/>
        </w:rPr>
        <w:t xml:space="preserve">software that is </w:t>
      </w:r>
      <w:r w:rsidRPr="0028145F">
        <w:rPr>
          <w:sz w:val="22"/>
        </w:rPr>
        <w:t xml:space="preserve">the </w:t>
      </w:r>
      <w:r w:rsidR="005515B0" w:rsidRPr="0028145F">
        <w:rPr>
          <w:sz w:val="22"/>
        </w:rPr>
        <w:t xml:space="preserve">Supplier’s Existing IPR </w:t>
      </w:r>
      <w:r w:rsidR="00C32E3C" w:rsidRPr="0028145F">
        <w:rPr>
          <w:sz w:val="22"/>
        </w:rPr>
        <w:t>or</w:t>
      </w:r>
      <w:r w:rsidR="005515B0" w:rsidRPr="0028145F">
        <w:rPr>
          <w:sz w:val="22"/>
        </w:rPr>
        <w:t xml:space="preserve"> Third Party IPR</w:t>
      </w:r>
      <w:r w:rsidRPr="0028145F">
        <w:rPr>
          <w:sz w:val="22"/>
        </w:rPr>
        <w:t xml:space="preserve"> in escrow with the National Computing Centre on the</w:t>
      </w:r>
      <w:r w:rsidR="00F237A6" w:rsidRPr="0028145F">
        <w:rPr>
          <w:sz w:val="22"/>
        </w:rPr>
        <w:t>ir standard terms</w:t>
      </w:r>
      <w:r w:rsidRPr="0028145F">
        <w:rPr>
          <w:sz w:val="22"/>
        </w:rPr>
        <w:t>.</w:t>
      </w:r>
      <w:bookmarkEnd w:id="10"/>
    </w:p>
    <w:p w14:paraId="34BD80A2" w14:textId="38DC4FFC" w:rsidR="00A31C4A" w:rsidRPr="0028145F" w:rsidRDefault="008E2D68" w:rsidP="00CA09F5">
      <w:pPr>
        <w:pStyle w:val="H2"/>
        <w:rPr>
          <w:sz w:val="22"/>
        </w:rPr>
      </w:pPr>
      <w:r w:rsidRPr="0028145F">
        <w:rPr>
          <w:sz w:val="22"/>
        </w:rPr>
        <w:t xml:space="preserve">The Supplier shall ensure that the deposited version of the Source Code is the current version of the Software and that the deposited version is kept up to date as the Software is modified or upgraded. The </w:t>
      </w:r>
      <w:r w:rsidR="007320BE" w:rsidRPr="0028145F">
        <w:rPr>
          <w:sz w:val="22"/>
        </w:rPr>
        <w:t>Buyer</w:t>
      </w:r>
      <w:r w:rsidRPr="0028145F">
        <w:rPr>
          <w:sz w:val="22"/>
        </w:rPr>
        <w:t xml:space="preserve"> shall pay the deposit and maintenance fees under the escrow agreement and the Supplier shall pay the release fees under the escrow agreement.</w:t>
      </w:r>
    </w:p>
    <w:p w14:paraId="64FCA76F" w14:textId="10829B74" w:rsidR="00A31C4A" w:rsidRPr="0028145F" w:rsidRDefault="008E2D68" w:rsidP="00CA09F5">
      <w:pPr>
        <w:pStyle w:val="H2"/>
        <w:rPr>
          <w:sz w:val="22"/>
        </w:rPr>
      </w:pPr>
      <w:r w:rsidRPr="0028145F">
        <w:rPr>
          <w:sz w:val="22"/>
        </w:rPr>
        <w:t xml:space="preserve">Where the Supplier is unable to procure compliance with the provisions of </w:t>
      </w:r>
      <w:r w:rsidR="002D2ECF" w:rsidRPr="0028145F">
        <w:rPr>
          <w:sz w:val="22"/>
        </w:rPr>
        <w:t xml:space="preserve">paragraph </w:t>
      </w:r>
      <w:r w:rsidR="002D2ECF" w:rsidRPr="0061115B">
        <w:rPr>
          <w:sz w:val="22"/>
          <w:szCs w:val="22"/>
        </w:rPr>
        <w:fldChar w:fldCharType="begin"/>
      </w:r>
      <w:r w:rsidR="002D2ECF" w:rsidRPr="0061115B">
        <w:rPr>
          <w:sz w:val="22"/>
          <w:szCs w:val="22"/>
        </w:rPr>
        <w:instrText xml:space="preserve"> REF _Ref45828657 \r \h </w:instrText>
      </w:r>
      <w:r w:rsidR="0061115B" w:rsidRPr="0061115B">
        <w:rPr>
          <w:sz w:val="22"/>
          <w:szCs w:val="22"/>
        </w:rPr>
        <w:instrText xml:space="preserve"> \* MERGEFORMAT </w:instrText>
      </w:r>
      <w:r w:rsidR="002D2ECF" w:rsidRPr="0061115B">
        <w:rPr>
          <w:sz w:val="22"/>
          <w:szCs w:val="22"/>
        </w:rPr>
      </w:r>
      <w:r w:rsidR="002D2ECF" w:rsidRPr="0061115B">
        <w:rPr>
          <w:sz w:val="22"/>
          <w:szCs w:val="22"/>
        </w:rPr>
        <w:fldChar w:fldCharType="separate"/>
      </w:r>
      <w:r w:rsidR="002D2ECF" w:rsidRPr="0061115B">
        <w:rPr>
          <w:sz w:val="22"/>
          <w:szCs w:val="22"/>
        </w:rPr>
        <w:t>5.1</w:t>
      </w:r>
      <w:r w:rsidR="002D2ECF" w:rsidRPr="0061115B">
        <w:rPr>
          <w:sz w:val="22"/>
          <w:szCs w:val="22"/>
        </w:rPr>
        <w:fldChar w:fldCharType="end"/>
      </w:r>
      <w:r w:rsidR="002D2ECF" w:rsidRPr="0028145F">
        <w:rPr>
          <w:sz w:val="22"/>
        </w:rPr>
        <w:t xml:space="preserve"> </w:t>
      </w:r>
      <w:r w:rsidRPr="0028145F">
        <w:rPr>
          <w:sz w:val="22"/>
        </w:rPr>
        <w:t xml:space="preserve">in respect of any Third Party </w:t>
      </w:r>
      <w:r w:rsidR="003844A5" w:rsidRPr="0028145F">
        <w:rPr>
          <w:sz w:val="22"/>
        </w:rPr>
        <w:t>IPR</w:t>
      </w:r>
      <w:r w:rsidRPr="0028145F">
        <w:rPr>
          <w:sz w:val="22"/>
        </w:rPr>
        <w:t xml:space="preserve">, it shall provide the </w:t>
      </w:r>
      <w:r w:rsidR="002D2ECF" w:rsidRPr="0028145F">
        <w:rPr>
          <w:sz w:val="22"/>
        </w:rPr>
        <w:t>Buyer</w:t>
      </w:r>
      <w:r w:rsidRPr="0028145F">
        <w:rPr>
          <w:sz w:val="22"/>
        </w:rPr>
        <w:t xml:space="preserve"> with written evidence of its inability to comply with these provisions and shall agree with the </w:t>
      </w:r>
      <w:r w:rsidR="00757C42" w:rsidRPr="0028145F">
        <w:rPr>
          <w:sz w:val="22"/>
        </w:rPr>
        <w:t>Buyer</w:t>
      </w:r>
      <w:r w:rsidRPr="0028145F">
        <w:rPr>
          <w:sz w:val="22"/>
        </w:rPr>
        <w:t xml:space="preserve"> a suitable alternative to escrow that affords the Customer the nearest equivalent protection. The Supplier shall be excused from its obligations under </w:t>
      </w:r>
      <w:r w:rsidR="00757C42" w:rsidRPr="0028145F">
        <w:rPr>
          <w:sz w:val="22"/>
        </w:rPr>
        <w:t xml:space="preserve">paragraph </w:t>
      </w:r>
      <w:r w:rsidR="00757C42" w:rsidRPr="0061115B">
        <w:rPr>
          <w:sz w:val="22"/>
          <w:szCs w:val="22"/>
        </w:rPr>
        <w:fldChar w:fldCharType="begin"/>
      </w:r>
      <w:r w:rsidR="00757C42" w:rsidRPr="0061115B">
        <w:rPr>
          <w:sz w:val="22"/>
          <w:szCs w:val="22"/>
        </w:rPr>
        <w:instrText xml:space="preserve"> REF _Ref45828657 \r \h </w:instrText>
      </w:r>
      <w:r w:rsidR="0061115B" w:rsidRPr="0061115B">
        <w:rPr>
          <w:sz w:val="22"/>
          <w:szCs w:val="22"/>
        </w:rPr>
        <w:instrText xml:space="preserve"> \* MERGEFORMAT </w:instrText>
      </w:r>
      <w:r w:rsidR="00757C42" w:rsidRPr="0061115B">
        <w:rPr>
          <w:sz w:val="22"/>
          <w:szCs w:val="22"/>
        </w:rPr>
      </w:r>
      <w:r w:rsidR="00757C42" w:rsidRPr="0061115B">
        <w:rPr>
          <w:sz w:val="22"/>
          <w:szCs w:val="22"/>
        </w:rPr>
        <w:fldChar w:fldCharType="separate"/>
      </w:r>
      <w:r w:rsidR="00757C42" w:rsidRPr="0061115B">
        <w:rPr>
          <w:sz w:val="22"/>
          <w:szCs w:val="22"/>
        </w:rPr>
        <w:t>5.1</w:t>
      </w:r>
      <w:r w:rsidR="00757C42" w:rsidRPr="0061115B">
        <w:rPr>
          <w:sz w:val="22"/>
          <w:szCs w:val="22"/>
        </w:rPr>
        <w:fldChar w:fldCharType="end"/>
      </w:r>
      <w:r w:rsidR="00757C42" w:rsidRPr="0028145F">
        <w:rPr>
          <w:sz w:val="22"/>
        </w:rPr>
        <w:t xml:space="preserve"> </w:t>
      </w:r>
      <w:r w:rsidRPr="0028145F">
        <w:rPr>
          <w:sz w:val="22"/>
        </w:rPr>
        <w:t>only to the extent that the parties have agreed on a suitable alternative.</w:t>
      </w:r>
    </w:p>
    <w:p w14:paraId="4BB2244D" w14:textId="62AD9958" w:rsidR="008278D8" w:rsidRPr="0028145F" w:rsidRDefault="008E2D68" w:rsidP="00046609">
      <w:pPr>
        <w:pStyle w:val="H2"/>
        <w:rPr>
          <w:sz w:val="22"/>
        </w:rPr>
      </w:pPr>
      <w:r w:rsidRPr="0028145F">
        <w:rPr>
          <w:sz w:val="22"/>
        </w:rPr>
        <w:t xml:space="preserve">In circumstances where the </w:t>
      </w:r>
      <w:r w:rsidR="00757C42" w:rsidRPr="0028145F">
        <w:rPr>
          <w:sz w:val="22"/>
        </w:rPr>
        <w:t>Buyer</w:t>
      </w:r>
      <w:r w:rsidRPr="0028145F">
        <w:rPr>
          <w:sz w:val="22"/>
        </w:rPr>
        <w:t xml:space="preserve"> obtains the release of the Source Code from escrow, the Supplier hereby grants to the </w:t>
      </w:r>
      <w:r w:rsidR="00757C42" w:rsidRPr="0028145F">
        <w:rPr>
          <w:sz w:val="22"/>
        </w:rPr>
        <w:t>Buyer</w:t>
      </w:r>
      <w:r w:rsidRPr="0028145F">
        <w:rPr>
          <w:sz w:val="22"/>
        </w:rPr>
        <w:t xml:space="preserve"> (on behalf of itself and the Replacement Supplier) a perpetual, assignable, royalty-free and non-exclusive licence to use, support, modify and enhance the Source Code version of the </w:t>
      </w:r>
      <w:r w:rsidR="00E3603F" w:rsidRPr="0028145F">
        <w:rPr>
          <w:sz w:val="22"/>
        </w:rPr>
        <w:t>s</w:t>
      </w:r>
      <w:r w:rsidRPr="0028145F">
        <w:rPr>
          <w:sz w:val="22"/>
        </w:rPr>
        <w:t xml:space="preserve">oftware to the extent necessary for the receipt of the </w:t>
      </w:r>
      <w:r w:rsidR="00E3603F" w:rsidRPr="0028145F">
        <w:rPr>
          <w:sz w:val="22"/>
        </w:rPr>
        <w:t>Deliverables</w:t>
      </w:r>
      <w:r w:rsidRPr="0028145F">
        <w:rPr>
          <w:sz w:val="22"/>
        </w:rPr>
        <w:t xml:space="preserve"> or any </w:t>
      </w:r>
      <w:r w:rsidR="00E3603F" w:rsidRPr="0028145F">
        <w:rPr>
          <w:sz w:val="22"/>
        </w:rPr>
        <w:t>r</w:t>
      </w:r>
      <w:r w:rsidRPr="0028145F">
        <w:rPr>
          <w:sz w:val="22"/>
        </w:rPr>
        <w:t xml:space="preserve">eplacement </w:t>
      </w:r>
      <w:r w:rsidR="00E3603F" w:rsidRPr="0028145F">
        <w:rPr>
          <w:sz w:val="22"/>
        </w:rPr>
        <w:t>s</w:t>
      </w:r>
      <w:r w:rsidRPr="0028145F">
        <w:rPr>
          <w:sz w:val="22"/>
        </w:rPr>
        <w:t>ervices.</w:t>
      </w:r>
    </w:p>
    <w:p w14:paraId="1C653EC9" w14:textId="2BFCF228" w:rsidR="002E7243" w:rsidRPr="0028145F" w:rsidRDefault="008E2D68" w:rsidP="00B30EC0">
      <w:pPr>
        <w:pStyle w:val="H1"/>
        <w:keepNext/>
        <w:keepLines/>
        <w:rPr>
          <w:sz w:val="22"/>
        </w:rPr>
      </w:pPr>
      <w:r w:rsidRPr="0028145F">
        <w:rPr>
          <w:sz w:val="22"/>
        </w:rPr>
        <w:t xml:space="preserve">Information Sharing </w:t>
      </w:r>
      <w:proofErr w:type="gramStart"/>
      <w:r w:rsidRPr="0028145F">
        <w:rPr>
          <w:sz w:val="22"/>
        </w:rPr>
        <w:t>By</w:t>
      </w:r>
      <w:proofErr w:type="gramEnd"/>
      <w:r w:rsidRPr="0028145F">
        <w:rPr>
          <w:sz w:val="22"/>
        </w:rPr>
        <w:t xml:space="preserve"> the Buyer</w:t>
      </w:r>
    </w:p>
    <w:p w14:paraId="7326574B" w14:textId="695EAB5E" w:rsidR="002E7243" w:rsidRPr="0028145F" w:rsidRDefault="008E2D68" w:rsidP="00CA09F5">
      <w:pPr>
        <w:pStyle w:val="H2"/>
        <w:rPr>
          <w:sz w:val="22"/>
        </w:rPr>
      </w:pPr>
      <w:bookmarkStart w:id="11" w:name="_Ref45700404"/>
      <w:r w:rsidRPr="0028145F">
        <w:rPr>
          <w:sz w:val="22"/>
        </w:rPr>
        <w:t>The Supplier shall, if requested by the Buyer, provide such management information as is provided under Call-Off Schedule 15A (</w:t>
      </w:r>
      <w:r w:rsidR="001B5037" w:rsidRPr="0028145F">
        <w:rPr>
          <w:sz w:val="22"/>
        </w:rPr>
        <w:t xml:space="preserve">Health </w:t>
      </w:r>
      <w:r w:rsidR="00751A55" w:rsidRPr="0028145F">
        <w:rPr>
          <w:sz w:val="22"/>
        </w:rPr>
        <w:t xml:space="preserve">Supplier </w:t>
      </w:r>
      <w:r w:rsidRPr="0028145F">
        <w:rPr>
          <w:sz w:val="22"/>
        </w:rPr>
        <w:t>and Contract Management) to another Buyer or to any Central Government Body, whose role it is to analyse such management information in accordance with UK government policy (to include, without limitation, for the purposes of analysing public sector expenditure and planning future procurement activities) (</w:t>
      </w:r>
      <w:r w:rsidRPr="0028145F">
        <w:rPr>
          <w:b/>
          <w:sz w:val="22"/>
        </w:rPr>
        <w:t>“Third Party Body”</w:t>
      </w:r>
      <w:r w:rsidRPr="0028145F">
        <w:rPr>
          <w:sz w:val="22"/>
        </w:rPr>
        <w:t xml:space="preserve">). The Supplier confirms and agrees that the Buyer may itself provide the </w:t>
      </w:r>
      <w:proofErr w:type="gramStart"/>
      <w:r w:rsidRPr="0028145F">
        <w:rPr>
          <w:sz w:val="22"/>
        </w:rPr>
        <w:t>Third Party</w:t>
      </w:r>
      <w:proofErr w:type="gramEnd"/>
      <w:r w:rsidRPr="0028145F">
        <w:rPr>
          <w:sz w:val="22"/>
        </w:rPr>
        <w:t xml:space="preserve"> Body with management information relating to the Deliverables, any payments made under this Contract, and any other information relevant to the operation of this Contract.</w:t>
      </w:r>
      <w:bookmarkEnd w:id="11"/>
    </w:p>
    <w:p w14:paraId="20EFD3E1" w14:textId="7D872F1F" w:rsidR="002E7243" w:rsidRPr="0028145F" w:rsidRDefault="008E2D68" w:rsidP="00CA09F5">
      <w:pPr>
        <w:pStyle w:val="H2"/>
        <w:rPr>
          <w:sz w:val="22"/>
        </w:rPr>
      </w:pPr>
      <w:bookmarkStart w:id="12" w:name="_Ref45700485"/>
      <w:r w:rsidRPr="0028145F">
        <w:rPr>
          <w:sz w:val="22"/>
        </w:rPr>
        <w:t xml:space="preserve">Upon receipt of management information supplied by the Supplier to the Buyer and/or the </w:t>
      </w:r>
      <w:proofErr w:type="gramStart"/>
      <w:r w:rsidRPr="0028145F">
        <w:rPr>
          <w:sz w:val="22"/>
        </w:rPr>
        <w:t>Third Party</w:t>
      </w:r>
      <w:proofErr w:type="gramEnd"/>
      <w:r w:rsidRPr="0028145F">
        <w:rPr>
          <w:sz w:val="22"/>
        </w:rPr>
        <w:t xml:space="preserve"> Body, or by the Buyer to the Third Party Body, the Parties hereby consent to the Third Party Body and the Buyer:</w:t>
      </w:r>
      <w:bookmarkEnd w:id="12"/>
    </w:p>
    <w:p w14:paraId="2BA02D7D" w14:textId="77777777" w:rsidR="002E7243" w:rsidRPr="0028145F" w:rsidRDefault="008E2D68" w:rsidP="00CA09F5">
      <w:pPr>
        <w:pStyle w:val="H3"/>
        <w:rPr>
          <w:sz w:val="22"/>
        </w:rPr>
      </w:pPr>
      <w:r w:rsidRPr="0028145F">
        <w:rPr>
          <w:sz w:val="22"/>
        </w:rPr>
        <w:t>storing and analysing the management information and producing statistics; and</w:t>
      </w:r>
    </w:p>
    <w:p w14:paraId="3AFDEA94" w14:textId="77777777" w:rsidR="002E7243" w:rsidRPr="0028145F" w:rsidRDefault="008E2D68" w:rsidP="00CA09F5">
      <w:pPr>
        <w:pStyle w:val="H3"/>
        <w:rPr>
          <w:sz w:val="22"/>
        </w:rPr>
      </w:pPr>
      <w:r w:rsidRPr="0028145F">
        <w:rPr>
          <w:sz w:val="22"/>
        </w:rPr>
        <w:lastRenderedPageBreak/>
        <w:t>sharing the management information or any statistics produced using the management information with any other Buyer or Central Government Body.</w:t>
      </w:r>
    </w:p>
    <w:p w14:paraId="3A1D0542" w14:textId="705617B9" w:rsidR="002E7243" w:rsidRPr="0028145F" w:rsidRDefault="008E2D68" w:rsidP="00CA09F5">
      <w:pPr>
        <w:pStyle w:val="H2"/>
        <w:rPr>
          <w:sz w:val="22"/>
        </w:rPr>
      </w:pPr>
      <w:r w:rsidRPr="0028145F">
        <w:rPr>
          <w:sz w:val="22"/>
        </w:rPr>
        <w:t xml:space="preserve">If the Third Party Body and/or the Buyer shares the management information or any other information provided under paragraph </w:t>
      </w:r>
      <w:r w:rsidR="00DC05D2" w:rsidRPr="0061115B">
        <w:rPr>
          <w:sz w:val="22"/>
          <w:szCs w:val="22"/>
        </w:rPr>
        <w:fldChar w:fldCharType="begin"/>
      </w:r>
      <w:r w:rsidR="00DC05D2" w:rsidRPr="0061115B">
        <w:rPr>
          <w:sz w:val="22"/>
          <w:szCs w:val="22"/>
        </w:rPr>
        <w:instrText xml:space="preserve"> REF _Ref45700485 \r \h </w:instrText>
      </w:r>
      <w:r w:rsidR="0061115B" w:rsidRPr="0061115B">
        <w:rPr>
          <w:sz w:val="22"/>
          <w:szCs w:val="22"/>
        </w:rPr>
        <w:instrText xml:space="preserve"> \* MERGEFORMAT </w:instrText>
      </w:r>
      <w:r w:rsidR="00DC05D2" w:rsidRPr="0061115B">
        <w:rPr>
          <w:sz w:val="22"/>
          <w:szCs w:val="22"/>
        </w:rPr>
      </w:r>
      <w:r w:rsidR="00DC05D2" w:rsidRPr="0061115B">
        <w:rPr>
          <w:sz w:val="22"/>
          <w:szCs w:val="22"/>
        </w:rPr>
        <w:fldChar w:fldCharType="separate"/>
      </w:r>
      <w:r w:rsidR="003751FA" w:rsidRPr="0061115B">
        <w:rPr>
          <w:sz w:val="22"/>
          <w:szCs w:val="22"/>
        </w:rPr>
        <w:t>6.2</w:t>
      </w:r>
      <w:r w:rsidR="00DC05D2" w:rsidRPr="0061115B">
        <w:rPr>
          <w:sz w:val="22"/>
          <w:szCs w:val="22"/>
        </w:rPr>
        <w:fldChar w:fldCharType="end"/>
      </w:r>
      <w:r w:rsidRPr="0028145F">
        <w:rPr>
          <w:sz w:val="22"/>
        </w:rPr>
        <w:t xml:space="preserve">, any Buyer or Central Government Body receiving the management information shall, where such management information is subject to obligations of confidence under this Contract and such management information is provided direct by the Buyer to such other Buyer or Central Government Body, be informed of the confidential nature of that information by the Buyer and shall be requested by the Buyer not to disclose it to </w:t>
      </w:r>
      <w:proofErr w:type="spellStart"/>
      <w:r w:rsidRPr="0028145F">
        <w:rPr>
          <w:sz w:val="22"/>
        </w:rPr>
        <w:t>any body</w:t>
      </w:r>
      <w:proofErr w:type="spellEnd"/>
      <w:r w:rsidRPr="0028145F">
        <w:rPr>
          <w:sz w:val="22"/>
        </w:rPr>
        <w:t xml:space="preserve"> that is not a Buyer or Central Government Body (unless required to do so by Law). </w:t>
      </w:r>
    </w:p>
    <w:p w14:paraId="79C91E4E" w14:textId="77777777" w:rsidR="008F0C4A" w:rsidRPr="0028145F" w:rsidRDefault="008E2D68" w:rsidP="00B30EC0">
      <w:pPr>
        <w:pStyle w:val="H2"/>
        <w:spacing w:after="120"/>
        <w:rPr>
          <w:sz w:val="22"/>
        </w:rPr>
      </w:pPr>
      <w:r w:rsidRPr="0028145F">
        <w:rPr>
          <w:sz w:val="22"/>
        </w:rPr>
        <w:t xml:space="preserve">Without limitation, the following additional information may be shared by the Buyer with Third Party Bodies subject to the terms of this Paragraph 6: </w:t>
      </w:r>
    </w:p>
    <w:p w14:paraId="3DE1EFC0" w14:textId="61AF94CF" w:rsidR="008F0C4A" w:rsidRPr="0028145F" w:rsidRDefault="008E2D68" w:rsidP="00B30EC0">
      <w:pPr>
        <w:pStyle w:val="H3"/>
        <w:spacing w:after="120"/>
        <w:rPr>
          <w:sz w:val="22"/>
        </w:rPr>
      </w:pPr>
      <w:r w:rsidRPr="0028145F">
        <w:rPr>
          <w:sz w:val="22"/>
        </w:rPr>
        <w:t xml:space="preserve">the Buyer’s requirements; </w:t>
      </w:r>
    </w:p>
    <w:p w14:paraId="7B0A2B88" w14:textId="657179C5" w:rsidR="008F0C4A" w:rsidRPr="0028145F" w:rsidRDefault="008E2D68" w:rsidP="00B30EC0">
      <w:pPr>
        <w:pStyle w:val="H3"/>
        <w:spacing w:after="120"/>
        <w:rPr>
          <w:sz w:val="22"/>
        </w:rPr>
      </w:pPr>
      <w:r w:rsidRPr="0028145F">
        <w:rPr>
          <w:sz w:val="22"/>
        </w:rPr>
        <w:t xml:space="preserve">the Supplier’s rate card and summary cost information; </w:t>
      </w:r>
    </w:p>
    <w:p w14:paraId="712FD5C6" w14:textId="0BC37F14" w:rsidR="008F0C4A" w:rsidRPr="0028145F" w:rsidRDefault="008E2D68" w:rsidP="00B30EC0">
      <w:pPr>
        <w:pStyle w:val="H3"/>
        <w:spacing w:after="120"/>
        <w:rPr>
          <w:sz w:val="22"/>
        </w:rPr>
      </w:pPr>
      <w:r w:rsidRPr="0028145F">
        <w:rPr>
          <w:sz w:val="22"/>
        </w:rPr>
        <w:t xml:space="preserve">the Buyer’s spend information; and </w:t>
      </w:r>
    </w:p>
    <w:p w14:paraId="3770B8C9" w14:textId="1DCB32AA" w:rsidR="008F0C4A" w:rsidRPr="0028145F" w:rsidRDefault="008E2D68" w:rsidP="00B30EC0">
      <w:pPr>
        <w:pStyle w:val="H3"/>
        <w:spacing w:after="120"/>
        <w:rPr>
          <w:sz w:val="22"/>
        </w:rPr>
      </w:pPr>
      <w:r w:rsidRPr="0028145F">
        <w:rPr>
          <w:sz w:val="22"/>
        </w:rPr>
        <w:t xml:space="preserve">the Supplier’s registration information on the procurement platform used by the Buyer for the purposes of this Call-Off Contract. </w:t>
      </w:r>
    </w:p>
    <w:p w14:paraId="1C096554" w14:textId="77777777" w:rsidR="002D4D5D" w:rsidRPr="0028145F" w:rsidRDefault="008E2D68" w:rsidP="00B30EC0">
      <w:pPr>
        <w:pStyle w:val="H1"/>
        <w:keepNext/>
        <w:keepLines/>
        <w:rPr>
          <w:sz w:val="22"/>
        </w:rPr>
      </w:pPr>
      <w:r w:rsidRPr="0028145F">
        <w:rPr>
          <w:sz w:val="22"/>
        </w:rPr>
        <w:t>Malicious Software</w:t>
      </w:r>
    </w:p>
    <w:p w14:paraId="2F8119B7" w14:textId="1F6A9E3E" w:rsidR="002D4D5D" w:rsidRPr="0028145F" w:rsidRDefault="008E2D68" w:rsidP="00CA09F5">
      <w:pPr>
        <w:pStyle w:val="H2"/>
        <w:rPr>
          <w:sz w:val="22"/>
        </w:rPr>
      </w:pPr>
      <w:r w:rsidRPr="0028145F">
        <w:rPr>
          <w:sz w:val="22"/>
        </w:rPr>
        <w:t xml:space="preserve">The Supplier shall, throughout the </w:t>
      </w:r>
      <w:r w:rsidR="00704B16" w:rsidRPr="0028145F">
        <w:rPr>
          <w:sz w:val="22"/>
        </w:rPr>
        <w:t xml:space="preserve">Call-Off </w:t>
      </w:r>
      <w:r w:rsidRPr="0028145F">
        <w:rPr>
          <w:sz w:val="22"/>
        </w:rPr>
        <w:t>Contract Period, use the latest versions of anti-virus definitions and software available from an industry accepted anti-virus software vendor to check for, contain the spread of, and minimise the impact of Malicious Software.</w:t>
      </w:r>
    </w:p>
    <w:p w14:paraId="06C43EED" w14:textId="7D3956C3" w:rsidR="002D4D5D" w:rsidRPr="0028145F" w:rsidRDefault="008E2D68" w:rsidP="00CA09F5">
      <w:pPr>
        <w:pStyle w:val="H2"/>
        <w:rPr>
          <w:sz w:val="22"/>
        </w:rPr>
      </w:pPr>
      <w:bookmarkStart w:id="13" w:name="_Ref45565408"/>
      <w:r w:rsidRPr="0028145F">
        <w:rPr>
          <w:sz w:val="22"/>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13"/>
    </w:p>
    <w:p w14:paraId="31AEBB7A" w14:textId="225D5538" w:rsidR="002D4D5D" w:rsidRPr="0028145F" w:rsidRDefault="008E2D68" w:rsidP="00704B16">
      <w:pPr>
        <w:pStyle w:val="H2"/>
        <w:rPr>
          <w:sz w:val="22"/>
        </w:rPr>
      </w:pPr>
      <w:r w:rsidRPr="0028145F">
        <w:rPr>
          <w:sz w:val="22"/>
        </w:rPr>
        <w:t xml:space="preserve">Any cost arising out of the actions of the Parties taken in compliance with the provisions of paragraph </w:t>
      </w:r>
      <w:r w:rsidRPr="0028145F">
        <w:rPr>
          <w:sz w:val="22"/>
        </w:rPr>
        <w:fldChar w:fldCharType="begin"/>
      </w:r>
      <w:r w:rsidRPr="0028145F">
        <w:rPr>
          <w:sz w:val="22"/>
        </w:rPr>
        <w:instrText xml:space="preserve"> REF _Ref45565408 \w \h </w:instrText>
      </w:r>
      <w:r w:rsidR="002A200D" w:rsidRPr="0028145F">
        <w:rPr>
          <w:sz w:val="22"/>
        </w:rPr>
        <w:instrText xml:space="preserve"> \* MERGEFORMAT </w:instrText>
      </w:r>
      <w:r w:rsidRPr="0028145F">
        <w:rPr>
          <w:sz w:val="22"/>
        </w:rPr>
      </w:r>
      <w:r w:rsidRPr="0028145F">
        <w:rPr>
          <w:sz w:val="22"/>
        </w:rPr>
        <w:fldChar w:fldCharType="separate"/>
      </w:r>
      <w:r w:rsidR="00704B16" w:rsidRPr="0028145F">
        <w:rPr>
          <w:sz w:val="22"/>
        </w:rPr>
        <w:t>7.2</w:t>
      </w:r>
      <w:r w:rsidRPr="0028145F">
        <w:rPr>
          <w:sz w:val="22"/>
        </w:rPr>
        <w:fldChar w:fldCharType="end"/>
      </w:r>
      <w:r w:rsidRPr="0028145F">
        <w:rPr>
          <w:sz w:val="22"/>
        </w:rPr>
        <w:t xml:space="preserve"> shall be borne by the Parties as follows:</w:t>
      </w:r>
    </w:p>
    <w:p w14:paraId="175B05B3" w14:textId="77777777" w:rsidR="002D4D5D" w:rsidRPr="0028145F" w:rsidRDefault="008E2D68" w:rsidP="00CA09F5">
      <w:pPr>
        <w:pStyle w:val="H3"/>
        <w:rPr>
          <w:sz w:val="22"/>
        </w:rPr>
      </w:pPr>
      <w:r w:rsidRPr="0028145F">
        <w:rPr>
          <w:sz w:val="22"/>
        </w:rPr>
        <w:t xml:space="preserve">by the Supplier, where the Malicious Software originates from the Supplier Software, the </w:t>
      </w:r>
      <w:proofErr w:type="gramStart"/>
      <w:r w:rsidRPr="0028145F">
        <w:rPr>
          <w:sz w:val="22"/>
        </w:rPr>
        <w:t>Third Party</w:t>
      </w:r>
      <w:proofErr w:type="gramEnd"/>
      <w:r w:rsidRPr="0028145F">
        <w:rPr>
          <w:sz w:val="22"/>
        </w:rPr>
        <w:t xml:space="preserve"> Software supplied by the Supplier or the Government Data (whilst the Government Data was under the control of the Supplier) unless the Supplier can demonstrate that such </w:t>
      </w:r>
      <w:r w:rsidRPr="0028145F">
        <w:rPr>
          <w:sz w:val="22"/>
        </w:rPr>
        <w:lastRenderedPageBreak/>
        <w:t>Malicious Software was present and not quarantined or otherwise identified by the Buyer when provided to the Supplier; and</w:t>
      </w:r>
    </w:p>
    <w:p w14:paraId="19F6575B" w14:textId="295636E2" w:rsidR="002D4D5D" w:rsidRPr="0028145F" w:rsidRDefault="008E2D68">
      <w:pPr>
        <w:pStyle w:val="H3"/>
        <w:rPr>
          <w:sz w:val="22"/>
        </w:rPr>
      </w:pPr>
      <w:r w:rsidRPr="0028145F">
        <w:rPr>
          <w:sz w:val="22"/>
        </w:rPr>
        <w:t>by the Buyer, if the Malicious Software originates from the Buyer Software or the Government Data (whilst the Government Data was under the control of the Buyer).</w:t>
      </w:r>
    </w:p>
    <w:p w14:paraId="49A64C7D" w14:textId="77777777" w:rsidR="00C0538C" w:rsidRPr="0028145F" w:rsidRDefault="008E2D68" w:rsidP="00C0538C">
      <w:pPr>
        <w:pStyle w:val="ListParagraph"/>
        <w:numPr>
          <w:ilvl w:val="0"/>
          <w:numId w:val="7"/>
        </w:numPr>
        <w:ind w:hanging="720"/>
        <w:jc w:val="both"/>
        <w:rPr>
          <w:rFonts w:ascii="Arial" w:hAnsi="Arial"/>
          <w:b/>
        </w:rPr>
      </w:pPr>
      <w:r w:rsidRPr="0028145F">
        <w:rPr>
          <w:rFonts w:ascii="Arial" w:hAnsi="Arial"/>
          <w:b/>
        </w:rPr>
        <w:t>Data Protection Impact Assessment Delivery and Assistance</w:t>
      </w:r>
    </w:p>
    <w:p w14:paraId="0BD1330D" w14:textId="77777777" w:rsidR="00C0538C" w:rsidRPr="0028145F" w:rsidRDefault="008E2D68" w:rsidP="00C0538C">
      <w:pPr>
        <w:pStyle w:val="H2"/>
        <w:rPr>
          <w:sz w:val="22"/>
        </w:rPr>
      </w:pPr>
      <w:r w:rsidRPr="0028145F">
        <w:rPr>
          <w:sz w:val="22"/>
        </w:rPr>
        <w:t xml:space="preserve">Without limitation to the obligations as set out in Joint Schedule 11 (Processing Data) and the Order Form, the Supplier shall provide a draft DPIA prior to Contract Award for each Deliverable under the Contract. </w:t>
      </w:r>
    </w:p>
    <w:p w14:paraId="73A032D1" w14:textId="579A8D5A" w:rsidR="00C0538C" w:rsidRPr="0028145F" w:rsidRDefault="008E2D68" w:rsidP="00CA09F5">
      <w:pPr>
        <w:pStyle w:val="H2"/>
        <w:rPr>
          <w:sz w:val="22"/>
        </w:rPr>
      </w:pPr>
      <w:r w:rsidRPr="0028145F">
        <w:rPr>
          <w:sz w:val="22"/>
        </w:rPr>
        <w:t>The Supplier shall update the DPIA to be complete for the agreed Deliverables and meeting all Law, prior to the Start Date of the Contract. The Supplier shall be responsible for updating the DPIA at each material change of the Deliverables (including but not limited to each release of new software</w:t>
      </w:r>
      <w:r w:rsidR="00451B20" w:rsidRPr="0028145F">
        <w:rPr>
          <w:sz w:val="22"/>
        </w:rPr>
        <w:t>)</w:t>
      </w:r>
      <w:r w:rsidRPr="0028145F">
        <w:rPr>
          <w:sz w:val="22"/>
        </w:rPr>
        <w:t xml:space="preserve"> and following any Variation.</w:t>
      </w:r>
    </w:p>
    <w:p w14:paraId="452722B1" w14:textId="77777777" w:rsidR="007467DB" w:rsidRPr="0028145F" w:rsidRDefault="008E2D68" w:rsidP="00C577C8">
      <w:pPr>
        <w:pStyle w:val="H1"/>
        <w:rPr>
          <w:sz w:val="22"/>
        </w:rPr>
      </w:pPr>
      <w:bookmarkStart w:id="14" w:name="bookmark=id.2s8eyo1" w:colFirst="0" w:colLast="0"/>
      <w:bookmarkStart w:id="15" w:name="bookmark=id.17dp8vu" w:colFirst="0" w:colLast="0"/>
      <w:bookmarkStart w:id="16" w:name="bookmark=id.3rdcrjn" w:colFirst="0" w:colLast="0"/>
      <w:bookmarkStart w:id="17" w:name="bookmark=id.26in1rg" w:colFirst="0" w:colLast="0"/>
      <w:bookmarkEnd w:id="14"/>
      <w:bookmarkEnd w:id="15"/>
      <w:bookmarkEnd w:id="16"/>
      <w:bookmarkEnd w:id="17"/>
      <w:r w:rsidRPr="0028145F">
        <w:rPr>
          <w:sz w:val="22"/>
        </w:rPr>
        <w:t>Third Party Rights for a Public Sector Data Processing</w:t>
      </w:r>
    </w:p>
    <w:p w14:paraId="096AAE3B" w14:textId="542E35C9" w:rsidR="007467DB" w:rsidRPr="0028145F" w:rsidRDefault="008E2D68" w:rsidP="00C577C8">
      <w:pPr>
        <w:pStyle w:val="H2"/>
        <w:rPr>
          <w:sz w:val="22"/>
        </w:rPr>
      </w:pPr>
      <w:bookmarkStart w:id="18" w:name="_Ref45565756"/>
      <w:r w:rsidRPr="0028145F">
        <w:rPr>
          <w:sz w:val="22"/>
        </w:rPr>
        <w:t xml:space="preserve">Further to Clause 19, where in Joint Schedule 11 (Processing Data) there is a third-party public sector Controller listed, </w:t>
      </w:r>
      <w:bookmarkStart w:id="19" w:name="_Hlk42189460"/>
      <w:r w:rsidRPr="0028145F">
        <w:rPr>
          <w:sz w:val="22"/>
        </w:rPr>
        <w:t xml:space="preserve">the named </w:t>
      </w:r>
      <w:proofErr w:type="gramStart"/>
      <w:r w:rsidRPr="0028145F">
        <w:rPr>
          <w:sz w:val="22"/>
        </w:rPr>
        <w:t>third party public sector</w:t>
      </w:r>
      <w:proofErr w:type="gramEnd"/>
      <w:r w:rsidRPr="0028145F">
        <w:rPr>
          <w:sz w:val="22"/>
        </w:rPr>
        <w:t xml:space="preserve"> Controller will have CRTPA rights in relation to Data Protection Legislation obligations</w:t>
      </w:r>
      <w:bookmarkEnd w:id="19"/>
      <w:r w:rsidRPr="0028145F">
        <w:rPr>
          <w:sz w:val="22"/>
        </w:rPr>
        <w:t>, where the Buyer has indicated this should be the case in the Order Form.</w:t>
      </w:r>
      <w:bookmarkEnd w:id="18"/>
    </w:p>
    <w:p w14:paraId="5CAABD50" w14:textId="4BAC34AC" w:rsidR="007467DB" w:rsidRPr="0028145F" w:rsidRDefault="008E2D68" w:rsidP="00055743">
      <w:pPr>
        <w:pStyle w:val="H2"/>
        <w:rPr>
          <w:sz w:val="22"/>
        </w:rPr>
      </w:pPr>
      <w:r w:rsidRPr="0028145F">
        <w:rPr>
          <w:sz w:val="22"/>
        </w:rPr>
        <w:t xml:space="preserve">Where the </w:t>
      </w:r>
      <w:proofErr w:type="gramStart"/>
      <w:r w:rsidRPr="0028145F">
        <w:rPr>
          <w:sz w:val="22"/>
        </w:rPr>
        <w:t>third party public sector</w:t>
      </w:r>
      <w:proofErr w:type="gramEnd"/>
      <w:r w:rsidRPr="0028145F">
        <w:rPr>
          <w:sz w:val="22"/>
        </w:rPr>
        <w:t xml:space="preserve"> Controller wishes to exercise its rights pursuant to paragraph </w:t>
      </w:r>
      <w:r w:rsidRPr="0028145F">
        <w:rPr>
          <w:sz w:val="22"/>
        </w:rPr>
        <w:fldChar w:fldCharType="begin"/>
      </w:r>
      <w:r w:rsidRPr="0028145F">
        <w:rPr>
          <w:sz w:val="22"/>
        </w:rPr>
        <w:instrText xml:space="preserve"> REF _Ref45565756 \w \h </w:instrText>
      </w:r>
      <w:r w:rsidR="002A200D" w:rsidRPr="0028145F">
        <w:rPr>
          <w:sz w:val="22"/>
        </w:rPr>
        <w:instrText xml:space="preserve"> \* MERGEFORMAT </w:instrText>
      </w:r>
      <w:r w:rsidRPr="0028145F">
        <w:rPr>
          <w:sz w:val="22"/>
        </w:rPr>
      </w:r>
      <w:r w:rsidRPr="0028145F">
        <w:rPr>
          <w:sz w:val="22"/>
        </w:rPr>
        <w:fldChar w:fldCharType="separate"/>
      </w:r>
      <w:r w:rsidR="003751FA" w:rsidRPr="0028145F">
        <w:rPr>
          <w:sz w:val="22"/>
        </w:rPr>
        <w:t>9.1</w:t>
      </w:r>
      <w:r w:rsidRPr="0028145F">
        <w:rPr>
          <w:sz w:val="22"/>
        </w:rPr>
        <w:fldChar w:fldCharType="end"/>
      </w:r>
      <w:r w:rsidRPr="0028145F">
        <w:rPr>
          <w:sz w:val="22"/>
        </w:rPr>
        <w:t>, the Buyer shall notify the Supplier that the rights are to be exercised.</w:t>
      </w:r>
    </w:p>
    <w:p w14:paraId="1D2D8287" w14:textId="66CBF078" w:rsidR="007467DB" w:rsidRPr="0028145F" w:rsidRDefault="008E2D68" w:rsidP="00B30EC0">
      <w:pPr>
        <w:pStyle w:val="H2"/>
        <w:keepNext/>
        <w:keepLines/>
        <w:rPr>
          <w:sz w:val="22"/>
        </w:rPr>
      </w:pPr>
      <w:r w:rsidRPr="0028145F">
        <w:rPr>
          <w:sz w:val="22"/>
        </w:rPr>
        <w:t xml:space="preserve">The enforcement rights granted by Clause </w:t>
      </w:r>
      <w:r w:rsidRPr="0061115B">
        <w:rPr>
          <w:sz w:val="22"/>
          <w:szCs w:val="22"/>
          <w:lang w:eastAsia="en-US"/>
        </w:rPr>
        <w:fldChar w:fldCharType="begin"/>
      </w:r>
      <w:r w:rsidRPr="0061115B">
        <w:rPr>
          <w:sz w:val="22"/>
          <w:szCs w:val="22"/>
          <w:lang w:eastAsia="en-US"/>
        </w:rPr>
        <w:instrText xml:space="preserve"> REF _Ref45565756 \w \h </w:instrText>
      </w:r>
      <w:r w:rsidR="0061115B" w:rsidRPr="0061115B">
        <w:rPr>
          <w:sz w:val="22"/>
          <w:szCs w:val="22"/>
          <w:lang w:eastAsia="en-US"/>
        </w:rPr>
        <w:instrText xml:space="preserve"> \* MERGEFORMAT </w:instrText>
      </w:r>
      <w:r w:rsidRPr="0061115B">
        <w:rPr>
          <w:sz w:val="22"/>
          <w:szCs w:val="22"/>
          <w:lang w:eastAsia="en-US"/>
        </w:rPr>
      </w:r>
      <w:r w:rsidRPr="0061115B">
        <w:rPr>
          <w:sz w:val="22"/>
          <w:szCs w:val="22"/>
          <w:lang w:eastAsia="en-US"/>
        </w:rPr>
        <w:fldChar w:fldCharType="separate"/>
      </w:r>
      <w:r w:rsidR="003751FA" w:rsidRPr="0061115B">
        <w:rPr>
          <w:sz w:val="22"/>
          <w:szCs w:val="22"/>
          <w:lang w:eastAsia="en-US"/>
        </w:rPr>
        <w:t>9.1</w:t>
      </w:r>
      <w:r w:rsidRPr="0061115B">
        <w:rPr>
          <w:sz w:val="22"/>
          <w:szCs w:val="22"/>
          <w:lang w:eastAsia="en-US"/>
        </w:rPr>
        <w:fldChar w:fldCharType="end"/>
      </w:r>
      <w:r w:rsidRPr="0028145F">
        <w:rPr>
          <w:sz w:val="22"/>
        </w:rPr>
        <w:t xml:space="preserve"> are subject to the following restrictions and qualifications:</w:t>
      </w:r>
    </w:p>
    <w:p w14:paraId="75F52E0F" w14:textId="77777777" w:rsidR="007467DB" w:rsidRPr="0028145F" w:rsidRDefault="008E2D68" w:rsidP="00C577C8">
      <w:pPr>
        <w:pStyle w:val="H3"/>
        <w:rPr>
          <w:sz w:val="22"/>
        </w:rPr>
      </w:pPr>
      <w:r w:rsidRPr="0028145F">
        <w:rPr>
          <w:sz w:val="22"/>
        </w:rPr>
        <w:t>the Parties may vary, terminate or rescind the Call-Off Contract without the consent of any third party; and</w:t>
      </w:r>
    </w:p>
    <w:p w14:paraId="59F4FE6B" w14:textId="77777777" w:rsidR="007467DB" w:rsidRPr="0028145F" w:rsidRDefault="008E2D68" w:rsidP="00C577C8">
      <w:pPr>
        <w:pStyle w:val="H3"/>
        <w:rPr>
          <w:sz w:val="22"/>
        </w:rPr>
      </w:pPr>
      <w:r w:rsidRPr="0028145F">
        <w:rPr>
          <w:sz w:val="22"/>
        </w:rPr>
        <w:t>the Buyer may, as agent or trustee, enforce any term of the Call-Off Contract on behalf of another such relevant third party to whom rights have been granted.</w:t>
      </w:r>
    </w:p>
    <w:p w14:paraId="11492DEE" w14:textId="0A0A2BA8" w:rsidR="007F7245" w:rsidRPr="0028145F" w:rsidRDefault="008E2D68" w:rsidP="009B5DA7">
      <w:pPr>
        <w:pStyle w:val="H1"/>
        <w:rPr>
          <w:sz w:val="22"/>
        </w:rPr>
      </w:pPr>
      <w:r w:rsidRPr="0028145F">
        <w:rPr>
          <w:sz w:val="22"/>
        </w:rPr>
        <w:t>Data Protection Indemnity</w:t>
      </w:r>
    </w:p>
    <w:p w14:paraId="43398101" w14:textId="640AEB3E" w:rsidR="00414722" w:rsidRPr="0028145F" w:rsidRDefault="008E2D68" w:rsidP="00414722">
      <w:pPr>
        <w:pStyle w:val="H2"/>
        <w:rPr>
          <w:sz w:val="22"/>
        </w:rPr>
      </w:pPr>
      <w:r w:rsidRPr="0028145F">
        <w:rPr>
          <w:sz w:val="22"/>
        </w:rPr>
        <w:t xml:space="preserve">The Supplier recognises that the Buyer (where controller) will have obligations to meet in </w:t>
      </w:r>
      <w:r w:rsidR="00F0474E" w:rsidRPr="0028145F">
        <w:rPr>
          <w:sz w:val="22"/>
        </w:rPr>
        <w:t>L</w:t>
      </w:r>
      <w:r w:rsidRPr="0028145F">
        <w:rPr>
          <w:sz w:val="22"/>
        </w:rPr>
        <w:t xml:space="preserve">aw in relation to </w:t>
      </w:r>
      <w:r w:rsidR="00F0474E" w:rsidRPr="0028145F">
        <w:rPr>
          <w:sz w:val="22"/>
        </w:rPr>
        <w:t xml:space="preserve">any breach and </w:t>
      </w:r>
      <w:r w:rsidR="00621567" w:rsidRPr="0028145F">
        <w:rPr>
          <w:sz w:val="22"/>
        </w:rPr>
        <w:t xml:space="preserve">communication to </w:t>
      </w:r>
      <w:r w:rsidR="00182A92" w:rsidRPr="0028145F">
        <w:rPr>
          <w:sz w:val="22"/>
        </w:rPr>
        <w:t xml:space="preserve">subjects and the ICO, as well as government obligations as to </w:t>
      </w:r>
      <w:r w:rsidR="00621567" w:rsidRPr="0028145F">
        <w:rPr>
          <w:sz w:val="22"/>
        </w:rPr>
        <w:t xml:space="preserve">conduct and </w:t>
      </w:r>
      <w:r w:rsidR="00182A92" w:rsidRPr="0028145F">
        <w:rPr>
          <w:sz w:val="22"/>
        </w:rPr>
        <w:t xml:space="preserve">transparency. </w:t>
      </w:r>
      <w:r w:rsidRPr="0028145F">
        <w:rPr>
          <w:sz w:val="22"/>
        </w:rPr>
        <w:t>Clause 26</w:t>
      </w:r>
      <w:r w:rsidR="00A86BFF" w:rsidRPr="0028145F">
        <w:rPr>
          <w:sz w:val="22"/>
        </w:rPr>
        <w:t xml:space="preserve">.2 to </w:t>
      </w:r>
      <w:r w:rsidR="00AC1650" w:rsidRPr="0028145F">
        <w:rPr>
          <w:sz w:val="22"/>
        </w:rPr>
        <w:t xml:space="preserve">26.5 </w:t>
      </w:r>
      <w:r w:rsidR="00AC1650" w:rsidRPr="0028145F">
        <w:rPr>
          <w:sz w:val="22"/>
        </w:rPr>
        <w:lastRenderedPageBreak/>
        <w:t xml:space="preserve">inclusive </w:t>
      </w:r>
      <w:r w:rsidRPr="0028145F">
        <w:rPr>
          <w:sz w:val="22"/>
        </w:rPr>
        <w:t xml:space="preserve">of the Core Terms shall not apply in relation to any </w:t>
      </w:r>
      <w:r w:rsidR="00182A92" w:rsidRPr="0028145F">
        <w:rPr>
          <w:sz w:val="22"/>
        </w:rPr>
        <w:t xml:space="preserve">confidentiality </w:t>
      </w:r>
      <w:r w:rsidR="00F0474E" w:rsidRPr="0028145F">
        <w:rPr>
          <w:sz w:val="22"/>
        </w:rPr>
        <w:t xml:space="preserve">or </w:t>
      </w:r>
      <w:r w:rsidRPr="0028145F">
        <w:rPr>
          <w:sz w:val="22"/>
        </w:rPr>
        <w:t>data p</w:t>
      </w:r>
      <w:r w:rsidR="00182A92" w:rsidRPr="0028145F">
        <w:rPr>
          <w:sz w:val="22"/>
        </w:rPr>
        <w:t xml:space="preserve">rotection </w:t>
      </w:r>
      <w:r w:rsidRPr="0028145F">
        <w:rPr>
          <w:sz w:val="22"/>
        </w:rPr>
        <w:t>indemnity</w:t>
      </w:r>
      <w:r w:rsidR="00F0474E" w:rsidRPr="0028145F">
        <w:rPr>
          <w:sz w:val="22"/>
        </w:rPr>
        <w:t xml:space="preserve"> provided by the Supplier including but not limited to </w:t>
      </w:r>
      <w:r w:rsidR="004605A6" w:rsidRPr="0028145F">
        <w:rPr>
          <w:sz w:val="22"/>
        </w:rPr>
        <w:t>C</w:t>
      </w:r>
      <w:r w:rsidR="00DC53AA" w:rsidRPr="0028145F">
        <w:rPr>
          <w:sz w:val="22"/>
        </w:rPr>
        <w:t>lause 14.8</w:t>
      </w:r>
      <w:r w:rsidR="00CB183B" w:rsidRPr="0028145F">
        <w:rPr>
          <w:sz w:val="22"/>
        </w:rPr>
        <w:t>(e) of the Core Terms</w:t>
      </w:r>
      <w:r w:rsidRPr="0028145F">
        <w:rPr>
          <w:sz w:val="22"/>
        </w:rPr>
        <w:t>.</w:t>
      </w:r>
    </w:p>
    <w:p w14:paraId="2E6E47E1" w14:textId="29205FA9" w:rsidR="009B5DA7" w:rsidRPr="0028145F" w:rsidRDefault="008E2D68" w:rsidP="009B5DA7">
      <w:pPr>
        <w:pStyle w:val="H1"/>
        <w:rPr>
          <w:sz w:val="22"/>
        </w:rPr>
      </w:pPr>
      <w:r w:rsidRPr="0028145F">
        <w:rPr>
          <w:sz w:val="22"/>
        </w:rPr>
        <w:t xml:space="preserve">Confidentiality </w:t>
      </w:r>
    </w:p>
    <w:p w14:paraId="6024AE60" w14:textId="50F614B0" w:rsidR="009B5DA7" w:rsidRPr="0028145F" w:rsidRDefault="008E2D68" w:rsidP="009B5DA7">
      <w:pPr>
        <w:pStyle w:val="H2"/>
        <w:rPr>
          <w:sz w:val="22"/>
        </w:rPr>
      </w:pPr>
      <w:r w:rsidRPr="0028145F">
        <w:rPr>
          <w:sz w:val="22"/>
        </w:rPr>
        <w:t xml:space="preserve">It is recognised that </w:t>
      </w:r>
      <w:r w:rsidR="00A25DB7" w:rsidRPr="0028145F">
        <w:rPr>
          <w:sz w:val="22"/>
        </w:rPr>
        <w:t xml:space="preserve">the Health public sector is subject to </w:t>
      </w:r>
      <w:r w:rsidR="00A25DB7" w:rsidRPr="0061115B">
        <w:rPr>
          <w:sz w:val="22"/>
          <w:szCs w:val="22"/>
        </w:rPr>
        <w:t>N</w:t>
      </w:r>
      <w:r w:rsidR="0061115B">
        <w:rPr>
          <w:sz w:val="22"/>
          <w:szCs w:val="22"/>
        </w:rPr>
        <w:t xml:space="preserve">ational </w:t>
      </w:r>
      <w:r w:rsidR="00A25DB7" w:rsidRPr="0061115B">
        <w:rPr>
          <w:sz w:val="22"/>
          <w:szCs w:val="22"/>
        </w:rPr>
        <w:t>H</w:t>
      </w:r>
      <w:r w:rsidR="0061115B">
        <w:rPr>
          <w:sz w:val="22"/>
          <w:szCs w:val="22"/>
        </w:rPr>
        <w:t xml:space="preserve">ealth </w:t>
      </w:r>
      <w:r w:rsidR="00A25DB7" w:rsidRPr="0061115B">
        <w:rPr>
          <w:sz w:val="22"/>
          <w:szCs w:val="22"/>
        </w:rPr>
        <w:t>S</w:t>
      </w:r>
      <w:r w:rsidR="0061115B">
        <w:rPr>
          <w:sz w:val="22"/>
          <w:szCs w:val="22"/>
        </w:rPr>
        <w:t>ervice</w:t>
      </w:r>
      <w:r w:rsidR="00A25DB7" w:rsidRPr="0028145F">
        <w:rPr>
          <w:sz w:val="22"/>
        </w:rPr>
        <w:t xml:space="preserve"> Act 2006 section 9, and in accordance with that statute does not </w:t>
      </w:r>
      <w:r w:rsidR="007E5641" w:rsidRPr="0028145F">
        <w:rPr>
          <w:sz w:val="22"/>
        </w:rPr>
        <w:t>put in place binding legal contracts.</w:t>
      </w:r>
    </w:p>
    <w:p w14:paraId="14526E8D" w14:textId="6F148C29" w:rsidR="007E5641" w:rsidRPr="0028145F" w:rsidRDefault="008E2D68" w:rsidP="009B5DA7">
      <w:pPr>
        <w:pStyle w:val="H2"/>
        <w:rPr>
          <w:sz w:val="22"/>
        </w:rPr>
      </w:pPr>
      <w:r w:rsidRPr="0028145F">
        <w:rPr>
          <w:sz w:val="22"/>
        </w:rPr>
        <w:t xml:space="preserve">In relation to </w:t>
      </w:r>
      <w:r w:rsidR="00C2512B" w:rsidRPr="0028145F">
        <w:rPr>
          <w:sz w:val="22"/>
        </w:rPr>
        <w:t>C</w:t>
      </w:r>
      <w:r w:rsidRPr="0028145F">
        <w:rPr>
          <w:sz w:val="22"/>
        </w:rPr>
        <w:t xml:space="preserve">lause </w:t>
      </w:r>
      <w:r w:rsidR="00382DC1" w:rsidRPr="0028145F">
        <w:rPr>
          <w:sz w:val="22"/>
        </w:rPr>
        <w:t>15.5 of the Core Terms, the Buyer shall only be required to notify any public sector recipient that any confidential information is classed as confidential</w:t>
      </w:r>
      <w:r w:rsidR="00B5636F" w:rsidRPr="0028145F">
        <w:rPr>
          <w:sz w:val="22"/>
        </w:rPr>
        <w:t>.</w:t>
      </w:r>
      <w:r w:rsidRPr="0028145F">
        <w:rPr>
          <w:sz w:val="22"/>
        </w:rPr>
        <w:t xml:space="preserve">  </w:t>
      </w:r>
    </w:p>
    <w:p w14:paraId="2C419ABE" w14:textId="242B5BD2" w:rsidR="00765A94" w:rsidRPr="0028145F" w:rsidRDefault="008E2D68" w:rsidP="00C577C8">
      <w:pPr>
        <w:pStyle w:val="H1"/>
        <w:rPr>
          <w:sz w:val="22"/>
        </w:rPr>
      </w:pPr>
      <w:r w:rsidRPr="0028145F">
        <w:rPr>
          <w:sz w:val="22"/>
        </w:rPr>
        <w:t xml:space="preserve">Premises </w:t>
      </w:r>
    </w:p>
    <w:p w14:paraId="163E34C6" w14:textId="733A9EF9" w:rsidR="00EF36CF" w:rsidRPr="0028145F" w:rsidRDefault="008E2D68" w:rsidP="00C577C8">
      <w:pPr>
        <w:pStyle w:val="H2"/>
        <w:rPr>
          <w:sz w:val="22"/>
        </w:rPr>
      </w:pPr>
      <w:r w:rsidRPr="0028145F">
        <w:rPr>
          <w:sz w:val="22"/>
        </w:rPr>
        <w:t>Where either Party uses the other Party’s premises, such Party is liable for all Loss</w:t>
      </w:r>
      <w:r w:rsidR="00C63E0F" w:rsidRPr="0028145F">
        <w:rPr>
          <w:sz w:val="22"/>
        </w:rPr>
        <w:t>es</w:t>
      </w:r>
      <w:r w:rsidRPr="0028145F">
        <w:rPr>
          <w:sz w:val="22"/>
        </w:rPr>
        <w:t xml:space="preserve"> </w:t>
      </w:r>
      <w:r w:rsidR="00C63E0F" w:rsidRPr="0028145F">
        <w:rPr>
          <w:sz w:val="22"/>
        </w:rPr>
        <w:t>arising from any</w:t>
      </w:r>
      <w:r w:rsidRPr="0028145F">
        <w:rPr>
          <w:sz w:val="22"/>
        </w:rPr>
        <w:t xml:space="preserve"> damage it causes to the premises. Such Party is responsible for repairing any damage to the premises or any objects on the premises, other than fair wear and tear.</w:t>
      </w:r>
    </w:p>
    <w:p w14:paraId="163E34C7" w14:textId="6404EF97" w:rsidR="00EF36CF" w:rsidRPr="0028145F" w:rsidRDefault="008E2D68" w:rsidP="00C577C8">
      <w:pPr>
        <w:pStyle w:val="H2"/>
        <w:rPr>
          <w:sz w:val="22"/>
        </w:rPr>
      </w:pPr>
      <w:r w:rsidRPr="0028145F">
        <w:rPr>
          <w:sz w:val="22"/>
        </w:rPr>
        <w:t xml:space="preserve">The Supplier will use the Buyer </w:t>
      </w:r>
      <w:r w:rsidR="00C63E0F" w:rsidRPr="0028145F">
        <w:rPr>
          <w:sz w:val="22"/>
        </w:rPr>
        <w:t>P</w:t>
      </w:r>
      <w:r w:rsidRPr="0028145F">
        <w:rPr>
          <w:sz w:val="22"/>
        </w:rPr>
        <w:t xml:space="preserve">remises solely for the Call-Off Contract. </w:t>
      </w:r>
    </w:p>
    <w:p w14:paraId="163E34C9" w14:textId="065CACA6" w:rsidR="00EF36CF" w:rsidRPr="0028145F" w:rsidRDefault="008E2D68" w:rsidP="00C577C8">
      <w:pPr>
        <w:pStyle w:val="H2"/>
        <w:rPr>
          <w:sz w:val="22"/>
        </w:rPr>
      </w:pPr>
      <w:r w:rsidRPr="0028145F">
        <w:rPr>
          <w:sz w:val="22"/>
        </w:rPr>
        <w:t>This clause does not create a tenancy or exclusive right of occupation.</w:t>
      </w:r>
    </w:p>
    <w:p w14:paraId="163E34CA" w14:textId="59F76560" w:rsidR="00EF36CF" w:rsidRPr="0028145F" w:rsidRDefault="008E2D68" w:rsidP="00B30EC0">
      <w:pPr>
        <w:pStyle w:val="H2"/>
        <w:keepNext/>
        <w:spacing w:after="120"/>
        <w:rPr>
          <w:sz w:val="22"/>
        </w:rPr>
      </w:pPr>
      <w:r w:rsidRPr="0028145F">
        <w:rPr>
          <w:sz w:val="22"/>
        </w:rPr>
        <w:t xml:space="preserve">While on the Buyer </w:t>
      </w:r>
      <w:r w:rsidR="00C63E0F" w:rsidRPr="0028145F">
        <w:rPr>
          <w:sz w:val="22"/>
        </w:rPr>
        <w:t>P</w:t>
      </w:r>
      <w:r w:rsidRPr="0028145F">
        <w:rPr>
          <w:sz w:val="22"/>
        </w:rPr>
        <w:t>remises, the Supplier will:</w:t>
      </w:r>
    </w:p>
    <w:p w14:paraId="70E2A572" w14:textId="0B5899C4" w:rsidR="008A40A3" w:rsidRPr="0028145F" w:rsidRDefault="008E2D68" w:rsidP="00B30EC0">
      <w:pPr>
        <w:pStyle w:val="H3"/>
        <w:keepNext/>
        <w:spacing w:after="120"/>
        <w:rPr>
          <w:sz w:val="22"/>
          <w:highlight w:val="white"/>
        </w:rPr>
      </w:pPr>
      <w:r w:rsidRPr="0028145F">
        <w:rPr>
          <w:sz w:val="22"/>
        </w:rPr>
        <w:t xml:space="preserve">ensure the security of the premises; </w:t>
      </w:r>
    </w:p>
    <w:p w14:paraId="2DEAD23B" w14:textId="7CBE1E37" w:rsidR="008A40A3" w:rsidRPr="0028145F" w:rsidRDefault="008E2D68" w:rsidP="00B30EC0">
      <w:pPr>
        <w:pStyle w:val="H3"/>
        <w:spacing w:after="120"/>
        <w:rPr>
          <w:sz w:val="22"/>
          <w:highlight w:val="white"/>
        </w:rPr>
      </w:pPr>
      <w:r w:rsidRPr="0028145F">
        <w:rPr>
          <w:sz w:val="22"/>
        </w:rPr>
        <w:t>comply with Buyer requirements for the conduct of personnel;</w:t>
      </w:r>
    </w:p>
    <w:p w14:paraId="7AEF446C" w14:textId="34D69A1B" w:rsidR="008A40A3" w:rsidRPr="0028145F" w:rsidRDefault="008E2D68" w:rsidP="00B30EC0">
      <w:pPr>
        <w:pStyle w:val="H3"/>
        <w:spacing w:after="120"/>
        <w:rPr>
          <w:sz w:val="22"/>
          <w:highlight w:val="white"/>
        </w:rPr>
      </w:pPr>
      <w:r w:rsidRPr="0028145F">
        <w:rPr>
          <w:sz w:val="22"/>
        </w:rPr>
        <w:t>comply with any health and safety measures implemented by the Buyer;</w:t>
      </w:r>
    </w:p>
    <w:p w14:paraId="464EDCEB" w14:textId="065161A0" w:rsidR="008A40A3" w:rsidRPr="0028145F" w:rsidRDefault="008E2D68" w:rsidP="00B30EC0">
      <w:pPr>
        <w:pStyle w:val="H3"/>
        <w:spacing w:after="120"/>
        <w:rPr>
          <w:sz w:val="22"/>
        </w:rPr>
      </w:pPr>
      <w:r w:rsidRPr="0028145F">
        <w:rPr>
          <w:sz w:val="22"/>
        </w:rPr>
        <w:t xml:space="preserve">comply with any instructions from the Buyer on any necessary associated safety </w:t>
      </w:r>
      <w:proofErr w:type="gramStart"/>
      <w:r w:rsidRPr="0028145F">
        <w:rPr>
          <w:sz w:val="22"/>
        </w:rPr>
        <w:t>measures ;</w:t>
      </w:r>
      <w:proofErr w:type="gramEnd"/>
      <w:r w:rsidRPr="0028145F">
        <w:rPr>
          <w:sz w:val="22"/>
        </w:rPr>
        <w:t xml:space="preserve"> and</w:t>
      </w:r>
    </w:p>
    <w:p w14:paraId="163E34D0" w14:textId="46C84B53" w:rsidR="00EF36CF" w:rsidRPr="0028145F" w:rsidRDefault="008E2D68" w:rsidP="00B30EC0">
      <w:pPr>
        <w:pStyle w:val="H3"/>
        <w:spacing w:after="120"/>
        <w:rPr>
          <w:sz w:val="22"/>
          <w:highlight w:val="white"/>
        </w:rPr>
      </w:pPr>
      <w:r w:rsidRPr="0028145F">
        <w:rPr>
          <w:sz w:val="22"/>
        </w:rPr>
        <w:t xml:space="preserve">notify the Buyer immediately in the event of any incident occurring on the premises where that incident causes any personal injury or damage to </w:t>
      </w:r>
      <w:r w:rsidR="00C63E0F" w:rsidRPr="0028145F">
        <w:rPr>
          <w:sz w:val="22"/>
        </w:rPr>
        <w:t>p</w:t>
      </w:r>
      <w:r w:rsidRPr="0028145F">
        <w:rPr>
          <w:sz w:val="22"/>
        </w:rPr>
        <w:t>roperty which could give rise to personal injury.</w:t>
      </w:r>
    </w:p>
    <w:p w14:paraId="163E34D1" w14:textId="3430CA4F" w:rsidR="00EF36CF" w:rsidRPr="0028145F" w:rsidRDefault="008E2D68" w:rsidP="00C577C8">
      <w:pPr>
        <w:pStyle w:val="H2"/>
        <w:rPr>
          <w:sz w:val="22"/>
        </w:rPr>
      </w:pPr>
      <w:r w:rsidRPr="0028145F">
        <w:rPr>
          <w:sz w:val="22"/>
        </w:rPr>
        <w:t xml:space="preserve">The Supplier will ensure that its health and safety policy statement (as required by the Health and Safety at Work etc Act 1974) is made available to the Buyer on request. </w:t>
      </w:r>
    </w:p>
    <w:p w14:paraId="163E34D2" w14:textId="5B945C7F" w:rsidR="00EF36CF" w:rsidRPr="0028145F" w:rsidRDefault="008E2D68" w:rsidP="00C577C8">
      <w:pPr>
        <w:pStyle w:val="H2"/>
        <w:rPr>
          <w:sz w:val="22"/>
        </w:rPr>
      </w:pPr>
      <w:r w:rsidRPr="0028145F">
        <w:rPr>
          <w:sz w:val="22"/>
        </w:rPr>
        <w:t xml:space="preserve">All </w:t>
      </w:r>
      <w:r w:rsidR="00C63E0F" w:rsidRPr="0028145F">
        <w:rPr>
          <w:sz w:val="22"/>
        </w:rPr>
        <w:t>Supplier E</w:t>
      </w:r>
      <w:r w:rsidRPr="0028145F">
        <w:rPr>
          <w:sz w:val="22"/>
        </w:rPr>
        <w:t xml:space="preserve">quipment brought onto the Buyer </w:t>
      </w:r>
      <w:r w:rsidR="00C63E0F" w:rsidRPr="0028145F">
        <w:rPr>
          <w:sz w:val="22"/>
        </w:rPr>
        <w:t>P</w:t>
      </w:r>
      <w:r w:rsidRPr="0028145F">
        <w:rPr>
          <w:sz w:val="22"/>
        </w:rPr>
        <w:t xml:space="preserve">remises will be at the Supplier's risk. Upon termination or expiry of the Call-Off Contract, the Supplier will remove such </w:t>
      </w:r>
      <w:r w:rsidR="0032305A" w:rsidRPr="0028145F">
        <w:rPr>
          <w:sz w:val="22"/>
        </w:rPr>
        <w:t xml:space="preserve">Supplier </w:t>
      </w:r>
      <w:r w:rsidRPr="0028145F">
        <w:rPr>
          <w:sz w:val="22"/>
        </w:rPr>
        <w:t xml:space="preserve">Equipment. </w:t>
      </w:r>
    </w:p>
    <w:p w14:paraId="24A2F6F3" w14:textId="6A40952D" w:rsidR="00D82ED2" w:rsidRPr="0028145F" w:rsidRDefault="008E2D68" w:rsidP="00EF641D">
      <w:pPr>
        <w:pStyle w:val="H1"/>
        <w:keepNext/>
        <w:rPr>
          <w:sz w:val="22"/>
        </w:rPr>
      </w:pPr>
      <w:r w:rsidRPr="0028145F">
        <w:rPr>
          <w:sz w:val="22"/>
        </w:rPr>
        <w:lastRenderedPageBreak/>
        <w:t>Audit</w:t>
      </w:r>
    </w:p>
    <w:p w14:paraId="4AA7C5D9" w14:textId="15B2F9E6" w:rsidR="00D82ED2" w:rsidRPr="0028145F" w:rsidRDefault="008E2D68" w:rsidP="00D82ED2">
      <w:pPr>
        <w:pStyle w:val="H2"/>
        <w:rPr>
          <w:sz w:val="22"/>
        </w:rPr>
      </w:pPr>
      <w:r w:rsidRPr="0028145F">
        <w:rPr>
          <w:sz w:val="22"/>
        </w:rPr>
        <w:t>The Buyer may Audit the Supplier at any time by giving notice in writing, such notice to set out details of the scope of such Audit and th</w:t>
      </w:r>
      <w:r w:rsidR="00EF641D" w:rsidRPr="0028145F">
        <w:rPr>
          <w:sz w:val="22"/>
        </w:rPr>
        <w:t>e details of the relevant Auditor.</w:t>
      </w:r>
    </w:p>
    <w:p w14:paraId="163E34E3" w14:textId="71EA7534" w:rsidR="00EF36CF" w:rsidRPr="0028145F" w:rsidRDefault="008E2D68" w:rsidP="00DA6570">
      <w:pPr>
        <w:pStyle w:val="H2"/>
        <w:rPr>
          <w:sz w:val="22"/>
        </w:rPr>
      </w:pPr>
      <w:r w:rsidRPr="0028145F">
        <w:rPr>
          <w:sz w:val="22"/>
        </w:rPr>
        <w:t xml:space="preserve">Further to Clause </w:t>
      </w:r>
      <w:r w:rsidR="004B6C77" w:rsidRPr="0028145F">
        <w:rPr>
          <w:sz w:val="22"/>
        </w:rPr>
        <w:t xml:space="preserve">6.6, the Supplier </w:t>
      </w:r>
      <w:r w:rsidR="003B0B39" w:rsidRPr="0028145F">
        <w:rPr>
          <w:sz w:val="22"/>
        </w:rPr>
        <w:t>must</w:t>
      </w:r>
      <w:r w:rsidR="0019292E" w:rsidRPr="0028145F">
        <w:rPr>
          <w:sz w:val="22"/>
        </w:rPr>
        <w:t xml:space="preserve"> </w:t>
      </w:r>
      <w:r w:rsidR="00292BA4" w:rsidRPr="0028145F">
        <w:rPr>
          <w:sz w:val="22"/>
        </w:rPr>
        <w:t>provide</w:t>
      </w:r>
      <w:r w:rsidR="0019292E" w:rsidRPr="0028145F">
        <w:rPr>
          <w:sz w:val="22"/>
        </w:rPr>
        <w:t xml:space="preserve"> a copy </w:t>
      </w:r>
      <w:r w:rsidR="00CA7CFA" w:rsidRPr="0028145F">
        <w:rPr>
          <w:sz w:val="22"/>
        </w:rPr>
        <w:t xml:space="preserve">of its </w:t>
      </w:r>
      <w:proofErr w:type="spellStart"/>
      <w:r w:rsidR="00CA7CFA" w:rsidRPr="0028145F">
        <w:rPr>
          <w:sz w:val="22"/>
        </w:rPr>
        <w:t>Self Audit</w:t>
      </w:r>
      <w:proofErr w:type="spellEnd"/>
      <w:r w:rsidR="00CA7CFA" w:rsidRPr="0028145F">
        <w:rPr>
          <w:sz w:val="22"/>
        </w:rPr>
        <w:t xml:space="preserve"> Certificate</w:t>
      </w:r>
      <w:r w:rsidR="00C37BA7" w:rsidRPr="0028145F">
        <w:rPr>
          <w:sz w:val="22"/>
        </w:rPr>
        <w:t xml:space="preserve"> supported by an audit report</w:t>
      </w:r>
      <w:r w:rsidR="00CA7CFA" w:rsidRPr="0028145F">
        <w:rPr>
          <w:sz w:val="22"/>
        </w:rPr>
        <w:t xml:space="preserve"> </w:t>
      </w:r>
      <w:r w:rsidR="005C28EA" w:rsidRPr="0028145F">
        <w:rPr>
          <w:sz w:val="22"/>
        </w:rPr>
        <w:t>to</w:t>
      </w:r>
      <w:r w:rsidR="0019292E" w:rsidRPr="0028145F">
        <w:rPr>
          <w:sz w:val="22"/>
        </w:rPr>
        <w:t xml:space="preserve"> the Buyer</w:t>
      </w:r>
      <w:r w:rsidR="00EE205C" w:rsidRPr="0028145F">
        <w:rPr>
          <w:sz w:val="22"/>
        </w:rPr>
        <w:t xml:space="preserve"> at</w:t>
      </w:r>
      <w:r w:rsidR="004679CC" w:rsidRPr="0028145F">
        <w:rPr>
          <w:sz w:val="22"/>
        </w:rPr>
        <w:t xml:space="preserve"> the end of each Contract Year</w:t>
      </w:r>
      <w:r w:rsidR="0019292E" w:rsidRPr="0028145F">
        <w:rPr>
          <w:sz w:val="22"/>
        </w:rPr>
        <w:t>.</w:t>
      </w:r>
    </w:p>
    <w:p w14:paraId="163E34E4" w14:textId="7C6BA2D5" w:rsidR="00EF36CF" w:rsidRPr="0028145F" w:rsidRDefault="008E2D68" w:rsidP="00C577C8">
      <w:pPr>
        <w:pStyle w:val="H1"/>
        <w:rPr>
          <w:sz w:val="22"/>
        </w:rPr>
      </w:pPr>
      <w:bookmarkStart w:id="20" w:name="_Ref45565685"/>
      <w:r w:rsidRPr="0028145F">
        <w:rPr>
          <w:sz w:val="22"/>
        </w:rPr>
        <w:t>Non-Solicitation of Employees or Contractors</w:t>
      </w:r>
      <w:bookmarkEnd w:id="20"/>
    </w:p>
    <w:p w14:paraId="6D78C8B8" w14:textId="6645CB51" w:rsidR="00B44DF6" w:rsidRPr="0028145F" w:rsidRDefault="008E2D68" w:rsidP="00C577C8">
      <w:pPr>
        <w:pStyle w:val="H2"/>
        <w:rPr>
          <w:sz w:val="22"/>
        </w:rPr>
      </w:pPr>
      <w:r w:rsidRPr="0028145F">
        <w:rPr>
          <w:sz w:val="22"/>
        </w:rPr>
        <w:t xml:space="preserve">The </w:t>
      </w:r>
      <w:r w:rsidR="00031908" w:rsidRPr="0028145F">
        <w:rPr>
          <w:sz w:val="22"/>
        </w:rPr>
        <w:t xml:space="preserve">Supplier recognises that the Buyer </w:t>
      </w:r>
      <w:r w:rsidRPr="0028145F">
        <w:rPr>
          <w:sz w:val="22"/>
        </w:rPr>
        <w:t>invest</w:t>
      </w:r>
      <w:r w:rsidR="00031908" w:rsidRPr="0028145F">
        <w:rPr>
          <w:sz w:val="22"/>
        </w:rPr>
        <w:t>s</w:t>
      </w:r>
      <w:r w:rsidRPr="0028145F">
        <w:rPr>
          <w:sz w:val="22"/>
        </w:rPr>
        <w:t xml:space="preserve"> a considerable amount of time, cost and effort in the recruitment and training of staff in the niche area of ICT health services in the public sector. Furthermore, the necessary recruitment governance activity and security checks result in a long lead time in onboarding new staff. Consequently, the </w:t>
      </w:r>
      <w:r w:rsidR="0020546F" w:rsidRPr="0028145F">
        <w:rPr>
          <w:sz w:val="22"/>
        </w:rPr>
        <w:t>Buyer has a</w:t>
      </w:r>
      <w:r w:rsidRPr="0028145F">
        <w:rPr>
          <w:sz w:val="22"/>
        </w:rPr>
        <w:t xml:space="preserve"> legitimate business interest to prevent the unauthorised solicitation or employment or engagement of Restricted Staff.</w:t>
      </w:r>
    </w:p>
    <w:p w14:paraId="163E34E7" w14:textId="0BF36F41" w:rsidR="00EF36CF" w:rsidRPr="0028145F" w:rsidRDefault="008E2D68" w:rsidP="00DA7AB1">
      <w:pPr>
        <w:pStyle w:val="H2"/>
        <w:rPr>
          <w:sz w:val="22"/>
        </w:rPr>
      </w:pPr>
      <w:r w:rsidRPr="0028145F">
        <w:rPr>
          <w:sz w:val="22"/>
        </w:rPr>
        <w:t xml:space="preserve">In order to protect the legitimate business interests of </w:t>
      </w:r>
      <w:r w:rsidR="0028494D" w:rsidRPr="0028145F">
        <w:rPr>
          <w:sz w:val="22"/>
        </w:rPr>
        <w:t>the Buyer</w:t>
      </w:r>
      <w:r w:rsidRPr="0028145F">
        <w:rPr>
          <w:sz w:val="22"/>
        </w:rPr>
        <w:t xml:space="preserve"> (and in particular the Confidential Information, goodwill and the stable trained workforce of each Party), </w:t>
      </w:r>
      <w:r w:rsidR="0028494D" w:rsidRPr="0028145F">
        <w:rPr>
          <w:sz w:val="22"/>
        </w:rPr>
        <w:t>the Supplier</w:t>
      </w:r>
      <w:r w:rsidRPr="0028145F">
        <w:rPr>
          <w:sz w:val="22"/>
        </w:rPr>
        <w:t xml:space="preserve"> agrees that it shall not </w:t>
      </w:r>
      <w:r w:rsidR="00EC6913" w:rsidRPr="0028145F">
        <w:rPr>
          <w:sz w:val="22"/>
        </w:rPr>
        <w:t>for the duration of the Call</w:t>
      </w:r>
      <w:r w:rsidR="00BE3677" w:rsidRPr="0028145F">
        <w:rPr>
          <w:sz w:val="22"/>
        </w:rPr>
        <w:t>-O</w:t>
      </w:r>
      <w:r w:rsidR="00EC6913" w:rsidRPr="0028145F">
        <w:rPr>
          <w:sz w:val="22"/>
        </w:rPr>
        <w:t xml:space="preserve">ff Contract and for a period of 3 months after termination or expiry of this Call-Off Contract </w:t>
      </w:r>
      <w:r w:rsidRPr="0028145F">
        <w:rPr>
          <w:sz w:val="22"/>
        </w:rPr>
        <w:t xml:space="preserve">solicit or entice away from the employment or service or engagement of </w:t>
      </w:r>
      <w:r w:rsidR="00A41F8B" w:rsidRPr="0028145F">
        <w:rPr>
          <w:sz w:val="22"/>
        </w:rPr>
        <w:t>the Buyer any</w:t>
      </w:r>
      <w:r w:rsidRPr="0028145F">
        <w:rPr>
          <w:sz w:val="22"/>
        </w:rPr>
        <w:t xml:space="preserve"> Restricted Staff, other than by means of a national advertising campaign open to all-comers and not specifically targeted at the Restricted Staff. </w:t>
      </w:r>
      <w:r w:rsidR="0062218F" w:rsidRPr="0028145F">
        <w:rPr>
          <w:sz w:val="22"/>
        </w:rPr>
        <w:t>The Supplier</w:t>
      </w:r>
      <w:r w:rsidRPr="0028145F">
        <w:rPr>
          <w:sz w:val="22"/>
        </w:rPr>
        <w:t xml:space="preserve"> shall </w:t>
      </w:r>
      <w:r w:rsidR="0062218F" w:rsidRPr="0028145F">
        <w:rPr>
          <w:sz w:val="22"/>
        </w:rPr>
        <w:t xml:space="preserve">not </w:t>
      </w:r>
      <w:r w:rsidRPr="0028145F">
        <w:rPr>
          <w:sz w:val="22"/>
        </w:rPr>
        <w:t xml:space="preserve">be deemed to be in breach of this </w:t>
      </w:r>
      <w:r w:rsidR="0004132A" w:rsidRPr="0028145F">
        <w:rPr>
          <w:sz w:val="22"/>
        </w:rPr>
        <w:t>paragraph</w:t>
      </w:r>
      <w:r w:rsidRPr="0028145F">
        <w:rPr>
          <w:sz w:val="22"/>
        </w:rPr>
        <w:t xml:space="preserve"> </w:t>
      </w:r>
      <w:r w:rsidR="00AF5794" w:rsidRPr="0028145F">
        <w:rPr>
          <w:sz w:val="22"/>
        </w:rPr>
        <w:fldChar w:fldCharType="begin"/>
      </w:r>
      <w:r w:rsidR="00AF5794" w:rsidRPr="0028145F">
        <w:rPr>
          <w:sz w:val="22"/>
        </w:rPr>
        <w:instrText xml:space="preserve"> REF _Ref45565685 \w \h</w:instrText>
      </w:r>
      <w:r w:rsidR="00AF5794" w:rsidRPr="0061115B">
        <w:rPr>
          <w:sz w:val="22"/>
          <w:szCs w:val="22"/>
        </w:rPr>
        <w:instrText xml:space="preserve"> </w:instrText>
      </w:r>
      <w:r w:rsidR="0061115B" w:rsidRPr="0061115B">
        <w:rPr>
          <w:sz w:val="22"/>
          <w:szCs w:val="22"/>
        </w:rPr>
        <w:instrText xml:space="preserve"> \* MERGEFORMAT</w:instrText>
      </w:r>
      <w:r w:rsidR="0061115B" w:rsidRPr="0028145F">
        <w:rPr>
          <w:sz w:val="22"/>
        </w:rPr>
        <w:instrText xml:space="preserve"> </w:instrText>
      </w:r>
      <w:r w:rsidR="00AF5794" w:rsidRPr="0028145F">
        <w:rPr>
          <w:sz w:val="22"/>
        </w:rPr>
      </w:r>
      <w:r w:rsidR="00AF5794" w:rsidRPr="0028145F">
        <w:rPr>
          <w:sz w:val="22"/>
        </w:rPr>
        <w:fldChar w:fldCharType="separate"/>
      </w:r>
      <w:r w:rsidR="0079791A" w:rsidRPr="0028145F">
        <w:rPr>
          <w:sz w:val="22"/>
        </w:rPr>
        <w:t>14</w:t>
      </w:r>
      <w:r w:rsidR="00AF5794" w:rsidRPr="0028145F">
        <w:rPr>
          <w:sz w:val="22"/>
        </w:rPr>
        <w:fldChar w:fldCharType="end"/>
      </w:r>
      <w:r w:rsidRPr="0028145F">
        <w:rPr>
          <w:sz w:val="22"/>
        </w:rPr>
        <w:t xml:space="preserve"> where Restricted Staff are engaged in response to applying to a general advertising campaign.</w:t>
      </w:r>
    </w:p>
    <w:p w14:paraId="734F4E35" w14:textId="77777777" w:rsidR="00811281" w:rsidRPr="0028145F" w:rsidRDefault="008E2D68" w:rsidP="00B30EC0">
      <w:pPr>
        <w:pStyle w:val="H1"/>
        <w:keepNext/>
        <w:rPr>
          <w:sz w:val="22"/>
          <w:highlight w:val="white"/>
        </w:rPr>
      </w:pPr>
      <w:r w:rsidRPr="0028145F">
        <w:rPr>
          <w:sz w:val="22"/>
          <w:highlight w:val="white"/>
        </w:rPr>
        <w:t>Further consequences of Call-Off Contract Expiry or Termination</w:t>
      </w:r>
    </w:p>
    <w:p w14:paraId="44784F2D" w14:textId="77777777" w:rsidR="00811281" w:rsidRPr="0028145F" w:rsidRDefault="008E2D68" w:rsidP="00B30EC0">
      <w:pPr>
        <w:pStyle w:val="H2"/>
        <w:keepNext/>
        <w:rPr>
          <w:sz w:val="22"/>
        </w:rPr>
      </w:pPr>
      <w:r w:rsidRPr="0028145F">
        <w:rPr>
          <w:sz w:val="22"/>
          <w:highlight w:val="white"/>
        </w:rPr>
        <w:t xml:space="preserve">In addition to the provisions </w:t>
      </w:r>
      <w:r w:rsidRPr="0028145F">
        <w:rPr>
          <w:sz w:val="22"/>
        </w:rPr>
        <w:t xml:space="preserve">of Clause 10.5, at </w:t>
      </w:r>
      <w:r w:rsidRPr="0028145F">
        <w:rPr>
          <w:sz w:val="22"/>
          <w:highlight w:val="white"/>
        </w:rPr>
        <w:t>the end of the Call-Off Contract (howsoever arising), the Supplier must:</w:t>
      </w:r>
    </w:p>
    <w:p w14:paraId="56823801" w14:textId="77777777" w:rsidR="00811281" w:rsidRPr="0028145F" w:rsidRDefault="008E2D68" w:rsidP="00C577C8">
      <w:pPr>
        <w:pStyle w:val="H3"/>
        <w:rPr>
          <w:sz w:val="22"/>
          <w:highlight w:val="white"/>
        </w:rPr>
      </w:pPr>
      <w:r w:rsidRPr="0028145F">
        <w:rPr>
          <w:sz w:val="22"/>
          <w:highlight w:val="white"/>
        </w:rPr>
        <w:t>immediately return to the Buyer:</w:t>
      </w:r>
    </w:p>
    <w:p w14:paraId="5CAB6337" w14:textId="77777777" w:rsidR="00811281" w:rsidRPr="0028145F" w:rsidRDefault="008E2D68" w:rsidP="00811281">
      <w:pPr>
        <w:pStyle w:val="ListParagraph"/>
        <w:numPr>
          <w:ilvl w:val="3"/>
          <w:numId w:val="7"/>
        </w:numPr>
        <w:spacing w:after="0" w:line="240" w:lineRule="auto"/>
        <w:jc w:val="both"/>
        <w:rPr>
          <w:rFonts w:ascii="Arial" w:hAnsi="Arial"/>
          <w:color w:val="000000"/>
          <w:highlight w:val="white"/>
        </w:rPr>
      </w:pPr>
      <w:r w:rsidRPr="0028145F">
        <w:rPr>
          <w:rFonts w:ascii="Arial" w:hAnsi="Arial"/>
          <w:color w:val="000000"/>
          <w:highlight w:val="white"/>
        </w:rPr>
        <w:t xml:space="preserve">all copies of Buyer Software and any other software licensed by the Buyer to the Supplier under this </w:t>
      </w:r>
      <w:r w:rsidRPr="0028145F">
        <w:rPr>
          <w:rFonts w:ascii="Arial" w:hAnsi="Arial"/>
          <w:color w:val="000000"/>
        </w:rPr>
        <w:t>Call-Off Contract</w:t>
      </w:r>
      <w:r w:rsidRPr="0028145F">
        <w:rPr>
          <w:rFonts w:ascii="Arial" w:hAnsi="Arial"/>
          <w:color w:val="000000"/>
          <w:highlight w:val="white"/>
        </w:rPr>
        <w:t>;</w:t>
      </w:r>
    </w:p>
    <w:p w14:paraId="360A218D" w14:textId="77777777" w:rsidR="00811281" w:rsidRPr="0028145F" w:rsidRDefault="008E2D68" w:rsidP="00811281">
      <w:pPr>
        <w:pStyle w:val="ListParagraph"/>
        <w:numPr>
          <w:ilvl w:val="3"/>
          <w:numId w:val="7"/>
        </w:numPr>
        <w:spacing w:after="0" w:line="240" w:lineRule="auto"/>
        <w:jc w:val="both"/>
        <w:rPr>
          <w:rFonts w:ascii="Arial" w:hAnsi="Arial"/>
          <w:color w:val="000000"/>
          <w:highlight w:val="white"/>
        </w:rPr>
      </w:pPr>
      <w:r w:rsidRPr="0028145F">
        <w:rPr>
          <w:rFonts w:ascii="Arial" w:hAnsi="Arial"/>
          <w:color w:val="000000"/>
          <w:highlight w:val="white"/>
        </w:rPr>
        <w:t xml:space="preserve">any materials created by the Supplier under this </w:t>
      </w:r>
      <w:r w:rsidRPr="0028145F">
        <w:rPr>
          <w:rFonts w:ascii="Arial" w:hAnsi="Arial"/>
          <w:color w:val="000000"/>
        </w:rPr>
        <w:t>Call-Off Contrac</w:t>
      </w:r>
      <w:r w:rsidRPr="0028145F">
        <w:rPr>
          <w:rFonts w:ascii="Arial" w:hAnsi="Arial"/>
          <w:color w:val="000000"/>
          <w:highlight w:val="white"/>
        </w:rPr>
        <w:t>t or work in progress where the IPRs are or will be owned by the Buyer;</w:t>
      </w:r>
      <w:r w:rsidRPr="0028145F">
        <w:rPr>
          <w:rFonts w:ascii="Arial" w:hAnsi="Arial"/>
          <w:color w:val="000000"/>
        </w:rPr>
        <w:t xml:space="preserve"> and</w:t>
      </w:r>
    </w:p>
    <w:p w14:paraId="3DB5FFA1" w14:textId="4742DE92" w:rsidR="00811281" w:rsidRPr="0028145F" w:rsidRDefault="008E2D68" w:rsidP="00811281">
      <w:pPr>
        <w:pStyle w:val="ListParagraph"/>
        <w:numPr>
          <w:ilvl w:val="3"/>
          <w:numId w:val="7"/>
        </w:numPr>
        <w:spacing w:after="0" w:line="240" w:lineRule="auto"/>
        <w:jc w:val="both"/>
        <w:rPr>
          <w:rFonts w:ascii="Arial" w:hAnsi="Arial"/>
          <w:color w:val="000000"/>
          <w:highlight w:val="white"/>
        </w:rPr>
      </w:pPr>
      <w:r w:rsidRPr="0028145F">
        <w:rPr>
          <w:rFonts w:ascii="Arial" w:hAnsi="Arial"/>
          <w:color w:val="000000"/>
          <w:highlight w:val="white"/>
        </w:rPr>
        <w:t>all Buyer Assets provided to the Supplier by the Buyer in good working order.</w:t>
      </w:r>
    </w:p>
    <w:p w14:paraId="0A1CA26D" w14:textId="465A7D9C" w:rsidR="00811281" w:rsidRPr="0028145F" w:rsidRDefault="008E2D68" w:rsidP="00C577C8">
      <w:pPr>
        <w:pStyle w:val="H3"/>
        <w:rPr>
          <w:sz w:val="22"/>
          <w:highlight w:val="white"/>
        </w:rPr>
      </w:pPr>
      <w:bookmarkStart w:id="21" w:name="_heading=h.1t3h5sf" w:colFirst="0" w:colLast="0"/>
      <w:bookmarkEnd w:id="21"/>
      <w:r w:rsidRPr="0028145F">
        <w:rPr>
          <w:sz w:val="22"/>
          <w:highlight w:val="white"/>
        </w:rPr>
        <w:lastRenderedPageBreak/>
        <w:t xml:space="preserve">immediately upload any items that are or were due to be uploaded to the repository in </w:t>
      </w:r>
      <w:r w:rsidRPr="0028145F">
        <w:rPr>
          <w:sz w:val="22"/>
        </w:rPr>
        <w:t xml:space="preserve">accordance with paragraph </w:t>
      </w:r>
      <w:r w:rsidR="00B00DB1" w:rsidRPr="0061115B">
        <w:rPr>
          <w:sz w:val="22"/>
          <w:szCs w:val="22"/>
        </w:rPr>
        <w:fldChar w:fldCharType="begin"/>
      </w:r>
      <w:r w:rsidR="00B00DB1" w:rsidRPr="0061115B">
        <w:rPr>
          <w:sz w:val="22"/>
          <w:szCs w:val="22"/>
        </w:rPr>
        <w:instrText xml:space="preserve"> REF _Ref46407583 \w \h </w:instrText>
      </w:r>
      <w:r w:rsidR="0061115B" w:rsidRPr="0061115B">
        <w:rPr>
          <w:sz w:val="22"/>
          <w:szCs w:val="22"/>
        </w:rPr>
        <w:instrText xml:space="preserve"> \* MERGEFORMAT </w:instrText>
      </w:r>
      <w:r w:rsidR="00B00DB1" w:rsidRPr="0061115B">
        <w:rPr>
          <w:sz w:val="22"/>
          <w:szCs w:val="22"/>
        </w:rPr>
      </w:r>
      <w:r w:rsidR="00B00DB1" w:rsidRPr="0061115B">
        <w:rPr>
          <w:sz w:val="22"/>
          <w:szCs w:val="22"/>
        </w:rPr>
        <w:fldChar w:fldCharType="separate"/>
      </w:r>
      <w:r w:rsidR="00B00DB1" w:rsidRPr="0061115B">
        <w:rPr>
          <w:sz w:val="22"/>
          <w:szCs w:val="22"/>
        </w:rPr>
        <w:t>4</w:t>
      </w:r>
      <w:r w:rsidR="00B00DB1" w:rsidRPr="0061115B">
        <w:rPr>
          <w:sz w:val="22"/>
          <w:szCs w:val="22"/>
        </w:rPr>
        <w:fldChar w:fldCharType="end"/>
      </w:r>
      <w:r w:rsidRPr="0028145F">
        <w:rPr>
          <w:sz w:val="22"/>
        </w:rPr>
        <w:t xml:space="preserve"> </w:t>
      </w:r>
      <w:r w:rsidRPr="0028145F">
        <w:rPr>
          <w:sz w:val="22"/>
          <w:highlight w:val="white"/>
        </w:rPr>
        <w:t>of this Schedule when this Call-Off Contract was terminated;</w:t>
      </w:r>
    </w:p>
    <w:p w14:paraId="078FE866" w14:textId="77777777" w:rsidR="00811281" w:rsidRPr="0028145F" w:rsidRDefault="008E2D68" w:rsidP="00C577C8">
      <w:pPr>
        <w:pStyle w:val="H3"/>
        <w:rPr>
          <w:sz w:val="22"/>
          <w:highlight w:val="white"/>
        </w:rPr>
      </w:pPr>
      <w:r w:rsidRPr="0028145F">
        <w:rPr>
          <w:sz w:val="22"/>
          <w:highlight w:val="white"/>
        </w:rPr>
        <w:t>ensure that any Government Data r</w:t>
      </w:r>
      <w:r w:rsidRPr="0028145F">
        <w:rPr>
          <w:sz w:val="22"/>
        </w:rPr>
        <w:t xml:space="preserve">eturned under Clause 10.6.1(d) is, at the direction of the Buyer, provided to the Buyer and any Replacement Supplier with a </w:t>
      </w:r>
      <w:r w:rsidRPr="0028145F">
        <w:rPr>
          <w:sz w:val="22"/>
          <w:highlight w:val="white"/>
        </w:rPr>
        <w:t>complete and uncorrupted version of the Government Data in electronic form in the formats and on media agreed with the Buyer and any Replacement Supplier;</w:t>
      </w:r>
    </w:p>
    <w:p w14:paraId="36D33865" w14:textId="77777777" w:rsidR="00811281" w:rsidRPr="0028145F" w:rsidRDefault="008E2D68" w:rsidP="00C577C8">
      <w:pPr>
        <w:pStyle w:val="H3"/>
        <w:rPr>
          <w:sz w:val="22"/>
          <w:highlight w:val="white"/>
        </w:rPr>
      </w:pPr>
      <w:r w:rsidRPr="0028145F">
        <w:rPr>
          <w:sz w:val="22"/>
          <w:highlight w:val="white"/>
        </w:rPr>
        <w:t>work with the Buyer on any work in progress and ensure an orderly transition of the Services to the Replacement Supplier;</w:t>
      </w:r>
    </w:p>
    <w:p w14:paraId="60273C07" w14:textId="77777777" w:rsidR="00811281" w:rsidRPr="0028145F" w:rsidRDefault="008E2D68" w:rsidP="00C577C8">
      <w:pPr>
        <w:pStyle w:val="H3"/>
        <w:rPr>
          <w:sz w:val="22"/>
          <w:highlight w:val="white"/>
        </w:rPr>
      </w:pPr>
      <w:r w:rsidRPr="0028145F">
        <w:rPr>
          <w:sz w:val="22"/>
          <w:highlight w:val="white"/>
        </w:rPr>
        <w:t>provide all information requested by the Buyer on the provision of the Services so that:</w:t>
      </w:r>
    </w:p>
    <w:p w14:paraId="5C36C15E" w14:textId="77777777" w:rsidR="00811281" w:rsidRPr="0028145F" w:rsidRDefault="008E2D68" w:rsidP="00811281">
      <w:pPr>
        <w:pStyle w:val="ListParagraph"/>
        <w:numPr>
          <w:ilvl w:val="3"/>
          <w:numId w:val="7"/>
        </w:numPr>
        <w:spacing w:after="0" w:line="240" w:lineRule="auto"/>
        <w:jc w:val="both"/>
        <w:rPr>
          <w:rFonts w:ascii="Arial" w:hAnsi="Arial"/>
          <w:color w:val="000000"/>
          <w:highlight w:val="white"/>
        </w:rPr>
      </w:pPr>
      <w:r w:rsidRPr="0028145F">
        <w:rPr>
          <w:rFonts w:ascii="Arial" w:hAnsi="Arial"/>
          <w:color w:val="000000"/>
          <w:highlight w:val="white"/>
        </w:rPr>
        <w:t>the Buyer is able to understand how the Services have been provided; and</w:t>
      </w:r>
    </w:p>
    <w:p w14:paraId="3BA51169" w14:textId="77777777" w:rsidR="00811281" w:rsidRPr="0028145F" w:rsidRDefault="008E2D68" w:rsidP="00811281">
      <w:pPr>
        <w:pStyle w:val="ListParagraph"/>
        <w:numPr>
          <w:ilvl w:val="3"/>
          <w:numId w:val="7"/>
        </w:numPr>
        <w:spacing w:before="0" w:after="0" w:line="240" w:lineRule="auto"/>
        <w:jc w:val="both"/>
        <w:rPr>
          <w:rFonts w:ascii="Arial" w:hAnsi="Arial"/>
          <w:color w:val="000000"/>
          <w:highlight w:val="white"/>
        </w:rPr>
      </w:pPr>
      <w:r w:rsidRPr="0028145F">
        <w:rPr>
          <w:rFonts w:ascii="Arial" w:hAnsi="Arial"/>
          <w:color w:val="000000"/>
          <w:highlight w:val="white"/>
        </w:rPr>
        <w:t>the Buyer and any Replacement Supplier can conduct due diligence.</w:t>
      </w:r>
      <w:bookmarkStart w:id="22" w:name="bookmark=id.4d34og8" w:colFirst="0" w:colLast="0"/>
      <w:bookmarkEnd w:id="22"/>
    </w:p>
    <w:p w14:paraId="4699AFF4" w14:textId="77777777" w:rsidR="00811281" w:rsidRPr="0028145F" w:rsidRDefault="008E2D68" w:rsidP="00C577C8">
      <w:pPr>
        <w:pStyle w:val="H2"/>
        <w:rPr>
          <w:color w:val="000000"/>
          <w:sz w:val="22"/>
        </w:rPr>
      </w:pPr>
      <w:r w:rsidRPr="0028145F">
        <w:rPr>
          <w:sz w:val="22"/>
          <w:highlight w:val="white"/>
        </w:rPr>
        <w:t>Each Party will return all of the other Party’s Confidential Information. Each Party will confirm that it does not retain the other Party’s Confidential Information except where the information must be retained by the Party as a legal requirement or where this Call-Off Contract states otherwise.</w:t>
      </w:r>
    </w:p>
    <w:p w14:paraId="163E34FB" w14:textId="12993859" w:rsidR="00EF36CF" w:rsidRPr="0028145F" w:rsidRDefault="00EF36CF" w:rsidP="00146050">
      <w:pPr>
        <w:tabs>
          <w:tab w:val="left" w:pos="2123"/>
        </w:tabs>
        <w:jc w:val="both"/>
        <w:rPr>
          <w:rFonts w:ascii="Arial" w:hAnsi="Arial"/>
        </w:rPr>
      </w:pPr>
    </w:p>
    <w:sectPr w:rsidR="00EF36CF" w:rsidRPr="0028145F">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0746B" w14:textId="77777777" w:rsidR="00C1541E" w:rsidRDefault="00C1541E">
      <w:pPr>
        <w:spacing w:after="0" w:line="240" w:lineRule="auto"/>
      </w:pPr>
      <w:r>
        <w:separator/>
      </w:r>
    </w:p>
  </w:endnote>
  <w:endnote w:type="continuationSeparator" w:id="0">
    <w:p w14:paraId="657C4E34" w14:textId="77777777" w:rsidR="00C1541E" w:rsidRDefault="00C1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Arial Bold">
    <w:altName w:val="Arial"/>
    <w:panose1 w:val="020B0704020202020204"/>
    <w:charset w:val="00"/>
    <w:family w:val="auto"/>
    <w:pitch w:val="variable"/>
    <w:sig w:usb0="E0002AFF" w:usb1="C0007843"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3500" w14:textId="77777777" w:rsidR="002C736C" w:rsidRDefault="002C736C">
    <w:pPr>
      <w:tabs>
        <w:tab w:val="center" w:pos="4513"/>
        <w:tab w:val="right" w:pos="9026"/>
      </w:tabs>
      <w:spacing w:after="0"/>
      <w:rPr>
        <w:rFonts w:ascii="Arial" w:eastAsia="Arial" w:hAnsi="Arial" w:cs="Arial"/>
        <w:color w:val="A6A6A6"/>
        <w:sz w:val="20"/>
        <w:szCs w:val="20"/>
      </w:rPr>
    </w:pPr>
  </w:p>
  <w:p w14:paraId="163E3501" w14:textId="7EE16595" w:rsidR="002C736C" w:rsidRDefault="008E2D68" w:rsidP="00C864F6">
    <w:pPr>
      <w:pBdr>
        <w:top w:val="single" w:sz="4" w:space="1" w:color="auto"/>
      </w:pBd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w:t>
    </w:r>
    <w:r w:rsidR="00056F2E">
      <w:rPr>
        <w:rFonts w:ascii="Arial" w:eastAsia="Arial" w:hAnsi="Arial" w:cs="Arial"/>
        <w:sz w:val="20"/>
        <w:szCs w:val="20"/>
      </w:rPr>
      <w:t>345</w:t>
    </w:r>
  </w:p>
  <w:p w14:paraId="493B2BF4" w14:textId="2DC97204" w:rsidR="00B30EC0" w:rsidRDefault="008E2D6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Project Version: </w:t>
    </w:r>
    <w:r w:rsidR="00B30EC0">
      <w:rPr>
        <w:rFonts w:ascii="Arial" w:eastAsia="Arial" w:hAnsi="Arial" w:cs="Arial"/>
        <w:color w:val="000000"/>
        <w:sz w:val="20"/>
        <w:szCs w:val="20"/>
      </w:rPr>
      <w:t>v</w:t>
    </w:r>
    <w:r w:rsidR="005D09FB">
      <w:rPr>
        <w:rFonts w:ascii="Arial" w:eastAsia="Arial" w:hAnsi="Arial" w:cs="Arial"/>
        <w:color w:val="000000"/>
        <w:sz w:val="20"/>
        <w:szCs w:val="20"/>
      </w:rPr>
      <w:t>3</w:t>
    </w:r>
    <w:r w:rsidR="00F76618">
      <w:rPr>
        <w:rFonts w:ascii="Arial" w:eastAsia="Arial" w:hAnsi="Arial" w:cs="Arial"/>
        <w:color w:val="000000"/>
        <w:sz w:val="20"/>
        <w:szCs w:val="20"/>
      </w:rPr>
      <w:t>.0</w:t>
    </w:r>
  </w:p>
  <w:p w14:paraId="163E3502" w14:textId="0D8AD22A" w:rsidR="002C736C" w:rsidRDefault="00B30EC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v1.0</w:t>
    </w:r>
    <w:r w:rsidR="008E2D68">
      <w:rPr>
        <w:rFonts w:ascii="Arial" w:eastAsia="Arial" w:hAnsi="Arial" w:cs="Arial"/>
        <w:color w:val="000000"/>
        <w:sz w:val="20"/>
        <w:szCs w:val="20"/>
      </w:rPr>
      <w:t xml:space="preserve"> </w:t>
    </w:r>
    <w:r w:rsidR="008E2D68">
      <w:rPr>
        <w:rFonts w:ascii="Arial" w:eastAsia="Arial" w:hAnsi="Arial" w:cs="Arial"/>
        <w:color w:val="000000"/>
        <w:sz w:val="20"/>
        <w:szCs w:val="20"/>
      </w:rPr>
      <w:tab/>
    </w:r>
    <w:r w:rsidR="008E2D68">
      <w:rPr>
        <w:rFonts w:ascii="Arial" w:eastAsia="Arial" w:hAnsi="Arial" w:cs="Arial"/>
        <w:color w:val="000000"/>
        <w:sz w:val="20"/>
        <w:szCs w:val="20"/>
      </w:rPr>
      <w:tab/>
    </w:r>
    <w:r w:rsidR="00F76618">
      <w:rPr>
        <w:rFonts w:ascii="Arial" w:eastAsia="Arial" w:hAnsi="Arial" w:cs="Arial"/>
        <w:color w:val="000000"/>
        <w:sz w:val="20"/>
        <w:szCs w:val="20"/>
      </w:rPr>
      <w:t xml:space="preserve">Page </w:t>
    </w:r>
    <w:r w:rsidR="008E2D68">
      <w:rPr>
        <w:rFonts w:ascii="Arial" w:eastAsia="Arial" w:hAnsi="Arial" w:cs="Arial"/>
        <w:color w:val="000000"/>
        <w:sz w:val="20"/>
        <w:szCs w:val="20"/>
      </w:rPr>
      <w:fldChar w:fldCharType="begin"/>
    </w:r>
    <w:r w:rsidR="008E2D68">
      <w:rPr>
        <w:rFonts w:ascii="Arial" w:eastAsia="Arial" w:hAnsi="Arial" w:cs="Arial"/>
        <w:color w:val="000000"/>
        <w:sz w:val="20"/>
        <w:szCs w:val="20"/>
      </w:rPr>
      <w:instrText>PAGE</w:instrText>
    </w:r>
    <w:r w:rsidR="008E2D68">
      <w:rPr>
        <w:rFonts w:ascii="Arial" w:eastAsia="Arial" w:hAnsi="Arial" w:cs="Arial"/>
        <w:color w:val="000000"/>
        <w:sz w:val="20"/>
        <w:szCs w:val="20"/>
      </w:rPr>
      <w:fldChar w:fldCharType="separate"/>
    </w:r>
    <w:r w:rsidR="0028145F">
      <w:rPr>
        <w:rFonts w:ascii="Arial" w:eastAsia="Arial" w:hAnsi="Arial" w:cs="Arial"/>
        <w:noProof/>
        <w:color w:val="000000"/>
        <w:sz w:val="20"/>
        <w:szCs w:val="20"/>
      </w:rPr>
      <w:t>1</w:t>
    </w:r>
    <w:r w:rsidR="008E2D68">
      <w:rPr>
        <w:rFonts w:ascii="Arial" w:eastAsia="Arial" w:hAnsi="Arial" w:cs="Arial"/>
        <w:color w:val="000000"/>
        <w:sz w:val="20"/>
        <w:szCs w:val="20"/>
      </w:rPr>
      <w:fldChar w:fldCharType="end"/>
    </w:r>
    <w:r w:rsidR="00F76618">
      <w:rPr>
        <w:rFonts w:ascii="Arial" w:eastAsia="Arial" w:hAnsi="Arial" w:cs="Arial"/>
        <w:color w:val="000000"/>
        <w:sz w:val="20"/>
        <w:szCs w:val="20"/>
      </w:rPr>
      <w:t xml:space="preserve"> of </w:t>
    </w:r>
    <w:r w:rsidR="00F76618">
      <w:rPr>
        <w:rFonts w:ascii="Arial" w:eastAsia="Arial" w:hAnsi="Arial" w:cs="Arial"/>
        <w:color w:val="000000"/>
        <w:sz w:val="20"/>
        <w:szCs w:val="20"/>
      </w:rPr>
      <w:fldChar w:fldCharType="begin"/>
    </w:r>
    <w:r w:rsidR="00F76618">
      <w:rPr>
        <w:rFonts w:ascii="Arial" w:eastAsia="Arial" w:hAnsi="Arial" w:cs="Arial"/>
        <w:color w:val="000000"/>
        <w:sz w:val="20"/>
        <w:szCs w:val="20"/>
      </w:rPr>
      <w:instrText xml:space="preserve"> NUMPAGES   \* MERGEFORMAT </w:instrText>
    </w:r>
    <w:r w:rsidR="00F76618">
      <w:rPr>
        <w:rFonts w:ascii="Arial" w:eastAsia="Arial" w:hAnsi="Arial" w:cs="Arial"/>
        <w:color w:val="000000"/>
        <w:sz w:val="20"/>
        <w:szCs w:val="20"/>
      </w:rPr>
      <w:fldChar w:fldCharType="separate"/>
    </w:r>
    <w:r w:rsidR="0028145F">
      <w:rPr>
        <w:rFonts w:ascii="Arial" w:eastAsia="Arial" w:hAnsi="Arial" w:cs="Arial"/>
        <w:noProof/>
        <w:color w:val="000000"/>
        <w:sz w:val="20"/>
        <w:szCs w:val="20"/>
      </w:rPr>
      <w:t>9</w:t>
    </w:r>
    <w:r w:rsidR="00F76618">
      <w:rPr>
        <w:rFonts w:ascii="Arial" w:eastAsia="Arial" w:hAnsi="Arial" w:cs="Arial"/>
        <w:color w:val="000000"/>
        <w:sz w:val="20"/>
        <w:szCs w:val="20"/>
      </w:rPr>
      <w:fldChar w:fldCharType="end"/>
    </w:r>
  </w:p>
  <w:p w14:paraId="163E3503" w14:textId="797A3828" w:rsidR="002C736C" w:rsidRDefault="002C736C">
    <w:pPr>
      <w:spacing w:after="0"/>
      <w:rPr>
        <w:rFonts w:ascii="Arial" w:eastAsia="Arial" w:hAnsi="Arial" w:cs="Arial"/>
        <w:color w:val="A6A6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3509" w14:textId="77777777" w:rsidR="002C736C" w:rsidRDefault="002C736C">
    <w:pPr>
      <w:tabs>
        <w:tab w:val="center" w:pos="4513"/>
        <w:tab w:val="right" w:pos="9026"/>
      </w:tabs>
      <w:spacing w:after="0"/>
      <w:rPr>
        <w:rFonts w:ascii="Arial" w:eastAsia="Arial" w:hAnsi="Arial" w:cs="Arial"/>
        <w:color w:val="A6A6A6"/>
        <w:sz w:val="20"/>
        <w:szCs w:val="20"/>
      </w:rPr>
    </w:pPr>
  </w:p>
  <w:p w14:paraId="163E350A" w14:textId="77777777" w:rsidR="002C736C" w:rsidRDefault="008E2D68">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163E350B" w14:textId="77777777" w:rsidR="002C736C" w:rsidRDefault="008E2D68">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163E350C" w14:textId="77777777" w:rsidR="002C736C" w:rsidRDefault="008E2D68">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16487" w14:textId="77777777" w:rsidR="00C1541E" w:rsidRDefault="00C1541E">
      <w:pPr>
        <w:spacing w:after="0" w:line="240" w:lineRule="auto"/>
      </w:pPr>
      <w:r>
        <w:separator/>
      </w:r>
    </w:p>
  </w:footnote>
  <w:footnote w:type="continuationSeparator" w:id="0">
    <w:p w14:paraId="7D3BFB73" w14:textId="77777777" w:rsidR="00C1541E" w:rsidRDefault="00C15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34FC" w14:textId="6A82E404" w:rsidR="002C736C" w:rsidRDefault="008E2D68">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2</w:t>
    </w:r>
    <w:r w:rsidR="00056F2E">
      <w:rPr>
        <w:b/>
        <w:color w:val="000000"/>
      </w:rPr>
      <w:t>6</w:t>
    </w:r>
    <w:r>
      <w:rPr>
        <w:b/>
        <w:color w:val="000000"/>
      </w:rPr>
      <w:t xml:space="preserve"> (</w:t>
    </w:r>
    <w:r w:rsidR="00C0229A">
      <w:rPr>
        <w:b/>
        <w:color w:val="000000"/>
      </w:rPr>
      <w:t>Health</w:t>
    </w:r>
    <w:r w:rsidR="004525EE">
      <w:rPr>
        <w:b/>
        <w:color w:val="000000"/>
      </w:rPr>
      <w:t xml:space="preserve"> </w:t>
    </w:r>
    <w:r>
      <w:rPr>
        <w:b/>
        <w:color w:val="000000"/>
      </w:rPr>
      <w:t>Additional Call-Off Terms)</w:t>
    </w:r>
  </w:p>
  <w:p w14:paraId="163E34FD" w14:textId="77777777" w:rsidR="002C736C" w:rsidRDefault="008E2D68">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14:paraId="163E34FE" w14:textId="77777777" w:rsidR="002C736C" w:rsidRDefault="008E2D68">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2018</w:t>
    </w:r>
  </w:p>
  <w:p w14:paraId="163E34FF" w14:textId="4C075F13" w:rsidR="002C736C" w:rsidRDefault="00A60E1F" w:rsidP="00A60E1F">
    <w:pPr>
      <w:jc w:val="center"/>
      <w:rPr>
        <w:color w:val="000000"/>
      </w:rPr>
    </w:pPr>
    <w:r w:rsidRPr="00E65ABC">
      <w:rPr>
        <w:rFonts w:ascii="Arial" w:hAnsi="Arial"/>
        <w:sz w:val="20"/>
        <w:szCs w:val="16"/>
      </w:rPr>
      <w:t>OFFICIAL -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3504" w14:textId="77777777" w:rsidR="002C736C" w:rsidRDefault="008E2D6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163E3505" w14:textId="77777777" w:rsidR="002C736C" w:rsidRDefault="008E2D6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163E3506" w14:textId="77777777" w:rsidR="002C736C" w:rsidRDefault="008E2D6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163E3507" w14:textId="77777777" w:rsidR="002C736C" w:rsidRDefault="002C736C">
    <w:pPr>
      <w:pBdr>
        <w:top w:val="nil"/>
        <w:left w:val="nil"/>
        <w:bottom w:val="nil"/>
        <w:right w:val="nil"/>
        <w:between w:val="nil"/>
      </w:pBdr>
      <w:tabs>
        <w:tab w:val="center" w:pos="4513"/>
        <w:tab w:val="right" w:pos="9026"/>
      </w:tabs>
      <w:spacing w:after="0" w:line="240" w:lineRule="auto"/>
      <w:rPr>
        <w:i/>
        <w:color w:val="000000"/>
      </w:rPr>
    </w:pPr>
  </w:p>
  <w:p w14:paraId="163E3508" w14:textId="77777777" w:rsidR="002C736C" w:rsidRDefault="002C736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587F"/>
    <w:multiLevelType w:val="multilevel"/>
    <w:tmpl w:val="662E9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15F28F8"/>
    <w:multiLevelType w:val="hybridMultilevel"/>
    <w:tmpl w:val="FCBC839C"/>
    <w:lvl w:ilvl="0" w:tplc="4FFA7D20">
      <w:start w:val="1"/>
      <w:numFmt w:val="decimal"/>
      <w:lvlText w:val="%1."/>
      <w:lvlJc w:val="left"/>
      <w:pPr>
        <w:ind w:left="720" w:hanging="360"/>
      </w:pPr>
    </w:lvl>
    <w:lvl w:ilvl="1" w:tplc="A2B8D93C" w:tentative="1">
      <w:start w:val="1"/>
      <w:numFmt w:val="lowerLetter"/>
      <w:lvlText w:val="%2."/>
      <w:lvlJc w:val="left"/>
      <w:pPr>
        <w:ind w:left="1440" w:hanging="360"/>
      </w:pPr>
    </w:lvl>
    <w:lvl w:ilvl="2" w:tplc="76D6782E" w:tentative="1">
      <w:start w:val="1"/>
      <w:numFmt w:val="lowerRoman"/>
      <w:lvlText w:val="%3."/>
      <w:lvlJc w:val="right"/>
      <w:pPr>
        <w:ind w:left="2160" w:hanging="180"/>
      </w:pPr>
    </w:lvl>
    <w:lvl w:ilvl="3" w:tplc="DD60264E" w:tentative="1">
      <w:start w:val="1"/>
      <w:numFmt w:val="decimal"/>
      <w:lvlText w:val="%4."/>
      <w:lvlJc w:val="left"/>
      <w:pPr>
        <w:ind w:left="2880" w:hanging="360"/>
      </w:pPr>
    </w:lvl>
    <w:lvl w:ilvl="4" w:tplc="FF7A9DB2" w:tentative="1">
      <w:start w:val="1"/>
      <w:numFmt w:val="lowerLetter"/>
      <w:lvlText w:val="%5."/>
      <w:lvlJc w:val="left"/>
      <w:pPr>
        <w:ind w:left="3600" w:hanging="360"/>
      </w:pPr>
    </w:lvl>
    <w:lvl w:ilvl="5" w:tplc="55CC04E4" w:tentative="1">
      <w:start w:val="1"/>
      <w:numFmt w:val="lowerRoman"/>
      <w:lvlText w:val="%6."/>
      <w:lvlJc w:val="right"/>
      <w:pPr>
        <w:ind w:left="4320" w:hanging="180"/>
      </w:pPr>
    </w:lvl>
    <w:lvl w:ilvl="6" w:tplc="158623C2" w:tentative="1">
      <w:start w:val="1"/>
      <w:numFmt w:val="decimal"/>
      <w:lvlText w:val="%7."/>
      <w:lvlJc w:val="left"/>
      <w:pPr>
        <w:ind w:left="5040" w:hanging="360"/>
      </w:pPr>
    </w:lvl>
    <w:lvl w:ilvl="7" w:tplc="51FEFD92" w:tentative="1">
      <w:start w:val="1"/>
      <w:numFmt w:val="lowerLetter"/>
      <w:lvlText w:val="%8."/>
      <w:lvlJc w:val="left"/>
      <w:pPr>
        <w:ind w:left="5760" w:hanging="360"/>
      </w:pPr>
    </w:lvl>
    <w:lvl w:ilvl="8" w:tplc="81643EA2" w:tentative="1">
      <w:start w:val="1"/>
      <w:numFmt w:val="lowerRoman"/>
      <w:lvlText w:val="%9."/>
      <w:lvlJc w:val="right"/>
      <w:pPr>
        <w:ind w:left="6480" w:hanging="180"/>
      </w:pPr>
    </w:lvl>
  </w:abstractNum>
  <w:abstractNum w:abstractNumId="2" w15:restartNumberingAfterBreak="0">
    <w:nsid w:val="41A05E81"/>
    <w:multiLevelType w:val="hybridMultilevel"/>
    <w:tmpl w:val="8C00706C"/>
    <w:lvl w:ilvl="0" w:tplc="20166742">
      <w:start w:val="1"/>
      <w:numFmt w:val="decimal"/>
      <w:lvlText w:val="%1."/>
      <w:lvlJc w:val="left"/>
      <w:pPr>
        <w:ind w:left="720" w:hanging="360"/>
      </w:pPr>
    </w:lvl>
    <w:lvl w:ilvl="1" w:tplc="D3144598" w:tentative="1">
      <w:start w:val="1"/>
      <w:numFmt w:val="lowerLetter"/>
      <w:lvlText w:val="%2."/>
      <w:lvlJc w:val="left"/>
      <w:pPr>
        <w:ind w:left="1440" w:hanging="360"/>
      </w:pPr>
    </w:lvl>
    <w:lvl w:ilvl="2" w:tplc="24120B6C" w:tentative="1">
      <w:start w:val="1"/>
      <w:numFmt w:val="lowerRoman"/>
      <w:lvlText w:val="%3."/>
      <w:lvlJc w:val="right"/>
      <w:pPr>
        <w:ind w:left="2160" w:hanging="180"/>
      </w:pPr>
    </w:lvl>
    <w:lvl w:ilvl="3" w:tplc="76505450" w:tentative="1">
      <w:start w:val="1"/>
      <w:numFmt w:val="decimal"/>
      <w:lvlText w:val="%4."/>
      <w:lvlJc w:val="left"/>
      <w:pPr>
        <w:ind w:left="2880" w:hanging="360"/>
      </w:pPr>
    </w:lvl>
    <w:lvl w:ilvl="4" w:tplc="DA9C0CB8" w:tentative="1">
      <w:start w:val="1"/>
      <w:numFmt w:val="lowerLetter"/>
      <w:lvlText w:val="%5."/>
      <w:lvlJc w:val="left"/>
      <w:pPr>
        <w:ind w:left="3600" w:hanging="360"/>
      </w:pPr>
    </w:lvl>
    <w:lvl w:ilvl="5" w:tplc="6794129A" w:tentative="1">
      <w:start w:val="1"/>
      <w:numFmt w:val="lowerRoman"/>
      <w:lvlText w:val="%6."/>
      <w:lvlJc w:val="right"/>
      <w:pPr>
        <w:ind w:left="4320" w:hanging="180"/>
      </w:pPr>
    </w:lvl>
    <w:lvl w:ilvl="6" w:tplc="ECFADFA4" w:tentative="1">
      <w:start w:val="1"/>
      <w:numFmt w:val="decimal"/>
      <w:lvlText w:val="%7."/>
      <w:lvlJc w:val="left"/>
      <w:pPr>
        <w:ind w:left="5040" w:hanging="360"/>
      </w:pPr>
    </w:lvl>
    <w:lvl w:ilvl="7" w:tplc="2FBA64EE" w:tentative="1">
      <w:start w:val="1"/>
      <w:numFmt w:val="lowerLetter"/>
      <w:lvlText w:val="%8."/>
      <w:lvlJc w:val="left"/>
      <w:pPr>
        <w:ind w:left="5760" w:hanging="360"/>
      </w:pPr>
    </w:lvl>
    <w:lvl w:ilvl="8" w:tplc="61BE386C" w:tentative="1">
      <w:start w:val="1"/>
      <w:numFmt w:val="lowerRoman"/>
      <w:lvlText w:val="%9."/>
      <w:lvlJc w:val="right"/>
      <w:pPr>
        <w:ind w:left="6480" w:hanging="180"/>
      </w:pPr>
    </w:lvl>
  </w:abstractNum>
  <w:abstractNum w:abstractNumId="3" w15:restartNumberingAfterBreak="0">
    <w:nsid w:val="44CB70A2"/>
    <w:multiLevelType w:val="multilevel"/>
    <w:tmpl w:val="662E9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FC6378"/>
    <w:multiLevelType w:val="hybridMultilevel"/>
    <w:tmpl w:val="6A4C7C36"/>
    <w:lvl w:ilvl="0" w:tplc="73086380">
      <w:start w:val="1"/>
      <w:numFmt w:val="bullet"/>
      <w:lvlText w:val=""/>
      <w:lvlJc w:val="left"/>
      <w:pPr>
        <w:ind w:left="720" w:hanging="360"/>
      </w:pPr>
      <w:rPr>
        <w:rFonts w:ascii="Symbol" w:hAnsi="Symbol" w:hint="default"/>
      </w:rPr>
    </w:lvl>
    <w:lvl w:ilvl="1" w:tplc="8F1A7B6A" w:tentative="1">
      <w:start w:val="1"/>
      <w:numFmt w:val="bullet"/>
      <w:lvlText w:val="o"/>
      <w:lvlJc w:val="left"/>
      <w:pPr>
        <w:ind w:left="1440" w:hanging="360"/>
      </w:pPr>
      <w:rPr>
        <w:rFonts w:ascii="Courier New" w:hAnsi="Courier New" w:cs="Courier New" w:hint="default"/>
      </w:rPr>
    </w:lvl>
    <w:lvl w:ilvl="2" w:tplc="16728A4E" w:tentative="1">
      <w:start w:val="1"/>
      <w:numFmt w:val="bullet"/>
      <w:lvlText w:val=""/>
      <w:lvlJc w:val="left"/>
      <w:pPr>
        <w:ind w:left="2160" w:hanging="360"/>
      </w:pPr>
      <w:rPr>
        <w:rFonts w:ascii="Wingdings" w:hAnsi="Wingdings" w:hint="default"/>
      </w:rPr>
    </w:lvl>
    <w:lvl w:ilvl="3" w:tplc="7C66CA72" w:tentative="1">
      <w:start w:val="1"/>
      <w:numFmt w:val="bullet"/>
      <w:lvlText w:val=""/>
      <w:lvlJc w:val="left"/>
      <w:pPr>
        <w:ind w:left="2880" w:hanging="360"/>
      </w:pPr>
      <w:rPr>
        <w:rFonts w:ascii="Symbol" w:hAnsi="Symbol" w:hint="default"/>
      </w:rPr>
    </w:lvl>
    <w:lvl w:ilvl="4" w:tplc="16480EFC" w:tentative="1">
      <w:start w:val="1"/>
      <w:numFmt w:val="bullet"/>
      <w:lvlText w:val="o"/>
      <w:lvlJc w:val="left"/>
      <w:pPr>
        <w:ind w:left="3600" w:hanging="360"/>
      </w:pPr>
      <w:rPr>
        <w:rFonts w:ascii="Courier New" w:hAnsi="Courier New" w:cs="Courier New" w:hint="default"/>
      </w:rPr>
    </w:lvl>
    <w:lvl w:ilvl="5" w:tplc="371C7F98" w:tentative="1">
      <w:start w:val="1"/>
      <w:numFmt w:val="bullet"/>
      <w:lvlText w:val=""/>
      <w:lvlJc w:val="left"/>
      <w:pPr>
        <w:ind w:left="4320" w:hanging="360"/>
      </w:pPr>
      <w:rPr>
        <w:rFonts w:ascii="Wingdings" w:hAnsi="Wingdings" w:hint="default"/>
      </w:rPr>
    </w:lvl>
    <w:lvl w:ilvl="6" w:tplc="4E3A6AFA" w:tentative="1">
      <w:start w:val="1"/>
      <w:numFmt w:val="bullet"/>
      <w:lvlText w:val=""/>
      <w:lvlJc w:val="left"/>
      <w:pPr>
        <w:ind w:left="5040" w:hanging="360"/>
      </w:pPr>
      <w:rPr>
        <w:rFonts w:ascii="Symbol" w:hAnsi="Symbol" w:hint="default"/>
      </w:rPr>
    </w:lvl>
    <w:lvl w:ilvl="7" w:tplc="7C52CDF4" w:tentative="1">
      <w:start w:val="1"/>
      <w:numFmt w:val="bullet"/>
      <w:lvlText w:val="o"/>
      <w:lvlJc w:val="left"/>
      <w:pPr>
        <w:ind w:left="5760" w:hanging="360"/>
      </w:pPr>
      <w:rPr>
        <w:rFonts w:ascii="Courier New" w:hAnsi="Courier New" w:cs="Courier New" w:hint="default"/>
      </w:rPr>
    </w:lvl>
    <w:lvl w:ilvl="8" w:tplc="7E589A66" w:tentative="1">
      <w:start w:val="1"/>
      <w:numFmt w:val="bullet"/>
      <w:lvlText w:val=""/>
      <w:lvlJc w:val="left"/>
      <w:pPr>
        <w:ind w:left="6480" w:hanging="360"/>
      </w:pPr>
      <w:rPr>
        <w:rFonts w:ascii="Wingdings" w:hAnsi="Wingdings" w:hint="default"/>
      </w:rPr>
    </w:lvl>
  </w:abstractNum>
  <w:abstractNum w:abstractNumId="5" w15:restartNumberingAfterBreak="0">
    <w:nsid w:val="5E7D3309"/>
    <w:multiLevelType w:val="multilevel"/>
    <w:tmpl w:val="205E0C5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15:restartNumberingAfterBreak="0">
    <w:nsid w:val="5FE80D19"/>
    <w:multiLevelType w:val="multilevel"/>
    <w:tmpl w:val="662E9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270514"/>
    <w:multiLevelType w:val="multilevel"/>
    <w:tmpl w:val="EDE041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6B655EA8"/>
    <w:multiLevelType w:val="multilevel"/>
    <w:tmpl w:val="4BC2B06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9" w15:restartNumberingAfterBreak="0">
    <w:nsid w:val="6DCE523E"/>
    <w:multiLevelType w:val="multilevel"/>
    <w:tmpl w:val="E9D07E56"/>
    <w:lvl w:ilvl="0">
      <w:start w:val="1"/>
      <w:numFmt w:val="decimal"/>
      <w:pStyle w:val="H1"/>
      <w:lvlText w:val="%1."/>
      <w:lvlJc w:val="left"/>
      <w:pPr>
        <w:ind w:left="720" w:hanging="360"/>
      </w:pPr>
      <w:rPr>
        <w:rFonts w:hint="default"/>
      </w:rPr>
    </w:lvl>
    <w:lvl w:ilvl="1">
      <w:start w:val="1"/>
      <w:numFmt w:val="decimal"/>
      <w:pStyle w:val="H2"/>
      <w:isLgl/>
      <w:lvlText w:val="%1.%2"/>
      <w:lvlJc w:val="left"/>
      <w:pPr>
        <w:ind w:left="1430" w:hanging="720"/>
      </w:pPr>
      <w:rPr>
        <w:rFonts w:hint="default"/>
      </w:rPr>
    </w:lvl>
    <w:lvl w:ilvl="2">
      <w:start w:val="1"/>
      <w:numFmt w:val="decimal"/>
      <w:pStyle w:val="H3"/>
      <w:isLgl/>
      <w:lvlText w:val="%1.%2.%3"/>
      <w:lvlJc w:val="left"/>
      <w:pPr>
        <w:ind w:left="1997"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7"/>
  </w:num>
  <w:num w:numId="3">
    <w:abstractNumId w:val="5"/>
  </w:num>
  <w:num w:numId="4">
    <w:abstractNumId w:val="1"/>
  </w:num>
  <w:num w:numId="5">
    <w:abstractNumId w:val="2"/>
  </w:num>
  <w:num w:numId="6">
    <w:abstractNumId w:val="4"/>
  </w:num>
  <w:num w:numId="7">
    <w:abstractNumId w:val="9"/>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CF"/>
    <w:rsid w:val="00013A3D"/>
    <w:rsid w:val="00031908"/>
    <w:rsid w:val="0004132A"/>
    <w:rsid w:val="00046609"/>
    <w:rsid w:val="00055743"/>
    <w:rsid w:val="00056F2E"/>
    <w:rsid w:val="00063673"/>
    <w:rsid w:val="00067D90"/>
    <w:rsid w:val="00082FDD"/>
    <w:rsid w:val="00090DB9"/>
    <w:rsid w:val="000966AA"/>
    <w:rsid w:val="000A3B07"/>
    <w:rsid w:val="000B19C0"/>
    <w:rsid w:val="000D1520"/>
    <w:rsid w:val="000D6390"/>
    <w:rsid w:val="000F1514"/>
    <w:rsid w:val="000F3626"/>
    <w:rsid w:val="000F532F"/>
    <w:rsid w:val="001102D0"/>
    <w:rsid w:val="00112587"/>
    <w:rsid w:val="00114773"/>
    <w:rsid w:val="00131BF0"/>
    <w:rsid w:val="00145E7B"/>
    <w:rsid w:val="00146050"/>
    <w:rsid w:val="00152DB3"/>
    <w:rsid w:val="00161B6F"/>
    <w:rsid w:val="00165B9F"/>
    <w:rsid w:val="0017743D"/>
    <w:rsid w:val="001808E2"/>
    <w:rsid w:val="001811A7"/>
    <w:rsid w:val="00181A02"/>
    <w:rsid w:val="00182A92"/>
    <w:rsid w:val="001836B6"/>
    <w:rsid w:val="001872BD"/>
    <w:rsid w:val="0019292E"/>
    <w:rsid w:val="00192DD5"/>
    <w:rsid w:val="00195EF7"/>
    <w:rsid w:val="001A3965"/>
    <w:rsid w:val="001B5037"/>
    <w:rsid w:val="001C6906"/>
    <w:rsid w:val="001D4F85"/>
    <w:rsid w:val="001E04FE"/>
    <w:rsid w:val="001E4D8D"/>
    <w:rsid w:val="0020546F"/>
    <w:rsid w:val="002167DE"/>
    <w:rsid w:val="00217D8E"/>
    <w:rsid w:val="00217DEC"/>
    <w:rsid w:val="002214C2"/>
    <w:rsid w:val="002220B3"/>
    <w:rsid w:val="002268E6"/>
    <w:rsid w:val="00226FDF"/>
    <w:rsid w:val="00231351"/>
    <w:rsid w:val="0023301A"/>
    <w:rsid w:val="002360A5"/>
    <w:rsid w:val="0023767F"/>
    <w:rsid w:val="00257A1C"/>
    <w:rsid w:val="0026797A"/>
    <w:rsid w:val="002729D7"/>
    <w:rsid w:val="00274D89"/>
    <w:rsid w:val="002775D4"/>
    <w:rsid w:val="0028145F"/>
    <w:rsid w:val="0028494D"/>
    <w:rsid w:val="00292BA4"/>
    <w:rsid w:val="00296873"/>
    <w:rsid w:val="002A0883"/>
    <w:rsid w:val="002A200D"/>
    <w:rsid w:val="002A6E71"/>
    <w:rsid w:val="002B61A4"/>
    <w:rsid w:val="002C0274"/>
    <w:rsid w:val="002C736C"/>
    <w:rsid w:val="002D2ECF"/>
    <w:rsid w:val="002D4D5D"/>
    <w:rsid w:val="002D670E"/>
    <w:rsid w:val="002E1B16"/>
    <w:rsid w:val="002E7243"/>
    <w:rsid w:val="002F0EB7"/>
    <w:rsid w:val="002F3DC9"/>
    <w:rsid w:val="002F58D7"/>
    <w:rsid w:val="002F5E3A"/>
    <w:rsid w:val="00303BAD"/>
    <w:rsid w:val="00315A3A"/>
    <w:rsid w:val="0032305A"/>
    <w:rsid w:val="00326CD5"/>
    <w:rsid w:val="00331C0B"/>
    <w:rsid w:val="00333943"/>
    <w:rsid w:val="00350BAA"/>
    <w:rsid w:val="003516F3"/>
    <w:rsid w:val="003528B5"/>
    <w:rsid w:val="003616C8"/>
    <w:rsid w:val="00367422"/>
    <w:rsid w:val="00370129"/>
    <w:rsid w:val="003751FA"/>
    <w:rsid w:val="00376927"/>
    <w:rsid w:val="00382DC1"/>
    <w:rsid w:val="003844A5"/>
    <w:rsid w:val="00385228"/>
    <w:rsid w:val="003869A0"/>
    <w:rsid w:val="00393A51"/>
    <w:rsid w:val="003A284B"/>
    <w:rsid w:val="003B0B39"/>
    <w:rsid w:val="003B690A"/>
    <w:rsid w:val="003C2C66"/>
    <w:rsid w:val="003E043E"/>
    <w:rsid w:val="003E25E5"/>
    <w:rsid w:val="003E387D"/>
    <w:rsid w:val="003E6515"/>
    <w:rsid w:val="004016BD"/>
    <w:rsid w:val="00402753"/>
    <w:rsid w:val="00405748"/>
    <w:rsid w:val="00410CF4"/>
    <w:rsid w:val="00413FB6"/>
    <w:rsid w:val="00414722"/>
    <w:rsid w:val="00414E31"/>
    <w:rsid w:val="00420BAB"/>
    <w:rsid w:val="004265BF"/>
    <w:rsid w:val="00426DA0"/>
    <w:rsid w:val="0043046B"/>
    <w:rsid w:val="00435121"/>
    <w:rsid w:val="00440386"/>
    <w:rsid w:val="00440A3A"/>
    <w:rsid w:val="00443741"/>
    <w:rsid w:val="00451B20"/>
    <w:rsid w:val="004525EE"/>
    <w:rsid w:val="0045747F"/>
    <w:rsid w:val="004605A6"/>
    <w:rsid w:val="004679CC"/>
    <w:rsid w:val="00481167"/>
    <w:rsid w:val="0048251B"/>
    <w:rsid w:val="0049035E"/>
    <w:rsid w:val="004950D1"/>
    <w:rsid w:val="004963AF"/>
    <w:rsid w:val="00496960"/>
    <w:rsid w:val="004977AA"/>
    <w:rsid w:val="004B6C77"/>
    <w:rsid w:val="004C73D2"/>
    <w:rsid w:val="004D06C2"/>
    <w:rsid w:val="004D2C58"/>
    <w:rsid w:val="004D5473"/>
    <w:rsid w:val="004E1024"/>
    <w:rsid w:val="004E2AE8"/>
    <w:rsid w:val="004F2530"/>
    <w:rsid w:val="004F5A56"/>
    <w:rsid w:val="004F740C"/>
    <w:rsid w:val="00516CA5"/>
    <w:rsid w:val="0051721D"/>
    <w:rsid w:val="00534C52"/>
    <w:rsid w:val="00535209"/>
    <w:rsid w:val="005515B0"/>
    <w:rsid w:val="005635AB"/>
    <w:rsid w:val="005642D0"/>
    <w:rsid w:val="00566DE2"/>
    <w:rsid w:val="00574C6D"/>
    <w:rsid w:val="0057726C"/>
    <w:rsid w:val="0058245E"/>
    <w:rsid w:val="005A5891"/>
    <w:rsid w:val="005B2C7C"/>
    <w:rsid w:val="005C28EA"/>
    <w:rsid w:val="005C6F35"/>
    <w:rsid w:val="005D09FB"/>
    <w:rsid w:val="005D358D"/>
    <w:rsid w:val="005E44A8"/>
    <w:rsid w:val="005F4476"/>
    <w:rsid w:val="005F7CBC"/>
    <w:rsid w:val="00602A01"/>
    <w:rsid w:val="006110C9"/>
    <w:rsid w:val="0061115B"/>
    <w:rsid w:val="006154E7"/>
    <w:rsid w:val="00617EA5"/>
    <w:rsid w:val="00621567"/>
    <w:rsid w:val="0062218F"/>
    <w:rsid w:val="006342EB"/>
    <w:rsid w:val="0063750C"/>
    <w:rsid w:val="00637DF7"/>
    <w:rsid w:val="00642BDD"/>
    <w:rsid w:val="0064559B"/>
    <w:rsid w:val="0065745D"/>
    <w:rsid w:val="00662EAE"/>
    <w:rsid w:val="0067279B"/>
    <w:rsid w:val="00673D19"/>
    <w:rsid w:val="00677E76"/>
    <w:rsid w:val="006816FE"/>
    <w:rsid w:val="006A22BD"/>
    <w:rsid w:val="006A36DB"/>
    <w:rsid w:val="006A7056"/>
    <w:rsid w:val="006A779C"/>
    <w:rsid w:val="006B727A"/>
    <w:rsid w:val="006D158D"/>
    <w:rsid w:val="006D1D67"/>
    <w:rsid w:val="006D4B9B"/>
    <w:rsid w:val="006E15DF"/>
    <w:rsid w:val="006E4CA0"/>
    <w:rsid w:val="006E59A0"/>
    <w:rsid w:val="006F131E"/>
    <w:rsid w:val="007029F6"/>
    <w:rsid w:val="00704B16"/>
    <w:rsid w:val="00705520"/>
    <w:rsid w:val="00705547"/>
    <w:rsid w:val="00713803"/>
    <w:rsid w:val="00724267"/>
    <w:rsid w:val="007320BE"/>
    <w:rsid w:val="00745206"/>
    <w:rsid w:val="007467DB"/>
    <w:rsid w:val="007502E2"/>
    <w:rsid w:val="00751A55"/>
    <w:rsid w:val="00756891"/>
    <w:rsid w:val="00757C42"/>
    <w:rsid w:val="00765A94"/>
    <w:rsid w:val="007670B9"/>
    <w:rsid w:val="007740CA"/>
    <w:rsid w:val="0077672E"/>
    <w:rsid w:val="007845B9"/>
    <w:rsid w:val="00787726"/>
    <w:rsid w:val="0079791A"/>
    <w:rsid w:val="007B7F2D"/>
    <w:rsid w:val="007C4739"/>
    <w:rsid w:val="007D2BDE"/>
    <w:rsid w:val="007E07CD"/>
    <w:rsid w:val="007E17F2"/>
    <w:rsid w:val="007E1974"/>
    <w:rsid w:val="007E1E4E"/>
    <w:rsid w:val="007E5641"/>
    <w:rsid w:val="007F1800"/>
    <w:rsid w:val="007F6ABF"/>
    <w:rsid w:val="007F6E7C"/>
    <w:rsid w:val="007F7245"/>
    <w:rsid w:val="0080752A"/>
    <w:rsid w:val="008107EE"/>
    <w:rsid w:val="00811281"/>
    <w:rsid w:val="0082298F"/>
    <w:rsid w:val="008270D4"/>
    <w:rsid w:val="008278D8"/>
    <w:rsid w:val="008360E8"/>
    <w:rsid w:val="00840ED6"/>
    <w:rsid w:val="0084329A"/>
    <w:rsid w:val="00846AC8"/>
    <w:rsid w:val="0085226B"/>
    <w:rsid w:val="00860283"/>
    <w:rsid w:val="008619E3"/>
    <w:rsid w:val="00862647"/>
    <w:rsid w:val="00863D1D"/>
    <w:rsid w:val="0086791A"/>
    <w:rsid w:val="0087032A"/>
    <w:rsid w:val="00870A20"/>
    <w:rsid w:val="00883882"/>
    <w:rsid w:val="00884A4C"/>
    <w:rsid w:val="008A1A04"/>
    <w:rsid w:val="008A2BED"/>
    <w:rsid w:val="008A40A3"/>
    <w:rsid w:val="008C6057"/>
    <w:rsid w:val="008C714C"/>
    <w:rsid w:val="008D118C"/>
    <w:rsid w:val="008D1EA2"/>
    <w:rsid w:val="008E2D68"/>
    <w:rsid w:val="008F0C4A"/>
    <w:rsid w:val="008F1EAC"/>
    <w:rsid w:val="008F7E8C"/>
    <w:rsid w:val="00901E1D"/>
    <w:rsid w:val="009043F4"/>
    <w:rsid w:val="009315B5"/>
    <w:rsid w:val="0093267F"/>
    <w:rsid w:val="0093354C"/>
    <w:rsid w:val="00943AE3"/>
    <w:rsid w:val="00952ED4"/>
    <w:rsid w:val="00955BDF"/>
    <w:rsid w:val="00967BE3"/>
    <w:rsid w:val="00975034"/>
    <w:rsid w:val="009814F0"/>
    <w:rsid w:val="00985431"/>
    <w:rsid w:val="0099079C"/>
    <w:rsid w:val="0099542F"/>
    <w:rsid w:val="009A4610"/>
    <w:rsid w:val="009A55EB"/>
    <w:rsid w:val="009B474C"/>
    <w:rsid w:val="009B5DA7"/>
    <w:rsid w:val="009B693B"/>
    <w:rsid w:val="009C1FA3"/>
    <w:rsid w:val="009D4FC9"/>
    <w:rsid w:val="009E62BB"/>
    <w:rsid w:val="009F0FE1"/>
    <w:rsid w:val="009F203D"/>
    <w:rsid w:val="009F4E35"/>
    <w:rsid w:val="009F5FDD"/>
    <w:rsid w:val="00A01544"/>
    <w:rsid w:val="00A060EA"/>
    <w:rsid w:val="00A25967"/>
    <w:rsid w:val="00A25DB7"/>
    <w:rsid w:val="00A31C4A"/>
    <w:rsid w:val="00A31FE5"/>
    <w:rsid w:val="00A33452"/>
    <w:rsid w:val="00A41D2E"/>
    <w:rsid w:val="00A41F8B"/>
    <w:rsid w:val="00A4437F"/>
    <w:rsid w:val="00A60E1F"/>
    <w:rsid w:val="00A60E8F"/>
    <w:rsid w:val="00A66FDB"/>
    <w:rsid w:val="00A80851"/>
    <w:rsid w:val="00A86BFF"/>
    <w:rsid w:val="00A974AE"/>
    <w:rsid w:val="00AA0E0F"/>
    <w:rsid w:val="00AA6843"/>
    <w:rsid w:val="00AA6EA8"/>
    <w:rsid w:val="00AC1650"/>
    <w:rsid w:val="00AC743C"/>
    <w:rsid w:val="00AC7AD6"/>
    <w:rsid w:val="00AD0A0A"/>
    <w:rsid w:val="00AD0DAD"/>
    <w:rsid w:val="00AD661D"/>
    <w:rsid w:val="00AE1666"/>
    <w:rsid w:val="00AE1868"/>
    <w:rsid w:val="00AE75A9"/>
    <w:rsid w:val="00AF5794"/>
    <w:rsid w:val="00B00DB1"/>
    <w:rsid w:val="00B12629"/>
    <w:rsid w:val="00B14973"/>
    <w:rsid w:val="00B21776"/>
    <w:rsid w:val="00B22647"/>
    <w:rsid w:val="00B25252"/>
    <w:rsid w:val="00B27F71"/>
    <w:rsid w:val="00B30EC0"/>
    <w:rsid w:val="00B33611"/>
    <w:rsid w:val="00B36D84"/>
    <w:rsid w:val="00B44DF6"/>
    <w:rsid w:val="00B45C7D"/>
    <w:rsid w:val="00B46FB4"/>
    <w:rsid w:val="00B47EE4"/>
    <w:rsid w:val="00B523AE"/>
    <w:rsid w:val="00B5636F"/>
    <w:rsid w:val="00B56B46"/>
    <w:rsid w:val="00B65874"/>
    <w:rsid w:val="00B72008"/>
    <w:rsid w:val="00B8353A"/>
    <w:rsid w:val="00B91D21"/>
    <w:rsid w:val="00B92C3C"/>
    <w:rsid w:val="00BA11AB"/>
    <w:rsid w:val="00BA2947"/>
    <w:rsid w:val="00BC0DA5"/>
    <w:rsid w:val="00BC5E51"/>
    <w:rsid w:val="00BD52F3"/>
    <w:rsid w:val="00BD570C"/>
    <w:rsid w:val="00BD6B76"/>
    <w:rsid w:val="00BE0728"/>
    <w:rsid w:val="00BE0B51"/>
    <w:rsid w:val="00BE3677"/>
    <w:rsid w:val="00C0229A"/>
    <w:rsid w:val="00C05062"/>
    <w:rsid w:val="00C0538C"/>
    <w:rsid w:val="00C10231"/>
    <w:rsid w:val="00C1077A"/>
    <w:rsid w:val="00C1541E"/>
    <w:rsid w:val="00C24C37"/>
    <w:rsid w:val="00C2512B"/>
    <w:rsid w:val="00C32E3C"/>
    <w:rsid w:val="00C32F55"/>
    <w:rsid w:val="00C37BA7"/>
    <w:rsid w:val="00C506C6"/>
    <w:rsid w:val="00C577C8"/>
    <w:rsid w:val="00C63E0F"/>
    <w:rsid w:val="00C66565"/>
    <w:rsid w:val="00C704C8"/>
    <w:rsid w:val="00C75ACD"/>
    <w:rsid w:val="00C82A93"/>
    <w:rsid w:val="00C843FC"/>
    <w:rsid w:val="00C864F6"/>
    <w:rsid w:val="00C92032"/>
    <w:rsid w:val="00C950B8"/>
    <w:rsid w:val="00C95666"/>
    <w:rsid w:val="00C95795"/>
    <w:rsid w:val="00CA09F5"/>
    <w:rsid w:val="00CA7CFA"/>
    <w:rsid w:val="00CB183B"/>
    <w:rsid w:val="00CB625F"/>
    <w:rsid w:val="00CE16B8"/>
    <w:rsid w:val="00D145BA"/>
    <w:rsid w:val="00D146CB"/>
    <w:rsid w:val="00D25698"/>
    <w:rsid w:val="00D31F7E"/>
    <w:rsid w:val="00D36952"/>
    <w:rsid w:val="00D37965"/>
    <w:rsid w:val="00D41590"/>
    <w:rsid w:val="00D43073"/>
    <w:rsid w:val="00D520CC"/>
    <w:rsid w:val="00D60A91"/>
    <w:rsid w:val="00D76002"/>
    <w:rsid w:val="00D764E0"/>
    <w:rsid w:val="00D81DC9"/>
    <w:rsid w:val="00D82ED2"/>
    <w:rsid w:val="00DA6570"/>
    <w:rsid w:val="00DA6F3E"/>
    <w:rsid w:val="00DA7AB1"/>
    <w:rsid w:val="00DB00F6"/>
    <w:rsid w:val="00DC05D2"/>
    <w:rsid w:val="00DC53AA"/>
    <w:rsid w:val="00DD1B1C"/>
    <w:rsid w:val="00DF53F7"/>
    <w:rsid w:val="00E01C08"/>
    <w:rsid w:val="00E15BC3"/>
    <w:rsid w:val="00E20D9B"/>
    <w:rsid w:val="00E21F68"/>
    <w:rsid w:val="00E3603F"/>
    <w:rsid w:val="00E45B1D"/>
    <w:rsid w:val="00E50D24"/>
    <w:rsid w:val="00E70118"/>
    <w:rsid w:val="00E77206"/>
    <w:rsid w:val="00E82F37"/>
    <w:rsid w:val="00E942C2"/>
    <w:rsid w:val="00EA5E14"/>
    <w:rsid w:val="00EA7EAC"/>
    <w:rsid w:val="00EB0126"/>
    <w:rsid w:val="00EB30EE"/>
    <w:rsid w:val="00EC6913"/>
    <w:rsid w:val="00ED0353"/>
    <w:rsid w:val="00EE205C"/>
    <w:rsid w:val="00EF36CF"/>
    <w:rsid w:val="00EF641D"/>
    <w:rsid w:val="00F0474E"/>
    <w:rsid w:val="00F07354"/>
    <w:rsid w:val="00F13E62"/>
    <w:rsid w:val="00F16254"/>
    <w:rsid w:val="00F237A6"/>
    <w:rsid w:val="00F44F79"/>
    <w:rsid w:val="00F5487C"/>
    <w:rsid w:val="00F57EE4"/>
    <w:rsid w:val="00F64384"/>
    <w:rsid w:val="00F76618"/>
    <w:rsid w:val="00F76A07"/>
    <w:rsid w:val="00F77E99"/>
    <w:rsid w:val="00F933A5"/>
    <w:rsid w:val="00F961E8"/>
    <w:rsid w:val="00FB70C3"/>
    <w:rsid w:val="00FC2AF6"/>
    <w:rsid w:val="00FC4C84"/>
    <w:rsid w:val="00FC78D7"/>
    <w:rsid w:val="00FE69EF"/>
    <w:rsid w:val="00FF71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A944"/>
  <w15:docId w15:val="{82E0093F-0F19-4ABA-8B9A-2ADDDB60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0D2"/>
    <w:pPr>
      <w:keepNext/>
      <w:keepLines/>
      <w:spacing w:after="0" w:line="240" w:lineRule="auto"/>
      <w:jc w:val="both"/>
      <w:outlineLvl w:val="0"/>
    </w:pPr>
    <w:rPr>
      <w:rFonts w:ascii="Helvetica Neue" w:eastAsia="Helvetica Neue" w:hAnsi="Helvetica Neue" w:cs="Helvetica Neue"/>
      <w:b/>
      <w:color w:val="000000"/>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ListParagraph">
    <w:name w:val="List Paragraph"/>
    <w:basedOn w:val="Normal"/>
    <w:link w:val="ListParagraphChar"/>
    <w:uiPriority w:val="34"/>
    <w:qFormat/>
    <w:rsid w:val="007F6ABF"/>
    <w:pPr>
      <w:spacing w:before="120" w:after="320"/>
      <w:ind w:left="720"/>
    </w:pPr>
  </w:style>
  <w:style w:type="character" w:customStyle="1" w:styleId="Heading1Char">
    <w:name w:val="Heading 1 Char"/>
    <w:basedOn w:val="DefaultParagraphFont"/>
    <w:link w:val="Heading1"/>
    <w:rsid w:val="008C50D2"/>
    <w:rPr>
      <w:rFonts w:ascii="Helvetica Neue" w:eastAsia="Helvetica Neue" w:hAnsi="Helvetica Neue" w:cs="Helvetica Neue"/>
      <w:b/>
      <w:color w:val="000000"/>
      <w:sz w:val="24"/>
      <w:szCs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1">
    <w:name w:val="H1"/>
    <w:basedOn w:val="ListParagraph"/>
    <w:link w:val="H1Char"/>
    <w:qFormat/>
    <w:rsid w:val="002A200D"/>
    <w:pPr>
      <w:numPr>
        <w:numId w:val="7"/>
      </w:numPr>
      <w:ind w:hanging="720"/>
    </w:pPr>
    <w:rPr>
      <w:rFonts w:ascii="Arial" w:hAnsi="Arial" w:cs="Arial"/>
      <w:b/>
      <w:bCs/>
      <w:sz w:val="24"/>
      <w:szCs w:val="24"/>
    </w:rPr>
  </w:style>
  <w:style w:type="paragraph" w:customStyle="1" w:styleId="H2">
    <w:name w:val="H2"/>
    <w:basedOn w:val="ListParagraph"/>
    <w:link w:val="H2Char"/>
    <w:qFormat/>
    <w:rsid w:val="002A200D"/>
    <w:pPr>
      <w:numPr>
        <w:ilvl w:val="1"/>
        <w:numId w:val="7"/>
      </w:numPr>
      <w:spacing w:before="240"/>
      <w:ind w:left="709" w:hanging="709"/>
      <w:jc w:val="both"/>
    </w:pPr>
    <w:rPr>
      <w:rFonts w:ascii="Arial" w:hAnsi="Arial" w:cs="Arial"/>
      <w:sz w:val="24"/>
      <w:szCs w:val="24"/>
    </w:rPr>
  </w:style>
  <w:style w:type="character" w:customStyle="1" w:styleId="ListParagraphChar">
    <w:name w:val="List Paragraph Char"/>
    <w:basedOn w:val="DefaultParagraphFont"/>
    <w:link w:val="ListParagraph"/>
    <w:uiPriority w:val="34"/>
    <w:rsid w:val="002A200D"/>
  </w:style>
  <w:style w:type="character" w:customStyle="1" w:styleId="H1Char">
    <w:name w:val="H1 Char"/>
    <w:basedOn w:val="ListParagraphChar"/>
    <w:link w:val="H1"/>
    <w:rsid w:val="002A200D"/>
    <w:rPr>
      <w:rFonts w:ascii="Arial" w:hAnsi="Arial" w:cs="Arial"/>
      <w:b/>
      <w:bCs/>
      <w:sz w:val="24"/>
      <w:szCs w:val="24"/>
    </w:rPr>
  </w:style>
  <w:style w:type="paragraph" w:customStyle="1" w:styleId="H3">
    <w:name w:val="H3"/>
    <w:basedOn w:val="ListParagraph"/>
    <w:link w:val="H3Char"/>
    <w:qFormat/>
    <w:rsid w:val="002A200D"/>
    <w:pPr>
      <w:numPr>
        <w:ilvl w:val="2"/>
        <w:numId w:val="7"/>
      </w:numPr>
      <w:ind w:left="2268" w:hanging="992"/>
      <w:jc w:val="both"/>
    </w:pPr>
    <w:rPr>
      <w:rFonts w:ascii="Arial" w:eastAsia="Arial" w:hAnsi="Arial" w:cs="Arial"/>
      <w:sz w:val="24"/>
      <w:szCs w:val="24"/>
    </w:rPr>
  </w:style>
  <w:style w:type="character" w:customStyle="1" w:styleId="H2Char">
    <w:name w:val="H2 Char"/>
    <w:basedOn w:val="ListParagraphChar"/>
    <w:link w:val="H2"/>
    <w:rsid w:val="002A200D"/>
    <w:rPr>
      <w:rFonts w:ascii="Arial" w:hAnsi="Arial" w:cs="Arial"/>
      <w:sz w:val="24"/>
      <w:szCs w:val="24"/>
    </w:rPr>
  </w:style>
  <w:style w:type="character" w:customStyle="1" w:styleId="H3Char">
    <w:name w:val="H3 Char"/>
    <w:basedOn w:val="ListParagraphChar"/>
    <w:link w:val="H3"/>
    <w:rsid w:val="002A200D"/>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 U K M A T T E R S ! 1 1 5 5 8 7 1 6 8 . 1 < / d o c u m e n t i d >  
     < s e n d e r i d > P R E S T O A < / s e n d e r i d >  
     < s e n d e r e m a i l > A L E X A N D E R . P R E S T O N @ D L A P I P E R . C O M < / s e n d e r e m a i l >  
     < l a s t m o d i f i e d > 2 0 2 2 - 0 1 - 0 6 T 1 0 : 3 2 : 0 0 . 0 0 0 0 0 0 0 + 0 0 : 0 0 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F220435DD1B5498242DAEA51AE7D95" ma:contentTypeVersion="37" ma:contentTypeDescription="Create a new document." ma:contentTypeScope="" ma:versionID="95da2e6cfbf8cc02a292f7831a7f6af4">
  <xsd:schema xmlns:xsd="http://www.w3.org/2001/XMLSchema" xmlns:xs="http://www.w3.org/2001/XMLSchema" xmlns:p="http://schemas.microsoft.com/office/2006/metadata/properties" xmlns:ns2="d6cca4e3-0c01-4ed5-a99e-5afe6db10b4e" xmlns:ns3="213b9493-b12e-4eb0-8e8e-89d78799f7d1" targetNamespace="http://schemas.microsoft.com/office/2006/metadata/properties" ma:root="true" ma:fieldsID="64d7900db2dfe5782cfd0eb3b4969998" ns2:_="" ns3:_="">
    <xsd:import namespace="d6cca4e3-0c01-4ed5-a99e-5afe6db10b4e"/>
    <xsd:import namespace="213b9493-b12e-4eb0-8e8e-89d78799f7d1"/>
    <xsd:element name="properties">
      <xsd:complexType>
        <xsd:sequence>
          <xsd:element name="documentManagement">
            <xsd:complexType>
              <xsd:all>
                <xsd:element ref="ns2:Document_x0020_Owner"/>
                <xsd:element ref="ns2:Document_x0020_Approver_x0028_s_x0029_" minOccurs="0"/>
                <xsd:element ref="ns2:Review_x0020_Date" minOccurs="0"/>
                <xsd:element ref="ns2:Comments" minOccurs="0"/>
                <xsd:element ref="ns2:MediaServiceMetadata" minOccurs="0"/>
                <xsd:element ref="ns2:MediaServiceFastMetadata" minOccurs="0"/>
                <xsd:element ref="ns3:SharedWithUsers" minOccurs="0"/>
                <xsd:element ref="ns3:SharedWithDetails" minOccurs="0"/>
                <xsd:element ref="ns2:Description0" minOccurs="0"/>
                <xsd:element ref="ns2:Quality_x0020_Management_x0020_Rating" minOccurs="0"/>
                <xsd:element ref="ns2:Document_x0020_Type" minOccurs="0"/>
                <xsd:element ref="ns2:Lifecycle_x0020_Step_x0020_" minOccurs="0"/>
                <xsd:element ref="ns2:Task_x0020_within_x0020_Lifecycle_x0020_ste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ca4e3-0c01-4ed5-a99e-5afe6db10b4e" elementFormDefault="qualified">
    <xsd:import namespace="http://schemas.microsoft.com/office/2006/documentManagement/types"/>
    <xsd:import namespace="http://schemas.microsoft.com/office/infopath/2007/PartnerControls"/>
    <xsd:element name="Document_x0020_Owner" ma:index="5" ma:displayName="Document Owner" ma:list="UserInfo" ma:SearchPeopleOnly="false" ma:SharePointGroup="0" ma:internalName="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Approver_x0028_s_x0029_" ma:index="6" nillable="true" ma:displayName="Document Approver(s)" ma:list="UserInfo" ma:SearchPeopleOnly="false" ma:SharePointGroup="0" ma:internalName="Document_x0020_Approver_x0028_s_x0029_"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7" nillable="true" ma:displayName="Last Review Date" ma:description="The date that the document was last reviewed" ma:format="DateOnly" ma:internalName="Review_x0020_Date" ma:readOnly="false">
      <xsd:simpleType>
        <xsd:restriction base="dms:DateTime"/>
      </xsd:simpleType>
    </xsd:element>
    <xsd:element name="Comments" ma:index="8" nillable="true" ma:displayName="Document status comments" ma:description="Add comments that relate to the quality management of&#10; the document." ma:internalName="Comments"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escription0" ma:index="13" nillable="true" ma:displayName="Document Description" ma:description="Enter a description of this document" ma:internalName="Description0" ma:readOnly="false">
      <xsd:simpleType>
        <xsd:restriction base="dms:Note">
          <xsd:maxLength value="255"/>
        </xsd:restriction>
      </xsd:simpleType>
    </xsd:element>
    <xsd:element name="Quality_x0020_Management_x0020_Rating" ma:index="14" nillable="true" ma:displayName="Quality Management Status" ma:description="Enter the status of the document&#10;" ma:format="Dropdown" ma:internalName="Quality_x0020_Management_x0020_Rating" ma:readOnly="false">
      <xsd:simpleType>
        <xsd:restriction base="dms:Choice">
          <xsd:enumeration value="Document is current, has an owner and a future review date"/>
          <xsd:enumeration value="Document is current"/>
          <xsd:enumeration value="Document requires amendments"/>
          <xsd:enumeration value="Document is out of date"/>
          <xsd:enumeration value="Document has no owner"/>
          <xsd:enumeration value="Document does not exist"/>
          <xsd:enumeration value="Document not assessed"/>
        </xsd:restriction>
      </xsd:simpleType>
    </xsd:element>
    <xsd:element name="Document_x0020_Type" ma:index="15" nillable="true" ma:displayName="Document Type" ma:description="Enter the type of document" ma:format="Dropdown" ma:internalName="Document_x0020_Type" ma:readOnly="false">
      <xsd:simpleType>
        <xsd:restriction base="dms:Choice">
          <xsd:enumeration value="Meeting Template"/>
          <xsd:enumeration value="Contract Template"/>
          <xsd:enumeration value="Contract Management Template"/>
          <xsd:enumeration value="Other Template"/>
          <xsd:enumeration value="Process Description"/>
          <xsd:enumeration value="Procurement Policy Note"/>
          <xsd:enumeration value="Detailed System User Guide"/>
          <xsd:enumeration value="Quick System User Guide"/>
          <xsd:enumeration value="Customer Guidance"/>
        </xsd:restriction>
      </xsd:simpleType>
    </xsd:element>
    <xsd:element name="Lifecycle_x0020_Step_x0020_" ma:index="17" nillable="true" ma:displayName="Lifecycle Step" ma:description="The step(s) of the commercial lifecycle that this document applies to" ma:internalName="Lifecycle_x0020_Step_x0020_" ma:readOnly="false">
      <xsd:complexType>
        <xsd:complexContent>
          <xsd:extension base="dms:MultiChoice">
            <xsd:sequence>
              <xsd:element name="Value" maxOccurs="unbounded" minOccurs="0" nillable="true">
                <xsd:simpleType>
                  <xsd:restriction base="dms:Choice">
                    <xsd:enumeration value="Full Lifecycle"/>
                    <xsd:enumeration value="Step 00: Managing the pipeline"/>
                    <xsd:enumeration value="Step 01: Understand Business Need and Base-lining"/>
                    <xsd:enumeration value="Step 02: Mobilise Commercial team"/>
                    <xsd:enumeration value="Step 03: Analyse options for sourcing in marketplace"/>
                    <xsd:enumeration value="Step 04: Engage market &amp; develop sourcing strategy"/>
                    <xsd:enumeration value="Step 05: Supplier Selection - Restricted &amp; Filtering only"/>
                    <xsd:enumeration value="Step 06: Manage competition"/>
                    <xsd:enumeration value="Step 07: Evaluate tenders"/>
                    <xsd:enumeration value="Step 08: Finalise contract"/>
                    <xsd:enumeration value="Step 09: Contract Management"/>
                    <xsd:enumeration value="Step 10: Exit / Renewal"/>
                    <xsd:enumeration value="Other / To be removed"/>
                  </xsd:restriction>
                </xsd:simpleType>
              </xsd:element>
            </xsd:sequence>
          </xsd:extension>
        </xsd:complexContent>
      </xsd:complexType>
    </xsd:element>
    <xsd:element name="Task_x0020_within_x0020_Lifecycle_x0020_step" ma:index="18" nillable="true" ma:displayName="Task within Lifecycle step" ma:description="Enter the task within the Lifecycle step" ma:format="Dropdown" ma:internalName="Task_x0020_within_x0020_Lifecycle_x0020_step" ma:readOnly="false">
      <xsd:simpleType>
        <xsd:union memberTypes="dms:Text">
          <xsd:simpleType>
            <xsd:restriction base="dms:Choice">
              <xsd:enumeration value="Choice 1"/>
              <xsd:enumeration value="Choice 2"/>
              <xsd:enumeration value="Choice 3"/>
            </xsd:restriction>
          </xsd:simpleType>
        </xsd:un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b9493-b12e-4eb0-8e8e-89d78799f7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GCBZ8Ln8FgfZ7/U6Q9VFMR2IwXw==">AMUW2mWuIuBUBzNUJC6NoKy8UwLrk8lEnHOPKnf0erh5HDsHwnnGSDmLVVVgeMur/6iGJkOj6JsMMT77KjeD4mFYYhugbHxwq2msJXjysNLqLDTaRf16EovVqMZUhFh5PDfGUiN05tQX6Sob4XpQcCsFCywvx53ovYIhy6LucZT2zPVcfjSq65Kckir5QtUJPp0J6wb97pi2US9OGTT05hlOIDEjldt2HNEjyuC/R/TyB4RhR49bHnYmPECnnE715nkENhsJOqO4zHRVPGxXCi9dJl9ac8GywPgtogZJLzpLqlbAiJZORL4li38L2xEyoJrG4XwbAnyP</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Comments xmlns="d6cca4e3-0c01-4ed5-a99e-5afe6db10b4e" xsi:nil="true"/>
    <Lifecycle_x0020_Step_x0020_ xmlns="d6cca4e3-0c01-4ed5-a99e-5afe6db10b4e" xsi:nil="true"/>
    <Quality_x0020_Management_x0020_Rating xmlns="d6cca4e3-0c01-4ed5-a99e-5afe6db10b4e" xsi:nil="true"/>
    <Description0 xmlns="d6cca4e3-0c01-4ed5-a99e-5afe6db10b4e" xsi:nil="true"/>
    <Review_x0020_Date xmlns="d6cca4e3-0c01-4ed5-a99e-5afe6db10b4e">2023-01-30T00:00:00+00:00</Review_x0020_Date>
    <Document_x0020_Owner xmlns="d6cca4e3-0c01-4ed5-a99e-5afe6db10b4e">
      <UserInfo>
        <DisplayName>WOOD, Elizabeth (NHS ENGLAND - X26)</DisplayName>
        <AccountId>140</AccountId>
        <AccountType/>
      </UserInfo>
    </Document_x0020_Owner>
    <Task_x0020_within_x0020_Lifecycle_x0020_step xmlns="d6cca4e3-0c01-4ed5-a99e-5afe6db10b4e" xsi:nil="true"/>
    <Document_x0020_Approver_x0028_s_x0029_ xmlns="d6cca4e3-0c01-4ed5-a99e-5afe6db10b4e">
      <UserInfo>
        <DisplayName>WOOD, Elizabeth (NHS ENGLAND - X26)</DisplayName>
        <AccountId>140</AccountId>
        <AccountType/>
      </UserInfo>
    </Document_x0020_Approver_x0028_s_x0029_>
    <Document_x0020_Type xmlns="d6cca4e3-0c01-4ed5-a99e-5afe6db10b4e"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57D37-27D4-4DE3-85FC-A05005E9F33B}">
  <ds:schemaRefs>
    <ds:schemaRef ds:uri="http://schemas.microsoft.com/sharepoint/v3/contenttype/forms"/>
  </ds:schemaRefs>
</ds:datastoreItem>
</file>

<file path=customXml/itemProps2.xml><?xml version="1.0" encoding="utf-8"?>
<ds:datastoreItem xmlns:ds="http://schemas.openxmlformats.org/officeDocument/2006/customXml" ds:itemID="{A60A9423-5A5B-437F-A730-BF9C0663F82B}">
  <ds:schemaRefs>
    <ds:schemaRef ds:uri="http://www.imanage.com/work/xmlschema"/>
  </ds:schemaRefs>
</ds:datastoreItem>
</file>

<file path=customXml/itemProps3.xml><?xml version="1.0" encoding="utf-8"?>
<ds:datastoreItem xmlns:ds="http://schemas.openxmlformats.org/officeDocument/2006/customXml" ds:itemID="{E2614BD9-80B0-4C1D-9B3C-ED2A414A4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ca4e3-0c01-4ed5-a99e-5afe6db10b4e"/>
    <ds:schemaRef ds:uri="213b9493-b12e-4eb0-8e8e-89d78799f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4A778F6-C17D-4FBD-B6FA-719BD787D853}">
  <ds:schemaRefs>
    <ds:schemaRef ds:uri="http://schemas.microsoft.com/office/2006/metadata/properties"/>
    <ds:schemaRef ds:uri="http://schemas.microsoft.com/office/infopath/2007/PartnerControls"/>
    <ds:schemaRef ds:uri="d6cca4e3-0c01-4ed5-a99e-5afe6db10b4e"/>
  </ds:schemaRefs>
</ds:datastoreItem>
</file>

<file path=customXml/itemProps6.xml><?xml version="1.0" encoding="utf-8"?>
<ds:datastoreItem xmlns:ds="http://schemas.openxmlformats.org/officeDocument/2006/customXml" ds:itemID="{FEB48CC9-BE27-43DB-948A-5B2FC026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3438</Words>
  <Characters>19602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Fisher</dc:creator>
  <cp:lastModifiedBy>Baljinder Sall</cp:lastModifiedBy>
  <cp:revision>6</cp:revision>
  <dcterms:created xsi:type="dcterms:W3CDTF">2024-05-16T13:40:00Z</dcterms:created>
  <dcterms:modified xsi:type="dcterms:W3CDTF">2024-05-17T11:19:00Z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0x0101007CF220435DD1B5498242DAEA51AE7D95</vt:lpwstr>
  </property>
  <property fmtid="{D5CDD505-2E9C-101B-9397-08002B2CF9AE}" pid="3" name="gCurrentVersion">
    <vt:lpwstr>17 November 2017 D1V5</vt:lpwstr>
  </property>
  <property fmtid="{D5CDD505-2E9C-101B-9397-08002B2CF9AE}" pid="4" name="Plato EditorId">
    <vt:lpwstr>480f071f-7e0f-4153-a5e3-4f5a78535a4f</vt:lpwstr>
  </property>
  <property fmtid="{D5CDD505-2E9C-101B-9397-08002B2CF9AE}" pid="5" name="TaxKeyword">
    <vt:lpwstr/>
  </property>
  <property fmtid="{D5CDD505-2E9C-101B-9397-08002B2CF9AE}" pid="6" name="_dlc_DocIdItemGuid">
    <vt:lpwstr>0a8bfc71-0268-4b2d-a04e-65077d3217d1</vt:lpwstr>
  </property>
  <property fmtid="{D5CDD505-2E9C-101B-9397-08002B2CF9AE}" pid="7" name="_ExtendedDescription">
    <vt:lpwstr/>
  </property>
</Properties>
</file>