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6F0" w:rsidRDefault="00361382">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rsidR="005026F0" w:rsidRDefault="005026F0">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rsidR="005026F0" w:rsidRDefault="00361382">
      <w:pPr>
        <w:spacing w:after="200" w:line="276" w:lineRule="auto"/>
        <w:jc w:val="left"/>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Guidance Note</w:t>
      </w:r>
      <w:r>
        <w:rPr>
          <w:rFonts w:ascii="Arial" w:eastAsia="Arial" w:hAnsi="Arial" w:cs="Arial"/>
          <w:sz w:val="24"/>
          <w:szCs w:val="24"/>
        </w:rPr>
        <w:t>: This Schedule should be used to show further detailed pricing information (including Supplier Staff rate cards for each Supplier Staff jurisdiction where work is undertaken in accordance with the applicable pricing mechanism for each Service provided), in addition to the pricing set out in the Order Form]</w:t>
      </w:r>
    </w:p>
    <w:p w:rsidR="005026F0" w:rsidRDefault="00361382">
      <w:pPr>
        <w:numPr>
          <w:ilvl w:val="0"/>
          <w:numId w:val="1"/>
        </w:numPr>
        <w:spacing w:after="200" w:line="276" w:lineRule="auto"/>
        <w:jc w:val="left"/>
        <w:rPr>
          <w:rFonts w:ascii="Arial" w:eastAsia="Arial" w:hAnsi="Arial" w:cs="Arial"/>
          <w:b/>
          <w:sz w:val="24"/>
          <w:szCs w:val="24"/>
        </w:rPr>
      </w:pPr>
      <w:r>
        <w:rPr>
          <w:rFonts w:ascii="Arial" w:eastAsia="Arial" w:hAnsi="Arial" w:cs="Arial"/>
          <w:b/>
          <w:sz w:val="24"/>
          <w:szCs w:val="24"/>
        </w:rPr>
        <w:t>Call-Off Contract Charges</w:t>
      </w:r>
    </w:p>
    <w:p w:rsidR="005026F0" w:rsidRDefault="00361382">
      <w:pPr>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The Supplier shall warrant that:</w:t>
      </w:r>
    </w:p>
    <w:p w:rsidR="00AD659F" w:rsidRPr="00AD659F" w:rsidRDefault="00AD659F">
      <w:pPr>
        <w:numPr>
          <w:ilvl w:val="2"/>
          <w:numId w:val="1"/>
        </w:numPr>
        <w:spacing w:after="200" w:line="276" w:lineRule="auto"/>
        <w:jc w:val="left"/>
        <w:rPr>
          <w:rFonts w:ascii="Arial" w:eastAsia="Arial" w:hAnsi="Arial" w:cs="Arial"/>
          <w:sz w:val="24"/>
          <w:szCs w:val="24"/>
        </w:rPr>
      </w:pPr>
      <w:r>
        <w:rPr>
          <w:rFonts w:ascii="Arial" w:hAnsi="Arial" w:cs="Arial"/>
          <w:color w:val="202124"/>
          <w:sz w:val="24"/>
          <w:szCs w:val="24"/>
          <w:shd w:val="clear" w:color="auto" w:fill="FFFFFF"/>
        </w:rPr>
        <w:t>t</w:t>
      </w:r>
      <w:r w:rsidRPr="00AD659F">
        <w:rPr>
          <w:rFonts w:ascii="Arial" w:hAnsi="Arial" w:cs="Arial"/>
          <w:color w:val="202124"/>
          <w:sz w:val="24"/>
          <w:szCs w:val="24"/>
          <w:shd w:val="clear" w:color="auto" w:fill="FFFFFF"/>
        </w:rPr>
        <w:t>he Supplier shall provide as part of the Further Competition Procedure, its pricing for the Deliverables is in accordance with the Buyer’s Statement of Requirements</w:t>
      </w:r>
      <w:r>
        <w:rPr>
          <w:rFonts w:ascii="Arial" w:hAnsi="Arial" w:cs="Arial"/>
          <w:color w:val="202124"/>
          <w:sz w:val="24"/>
          <w:szCs w:val="24"/>
          <w:shd w:val="clear" w:color="auto" w:fill="FFFFFF"/>
        </w:rPr>
        <w:t>.</w:t>
      </w:r>
    </w:p>
    <w:p w:rsidR="005026F0" w:rsidRDefault="00361382">
      <w:pPr>
        <w:numPr>
          <w:ilvl w:val="2"/>
          <w:numId w:val="1"/>
        </w:numPr>
        <w:spacing w:after="200" w:line="276" w:lineRule="auto"/>
        <w:jc w:val="left"/>
        <w:rPr>
          <w:rFonts w:ascii="Arial" w:eastAsia="Arial" w:hAnsi="Arial" w:cs="Arial"/>
          <w:sz w:val="24"/>
          <w:szCs w:val="24"/>
        </w:rPr>
      </w:pPr>
      <w:r>
        <w:rPr>
          <w:rFonts w:ascii="Arial" w:eastAsia="Arial" w:hAnsi="Arial" w:cs="Arial"/>
          <w:sz w:val="24"/>
          <w:szCs w:val="24"/>
        </w:rPr>
        <w:t>for each individual Statement of Work (SOW), the applicable Charges shall be calculated in accordance with the Pricing Mechanisms detailed in the Order Form using all of the following:</w:t>
      </w:r>
    </w:p>
    <w:p w:rsidR="005026F0" w:rsidRDefault="00361382">
      <w:pPr>
        <w:numPr>
          <w:ilvl w:val="0"/>
          <w:numId w:val="2"/>
        </w:numPr>
        <w:spacing w:after="200" w:line="276" w:lineRule="auto"/>
        <w:jc w:val="left"/>
        <w:rPr>
          <w:rFonts w:ascii="Arial" w:eastAsia="Arial" w:hAnsi="Arial" w:cs="Arial"/>
          <w:sz w:val="24"/>
          <w:szCs w:val="24"/>
        </w:rPr>
      </w:pPr>
      <w:r>
        <w:rPr>
          <w:rFonts w:ascii="Arial" w:eastAsia="Arial" w:hAnsi="Arial" w:cs="Arial"/>
          <w:sz w:val="24"/>
          <w:szCs w:val="24"/>
        </w:rPr>
        <w:t>the agreed rates for Supplier Staff and/or facilities (which are exclusive of any applicable expenses and VAT) incorporated into the Call-Off Contract; and</w:t>
      </w:r>
    </w:p>
    <w:p w:rsidR="005026F0" w:rsidRDefault="00361382">
      <w:pPr>
        <w:numPr>
          <w:ilvl w:val="0"/>
          <w:numId w:val="2"/>
        </w:numPr>
        <w:spacing w:after="200" w:line="276" w:lineRule="auto"/>
        <w:jc w:val="left"/>
        <w:rPr>
          <w:rFonts w:ascii="Arial" w:eastAsia="Arial" w:hAnsi="Arial" w:cs="Arial"/>
          <w:sz w:val="24"/>
          <w:szCs w:val="24"/>
        </w:rPr>
      </w:pPr>
      <w:r>
        <w:rPr>
          <w:rFonts w:ascii="Arial" w:eastAsia="Arial" w:hAnsi="Arial" w:cs="Arial"/>
          <w:sz w:val="24"/>
          <w:szCs w:val="24"/>
        </w:rPr>
        <w:t>the number of Work Days, or pro rata portion of a Work Day (in the format detailed in Paragraph (c) below), that Supplier Staff work solely to provide the Deliverables and/or the provision of facilities solely to be used for the Buyer’s stated purposes of providing the Deliverables and to meet the tasks sets out in the SOW between the SOW Start Date and SOW End Date; and</w:t>
      </w:r>
    </w:p>
    <w:p w:rsidR="005026F0" w:rsidRDefault="00361382">
      <w:pPr>
        <w:numPr>
          <w:ilvl w:val="0"/>
          <w:numId w:val="2"/>
        </w:numPr>
        <w:spacing w:after="200" w:line="276" w:lineRule="auto"/>
        <w:jc w:val="left"/>
        <w:rPr>
          <w:rFonts w:ascii="Arial" w:eastAsia="Arial" w:hAnsi="Arial" w:cs="Arial"/>
          <w:sz w:val="24"/>
          <w:szCs w:val="24"/>
        </w:rPr>
      </w:pPr>
      <w:bookmarkStart w:id="0" w:name="_heading=h.30j0zll" w:colFirst="0" w:colLast="0"/>
      <w:bookmarkEnd w:id="0"/>
      <w:r>
        <w:rPr>
          <w:rFonts w:ascii="Arial" w:eastAsia="Arial" w:hAnsi="Arial" w:cs="Arial"/>
          <w:color w:val="000000"/>
          <w:sz w:val="24"/>
          <w:szCs w:val="24"/>
        </w:rPr>
        <w:t>in the format and applying the Pricing Mechanism, including details of any discount structures, incentivisation or gainshare, specified by the Buyer in its Statement of Requirements. The Buyer may request that the Supplier provide a breakdown of how the total price was calculated and provide copies of supporting documentation. The Supplier must provide a cost breakdown in the format and to the timetable requested by the Buyer, and should the Supplier fail to do so, the Buyer may reject the Suppliers bid without further consideration and the Supplier shall take no further part in that Further Competition Procedure.</w:t>
      </w:r>
    </w:p>
    <w:p w:rsidR="005026F0" w:rsidRDefault="00361382">
      <w:pPr>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Further to Paragraph 1.2.5 (a) of Framework Schedule 3 (Framework Pricing), the Supplier will provide a detailed b</w:t>
      </w:r>
      <w:bookmarkStart w:id="1" w:name="_GoBack"/>
      <w:bookmarkEnd w:id="1"/>
      <w:r>
        <w:rPr>
          <w:rFonts w:ascii="Arial" w:eastAsia="Arial" w:hAnsi="Arial" w:cs="Arial"/>
          <w:sz w:val="24"/>
          <w:szCs w:val="24"/>
        </w:rPr>
        <w:t>reakdown of its Charges for the Deliverables in sufficient detail to enable the Buyer to verify the accuracy of any invoice submitted.</w:t>
      </w:r>
    </w:p>
    <w:p w:rsidR="005026F0" w:rsidRDefault="00361382">
      <w:pPr>
        <w:spacing w:after="200" w:line="276" w:lineRule="auto"/>
        <w:jc w:val="left"/>
        <w:rPr>
          <w:rFonts w:ascii="Arial" w:eastAsia="Arial" w:hAnsi="Arial" w:cs="Arial"/>
          <w:sz w:val="24"/>
          <w:szCs w:val="24"/>
        </w:rPr>
      </w:pPr>
      <w:r>
        <w:rPr>
          <w:rFonts w:ascii="Arial" w:eastAsia="Arial" w:hAnsi="Arial" w:cs="Arial"/>
          <w:sz w:val="24"/>
          <w:szCs w:val="24"/>
        </w:rPr>
        <w:lastRenderedPageBreak/>
        <w:t>This detailed breakdown will be incorporated into each SOW and include (but will not be limited to):</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a role description of each member of the Supplier Staff;</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a facilities description (if applicable);</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the agreed day rate for each Supplier Staff;</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any expenses charged for each Work Day for each Supplier Staff, which must be in accordance with the Buyer’s expenses policy (if applicable);</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the number of Work Days, or pro rata for every part day, they will actively be engaged in providing the Deliverables between the SOW Start Date and SOW End Date; and</w:t>
      </w:r>
    </w:p>
    <w:p w:rsidR="005026F0" w:rsidRDefault="00361382">
      <w:pPr>
        <w:numPr>
          <w:ilvl w:val="0"/>
          <w:numId w:val="3"/>
        </w:numPr>
        <w:spacing w:after="200" w:line="276" w:lineRule="auto"/>
        <w:jc w:val="left"/>
        <w:rPr>
          <w:rFonts w:ascii="Arial" w:eastAsia="Arial" w:hAnsi="Arial" w:cs="Arial"/>
          <w:sz w:val="24"/>
          <w:szCs w:val="24"/>
        </w:rPr>
      </w:pPr>
      <w:r>
        <w:rPr>
          <w:rFonts w:ascii="Arial" w:eastAsia="Arial" w:hAnsi="Arial" w:cs="Arial"/>
          <w:sz w:val="24"/>
          <w:szCs w:val="24"/>
        </w:rPr>
        <w:t>the total SOW cost for all Supplier Staff roles and facilities in providing the Deliverables.</w:t>
      </w:r>
    </w:p>
    <w:p w:rsidR="005026F0" w:rsidRDefault="00361382">
      <w:pPr>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If a Capped or Fixed Price has been agreed for a particular SOW:</w:t>
      </w:r>
    </w:p>
    <w:p w:rsidR="005026F0" w:rsidRDefault="00361382">
      <w:pPr>
        <w:numPr>
          <w:ilvl w:val="0"/>
          <w:numId w:val="4"/>
        </w:numPr>
        <w:spacing w:after="200" w:line="276" w:lineRule="auto"/>
        <w:jc w:val="left"/>
        <w:rPr>
          <w:rFonts w:ascii="Arial" w:eastAsia="Arial" w:hAnsi="Arial" w:cs="Arial"/>
          <w:sz w:val="24"/>
          <w:szCs w:val="24"/>
        </w:rPr>
      </w:pPr>
      <w:r>
        <w:rPr>
          <w:rFonts w:ascii="Arial" w:eastAsia="Arial" w:hAnsi="Arial" w:cs="Arial"/>
          <w:sz w:val="24"/>
          <w:szCs w:val="24"/>
        </w:rPr>
        <w:t>the Supplier shall continue to work on the Deliverables until they are satisfactorily complete and accepted by the Buyer at its own cost and expense where the Capped or Fixed Price is exceeded; and</w:t>
      </w:r>
    </w:p>
    <w:p w:rsidR="005026F0" w:rsidRDefault="00361382">
      <w:pPr>
        <w:numPr>
          <w:ilvl w:val="0"/>
          <w:numId w:val="4"/>
        </w:numPr>
        <w:spacing w:after="200" w:line="276" w:lineRule="auto"/>
        <w:jc w:val="left"/>
        <w:rPr>
          <w:rFonts w:ascii="Arial" w:eastAsia="Arial" w:hAnsi="Arial" w:cs="Arial"/>
          <w:sz w:val="24"/>
          <w:szCs w:val="24"/>
        </w:rPr>
      </w:pPr>
      <w:r>
        <w:rPr>
          <w:rFonts w:ascii="Arial" w:eastAsia="Arial" w:hAnsi="Arial" w:cs="Arial"/>
          <w:sz w:val="24"/>
          <w:szCs w:val="24"/>
        </w:rPr>
        <w:t>the Buyer will have no obligation or liability to pay any additional Charges or cost of any part of the Deliverables yet to be completed and/or Delivered after the Capped or Fixed Price is exceeded by the Supplier.</w:t>
      </w:r>
    </w:p>
    <w:p w:rsidR="005026F0" w:rsidRDefault="00361382">
      <w:pPr>
        <w:numPr>
          <w:ilvl w:val="1"/>
          <w:numId w:val="1"/>
        </w:numPr>
        <w:spacing w:after="200" w:line="276" w:lineRule="auto"/>
        <w:jc w:val="left"/>
        <w:rPr>
          <w:rFonts w:ascii="Arial" w:eastAsia="Arial" w:hAnsi="Arial" w:cs="Arial"/>
          <w:sz w:val="24"/>
          <w:szCs w:val="24"/>
        </w:rPr>
      </w:pPr>
      <w:r>
        <w:rPr>
          <w:rFonts w:ascii="Arial" w:eastAsia="Arial" w:hAnsi="Arial" w:cs="Arial"/>
          <w:color w:val="000000"/>
          <w:sz w:val="24"/>
          <w:szCs w:val="24"/>
        </w:rPr>
        <w:t>The Charges must be honoured by the Supplier for the Contract Period of the Call-Off Contract except where agreed in accordance with Framework Schedule 3 (Framework Pricing).</w:t>
      </w:r>
    </w:p>
    <w:p w:rsidR="005026F0" w:rsidRDefault="00361382">
      <w:pPr>
        <w:numPr>
          <w:ilvl w:val="1"/>
          <w:numId w:val="1"/>
        </w:numPr>
        <w:spacing w:after="200" w:line="276" w:lineRule="auto"/>
        <w:jc w:val="left"/>
        <w:rPr>
          <w:rFonts w:ascii="Arial" w:eastAsia="Arial" w:hAnsi="Arial" w:cs="Arial"/>
          <w:sz w:val="24"/>
          <w:szCs w:val="24"/>
        </w:rPr>
      </w:pPr>
      <w:r>
        <w:rPr>
          <w:rFonts w:ascii="Arial" w:eastAsia="Arial" w:hAnsi="Arial" w:cs="Arial"/>
          <w:sz w:val="24"/>
          <w:szCs w:val="24"/>
        </w:rPr>
        <w:t>All risks or contingencies will be included in the Charges. The Parties agree that the following assumptions, representations, risks and contingencies will apply in relation to the Charges:</w:t>
      </w:r>
    </w:p>
    <w:p w:rsidR="005026F0" w:rsidRDefault="00361382">
      <w:pPr>
        <w:spacing w:after="200" w:line="276" w:lineRule="auto"/>
        <w:jc w:val="left"/>
        <w:rPr>
          <w:rFonts w:ascii="Arial" w:eastAsia="Arial" w:hAnsi="Arial" w:cs="Arial"/>
          <w:sz w:val="24"/>
          <w:szCs w:val="24"/>
        </w:rPr>
      </w:pPr>
      <w:r>
        <w:rPr>
          <w:rFonts w:ascii="Arial" w:eastAsia="Arial" w:hAnsi="Arial" w:cs="Arial"/>
          <w:sz w:val="24"/>
          <w:szCs w:val="24"/>
        </w:rPr>
        <w:t>[</w:t>
      </w:r>
      <w:r w:rsidRPr="00AD659F">
        <w:rPr>
          <w:rFonts w:ascii="Arial" w:eastAsia="Arial" w:hAnsi="Arial" w:cs="Arial"/>
          <w:b/>
          <w:sz w:val="24"/>
          <w:szCs w:val="24"/>
          <w:highlight w:val="yellow"/>
        </w:rPr>
        <w:t>Insert</w:t>
      </w:r>
      <w:r>
        <w:rPr>
          <w:rFonts w:ascii="Arial" w:eastAsia="Arial" w:hAnsi="Arial" w:cs="Arial"/>
          <w:sz w:val="24"/>
          <w:szCs w:val="24"/>
        </w:rPr>
        <w:t xml:space="preserve"> full details of any assumptions, representations, risks and contingencies which the Parties are relying on in relation to the Charges].</w:t>
      </w:r>
    </w:p>
    <w:p w:rsidR="005C7B60" w:rsidRDefault="005C7B60" w:rsidP="005C7B60">
      <w:pPr>
        <w:pStyle w:val="Heading2"/>
        <w:numPr>
          <w:ilvl w:val="0"/>
          <w:numId w:val="0"/>
        </w:numPr>
        <w:ind w:left="576" w:hanging="576"/>
      </w:pPr>
    </w:p>
    <w:p w:rsidR="005C7B60" w:rsidRDefault="005C7B60" w:rsidP="005C7B60">
      <w:pPr>
        <w:pStyle w:val="Heading2"/>
        <w:numPr>
          <w:ilvl w:val="0"/>
          <w:numId w:val="0"/>
        </w:numPr>
        <w:ind w:left="576" w:hanging="576"/>
      </w:pPr>
    </w:p>
    <w:p w:rsidR="005C7B60" w:rsidRDefault="005C7B60" w:rsidP="005C7B60">
      <w:pPr>
        <w:pStyle w:val="Heading2"/>
        <w:numPr>
          <w:ilvl w:val="0"/>
          <w:numId w:val="0"/>
        </w:numPr>
        <w:ind w:left="576" w:hanging="576"/>
      </w:pPr>
    </w:p>
    <w:p w:rsidR="005026F0" w:rsidRPr="005C7B60" w:rsidRDefault="00361382" w:rsidP="005C7B60">
      <w:pPr>
        <w:pStyle w:val="Heading2"/>
        <w:numPr>
          <w:ilvl w:val="0"/>
          <w:numId w:val="0"/>
        </w:numPr>
        <w:ind w:left="576" w:hanging="576"/>
        <w:rPr>
          <w:rFonts w:ascii="Arial" w:hAnsi="Arial" w:cs="Arial"/>
          <w:b/>
          <w:sz w:val="24"/>
          <w:szCs w:val="24"/>
        </w:rPr>
      </w:pPr>
      <w:r w:rsidRPr="005C7B60">
        <w:rPr>
          <w:rFonts w:ascii="Arial" w:hAnsi="Arial" w:cs="Arial"/>
          <w:b/>
          <w:sz w:val="24"/>
          <w:szCs w:val="24"/>
        </w:rPr>
        <w:lastRenderedPageBreak/>
        <w:t>Annex 1 (Expenses Policy)</w:t>
      </w:r>
    </w:p>
    <w:p w:rsidR="005026F0" w:rsidRPr="005C7B60" w:rsidRDefault="00361382">
      <w:pPr>
        <w:spacing w:after="200" w:line="276" w:lineRule="auto"/>
        <w:jc w:val="left"/>
        <w:rPr>
          <w:rFonts w:ascii="Arial" w:eastAsia="Arial" w:hAnsi="Arial" w:cs="Arial"/>
          <w:sz w:val="24"/>
          <w:szCs w:val="24"/>
        </w:rPr>
      </w:pPr>
      <w:r w:rsidRPr="005C7B60">
        <w:rPr>
          <w:rFonts w:ascii="Arial" w:eastAsia="Arial" w:hAnsi="Arial" w:cs="Arial"/>
          <w:b/>
          <w:sz w:val="24"/>
          <w:szCs w:val="24"/>
        </w:rPr>
        <w:t>[</w:t>
      </w:r>
      <w:r w:rsidRPr="00AD659F">
        <w:rPr>
          <w:rFonts w:ascii="Arial" w:eastAsia="Arial" w:hAnsi="Arial" w:cs="Arial"/>
          <w:b/>
          <w:sz w:val="24"/>
          <w:szCs w:val="24"/>
          <w:highlight w:val="yellow"/>
        </w:rPr>
        <w:t>Insert</w:t>
      </w:r>
      <w:r w:rsidRPr="005C7B60">
        <w:rPr>
          <w:rFonts w:ascii="Arial" w:eastAsia="Arial" w:hAnsi="Arial" w:cs="Arial"/>
          <w:sz w:val="24"/>
          <w:szCs w:val="24"/>
        </w:rPr>
        <w:t xml:space="preserve"> Buyer’s Expenses Policy]</w:t>
      </w:r>
    </w:p>
    <w:sectPr w:rsidR="005026F0" w:rsidRPr="005C7B60">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3DF" w:rsidRDefault="003B03DF">
      <w:pPr>
        <w:spacing w:after="0" w:line="240" w:lineRule="auto"/>
      </w:pPr>
      <w:r>
        <w:separator/>
      </w:r>
    </w:p>
  </w:endnote>
  <w:endnote w:type="continuationSeparator" w:id="0">
    <w:p w:rsidR="003B03DF" w:rsidRDefault="003B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F0" w:rsidRDefault="005026F0">
    <w:pPr>
      <w:tabs>
        <w:tab w:val="center" w:pos="4513"/>
        <w:tab w:val="right" w:pos="9026"/>
      </w:tabs>
      <w:spacing w:after="0" w:line="240" w:lineRule="auto"/>
      <w:rPr>
        <w:rFonts w:ascii="Calibri" w:eastAsia="Calibri" w:hAnsi="Calibri" w:cs="Calibri"/>
      </w:rPr>
    </w:pPr>
  </w:p>
  <w:p w:rsidR="005026F0" w:rsidRDefault="0036138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RM6345</w:t>
    </w:r>
  </w:p>
  <w:p w:rsidR="005026F0" w:rsidRDefault="0036138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2</w:t>
    </w:r>
  </w:p>
  <w:p w:rsidR="005026F0" w:rsidRDefault="00361382">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p w:rsidR="005026F0" w:rsidRDefault="005026F0">
    <w:pPr>
      <w:widowControl w:val="0"/>
      <w:pBdr>
        <w:top w:val="nil"/>
        <w:left w:val="nil"/>
        <w:bottom w:val="nil"/>
        <w:right w:val="nil"/>
        <w:between w:val="nil"/>
      </w:pBdr>
      <w:spacing w:after="0" w:line="276" w:lineRule="auto"/>
      <w:jc w:val="left"/>
      <w:rPr>
        <w:rFonts w:ascii="Calibri" w:eastAsia="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F0" w:rsidRDefault="005026F0">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rsidR="005026F0" w:rsidRDefault="0036138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RM6345</w:t>
    </w:r>
  </w:p>
  <w:p w:rsidR="005026F0" w:rsidRDefault="0036138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1</w:t>
    </w:r>
  </w:p>
  <w:p w:rsidR="005026F0" w:rsidRDefault="00361382">
    <w:pPr>
      <w:pBdr>
        <w:top w:val="nil"/>
        <w:left w:val="nil"/>
        <w:bottom w:val="nil"/>
        <w:right w:val="nil"/>
        <w:between w:val="nil"/>
      </w:pBdr>
      <w:tabs>
        <w:tab w:val="center" w:pos="4153"/>
        <w:tab w:val="right" w:pos="8306"/>
      </w:tabs>
      <w:spacing w:after="0" w:line="240" w:lineRule="auto"/>
      <w:rPr>
        <w:color w:val="A6A6A6"/>
      </w:rPr>
    </w:pPr>
    <w:r>
      <w:rPr>
        <w:rFonts w:ascii="Arial" w:eastAsia="Arial" w:hAnsi="Arial" w:cs="Arial"/>
        <w:color w:val="000000"/>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3DF" w:rsidRDefault="003B03DF">
      <w:pPr>
        <w:spacing w:after="0" w:line="240" w:lineRule="auto"/>
      </w:pPr>
      <w:r>
        <w:separator/>
      </w:r>
    </w:p>
  </w:footnote>
  <w:footnote w:type="continuationSeparator" w:id="0">
    <w:p w:rsidR="003B03DF" w:rsidRDefault="003B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F0" w:rsidRDefault="00361382">
    <w:pPr>
      <w:tabs>
        <w:tab w:val="center" w:pos="4513"/>
        <w:tab w:val="right" w:pos="9026"/>
      </w:tabs>
      <w:spacing w:after="0" w:line="240" w:lineRule="auto"/>
      <w:rPr>
        <w:rFonts w:ascii="Calibri" w:eastAsia="Calibri" w:hAnsi="Calibri" w:cs="Calibri"/>
      </w:rPr>
    </w:pPr>
    <w:r>
      <w:rPr>
        <w:rFonts w:ascii="Calibri" w:eastAsia="Calibri" w:hAnsi="Calibri" w:cs="Calibri"/>
        <w:b/>
      </w:rPr>
      <w:t>Call-Off Schedule 5 (Call-Off Pricing)</w:t>
    </w:r>
    <w:r>
      <w:rPr>
        <w:noProof/>
      </w:rPr>
      <w:drawing>
        <wp:anchor distT="0" distB="0" distL="114300" distR="114300" simplePos="0" relativeHeight="251658240" behindDoc="0" locked="0" layoutInCell="1" hidden="0" allowOverlap="1">
          <wp:simplePos x="0" y="0"/>
          <wp:positionH relativeFrom="column">
            <wp:posOffset>5562600</wp:posOffset>
          </wp:positionH>
          <wp:positionV relativeFrom="paragraph">
            <wp:posOffset>-165733</wp:posOffset>
          </wp:positionV>
          <wp:extent cx="848995" cy="685800"/>
          <wp:effectExtent l="0" t="0" r="0" b="0"/>
          <wp:wrapNone/>
          <wp:docPr id="17"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rsidR="005026F0" w:rsidRDefault="00361382">
    <w:pPr>
      <w:tabs>
        <w:tab w:val="center" w:pos="4513"/>
        <w:tab w:val="right" w:pos="9026"/>
      </w:tabs>
      <w:spacing w:after="0" w:line="240" w:lineRule="auto"/>
      <w:rPr>
        <w:rFonts w:ascii="Calibri" w:eastAsia="Calibri" w:hAnsi="Calibri" w:cs="Calibri"/>
      </w:rPr>
    </w:pPr>
    <w:r>
      <w:rPr>
        <w:rFonts w:ascii="Calibri" w:eastAsia="Calibri" w:hAnsi="Calibri" w:cs="Calibri"/>
      </w:rPr>
      <w:t>Crown Copyright 2017</w:t>
    </w:r>
  </w:p>
  <w:p w:rsidR="005026F0" w:rsidRDefault="005026F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F0" w:rsidRDefault="00361382">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rsidR="005026F0" w:rsidRDefault="0036138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rsidR="005026F0" w:rsidRDefault="0036138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2024</w:t>
    </w:r>
  </w:p>
  <w:p w:rsidR="005026F0" w:rsidRDefault="005026F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5DD"/>
    <w:multiLevelType w:val="multilevel"/>
    <w:tmpl w:val="E30CE002"/>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2680221"/>
    <w:multiLevelType w:val="multilevel"/>
    <w:tmpl w:val="D9A4F6E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 w15:restartNumberingAfterBreak="0">
    <w:nsid w:val="3A79681A"/>
    <w:multiLevelType w:val="multilevel"/>
    <w:tmpl w:val="E11C867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55137C97"/>
    <w:multiLevelType w:val="multilevel"/>
    <w:tmpl w:val="0E7C2180"/>
    <w:lvl w:ilvl="0">
      <w:start w:val="1"/>
      <w:numFmt w:val="decimal"/>
      <w:pStyle w:val="Heading1"/>
      <w:lvlText w:val="%1"/>
      <w:lvlJc w:val="left"/>
      <w:pPr>
        <w:ind w:left="432" w:hanging="432"/>
      </w:pPr>
      <w:rPr>
        <w:rFonts w:ascii="Arial" w:eastAsia="Arial" w:hAnsi="Arial" w:cs="Arial"/>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F0"/>
    <w:rsid w:val="00361382"/>
    <w:rsid w:val="003B03DF"/>
    <w:rsid w:val="005026F0"/>
    <w:rsid w:val="005C7B60"/>
    <w:rsid w:val="00AD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D109"/>
  <w15:docId w15:val="{C083CFE7-825B-455A-BB44-017EE2A3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1"/>
      </w:numPr>
      <w:outlineLvl w:val="0"/>
    </w:pPr>
  </w:style>
  <w:style w:type="paragraph" w:styleId="Heading2">
    <w:name w:val="heading 2"/>
    <w:basedOn w:val="HouseStyleBase"/>
    <w:link w:val="Heading2Char"/>
    <w:uiPriority w:val="9"/>
    <w:unhideWhenUsed/>
    <w:qFormat/>
    <w:pPr>
      <w:numPr>
        <w:ilvl w:val="1"/>
        <w:numId w:val="1"/>
      </w:numPr>
      <w:outlineLvl w:val="1"/>
    </w:pPr>
    <w:rPr>
      <w:rFonts w:ascii="Calibri" w:hAnsi="Calibri"/>
    </w:rPr>
  </w:style>
  <w:style w:type="paragraph" w:styleId="Heading3">
    <w:name w:val="heading 3"/>
    <w:basedOn w:val="HouseStyleBase"/>
    <w:link w:val="Heading3Char"/>
    <w:uiPriority w:val="9"/>
    <w:semiHidden/>
    <w:unhideWhenUsed/>
    <w:qFormat/>
    <w:pPr>
      <w:numPr>
        <w:ilvl w:val="2"/>
        <w:numId w:val="1"/>
      </w:numPr>
      <w:outlineLvl w:val="2"/>
    </w:pPr>
  </w:style>
  <w:style w:type="paragraph" w:styleId="Heading4">
    <w:name w:val="heading 4"/>
    <w:basedOn w:val="HouseStyleBase"/>
    <w:link w:val="Heading4Char"/>
    <w:uiPriority w:val="9"/>
    <w:semiHidden/>
    <w:unhideWhenUsed/>
    <w:qFormat/>
    <w:pPr>
      <w:numPr>
        <w:ilvl w:val="3"/>
        <w:numId w:val="1"/>
      </w:numPr>
      <w:outlineLvl w:val="3"/>
    </w:pPr>
  </w:style>
  <w:style w:type="paragraph" w:styleId="Heading5">
    <w:name w:val="heading 5"/>
    <w:basedOn w:val="HouseStyleBase"/>
    <w:link w:val="Heading5Char"/>
    <w:uiPriority w:val="9"/>
    <w:semiHidden/>
    <w:unhideWhenUsed/>
    <w:qFormat/>
    <w:pPr>
      <w:numPr>
        <w:ilvl w:val="4"/>
        <w:numId w:val="1"/>
      </w:numPr>
      <w:outlineLvl w:val="4"/>
    </w:pPr>
  </w:style>
  <w:style w:type="paragraph" w:styleId="Heading6">
    <w:name w:val="heading 6"/>
    <w:basedOn w:val="HouseStyleBase"/>
    <w:uiPriority w:val="9"/>
    <w:semiHidden/>
    <w:unhideWhenUsed/>
    <w:qFormat/>
    <w:pPr>
      <w:numPr>
        <w:ilvl w:val="5"/>
        <w:numId w:val="1"/>
      </w:numPr>
      <w:outlineLvl w:val="5"/>
    </w:pPr>
  </w:style>
  <w:style w:type="paragraph" w:styleId="Heading7">
    <w:name w:val="heading 7"/>
    <w:basedOn w:val="HouseStyleBase"/>
    <w:qFormat/>
    <w:pPr>
      <w:numPr>
        <w:ilvl w:val="6"/>
        <w:numId w:val="1"/>
      </w:numPr>
      <w:outlineLvl w:val="6"/>
    </w:pPr>
  </w:style>
  <w:style w:type="paragraph" w:styleId="Heading8">
    <w:name w:val="heading 8"/>
    <w:basedOn w:val="HouseStyleBase"/>
    <w:qFormat/>
    <w:pPr>
      <w:numPr>
        <w:ilvl w:val="7"/>
        <w:numId w:val="1"/>
      </w:numPr>
      <w:outlineLvl w:val="7"/>
    </w:pPr>
  </w:style>
  <w:style w:type="paragraph" w:styleId="Heading9">
    <w:name w:val="heading 9"/>
    <w:basedOn w:val="HouseStyleBase"/>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tabs>
        <w:tab w:val="num" w:pos="720"/>
      </w:tabs>
      <w:ind w:left="720" w:hanging="720"/>
    </w:pPr>
    <w:rPr>
      <w:rFonts w:ascii="Calibri" w:hAnsi="Calibri"/>
    </w:rPr>
  </w:style>
  <w:style w:type="paragraph" w:styleId="BodyTextIndent2">
    <w:name w:val="Body Text Indent 2"/>
    <w:basedOn w:val="HouseStyleBase"/>
    <w:link w:val="BodyTextIndent2Char"/>
    <w:pPr>
      <w:tabs>
        <w:tab w:val="num" w:pos="1440"/>
      </w:tabs>
      <w:ind w:left="1440" w:hanging="720"/>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tabs>
        <w:tab w:val="num" w:pos="720"/>
      </w:tabs>
      <w:ind w:left="720" w:hanging="720"/>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tabs>
        <w:tab w:val="num" w:pos="2160"/>
      </w:tabs>
      <w:spacing w:after="120"/>
      <w:ind w:left="2160" w:hanging="720"/>
      <w:outlineLvl w:val="0"/>
    </w:pPr>
    <w:rPr>
      <w:rFonts w:ascii="Calibri" w:hAnsi="Calibri"/>
    </w:rPr>
  </w:style>
  <w:style w:type="paragraph" w:customStyle="1" w:styleId="DefinitionNumbering2">
    <w:name w:val="Definition Numbering 2"/>
    <w:basedOn w:val="HouseStyleBase"/>
    <w:pPr>
      <w:tabs>
        <w:tab w:val="num" w:pos="2880"/>
      </w:tabs>
      <w:ind w:left="2880" w:hanging="720"/>
      <w:outlineLvl w:val="1"/>
    </w:pPr>
  </w:style>
  <w:style w:type="paragraph" w:customStyle="1" w:styleId="DefinitionNumbering3">
    <w:name w:val="Definition Numbering 3"/>
    <w:basedOn w:val="HouseStyleBase"/>
    <w:pPr>
      <w:tabs>
        <w:tab w:val="num" w:pos="3600"/>
      </w:tabs>
      <w:ind w:left="3600" w:hanging="720"/>
      <w:outlineLvl w:val="2"/>
    </w:pPr>
  </w:style>
  <w:style w:type="paragraph" w:customStyle="1" w:styleId="DefinitionNumbering4">
    <w:name w:val="Definition Numbering 4"/>
    <w:basedOn w:val="HouseStyleBase"/>
    <w:pPr>
      <w:tabs>
        <w:tab w:val="num" w:pos="4320"/>
      </w:tabs>
      <w:ind w:left="4320" w:hanging="720"/>
      <w:outlineLvl w:val="3"/>
    </w:pPr>
  </w:style>
  <w:style w:type="paragraph" w:customStyle="1" w:styleId="DefinitionNumbering5">
    <w:name w:val="Definition Numbering 5"/>
    <w:basedOn w:val="HouseStyleBase"/>
    <w:pPr>
      <w:tabs>
        <w:tab w:val="num" w:pos="5040"/>
      </w:tabs>
      <w:ind w:left="5040" w:hanging="720"/>
      <w:outlineLvl w:val="4"/>
    </w:pPr>
  </w:style>
  <w:style w:type="paragraph" w:customStyle="1" w:styleId="DefinitionNumbering6">
    <w:name w:val="Definition Numbering 6"/>
    <w:basedOn w:val="HouseStyleBase"/>
    <w:pPr>
      <w:tabs>
        <w:tab w:val="num" w:pos="5760"/>
      </w:tabs>
      <w:ind w:left="5760" w:hanging="720"/>
      <w:outlineLvl w:val="5"/>
    </w:pPr>
  </w:style>
  <w:style w:type="paragraph" w:customStyle="1" w:styleId="DefinitionNumbering7">
    <w:name w:val="Definition Numbering 7"/>
    <w:basedOn w:val="HouseStyleBase"/>
    <w:pPr>
      <w:tabs>
        <w:tab w:val="num" w:pos="6480"/>
      </w:tabs>
      <w:ind w:left="6480" w:hanging="720"/>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tabs>
        <w:tab w:val="num" w:pos="1440"/>
      </w:tabs>
      <w:ind w:left="1440" w:hanging="720"/>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tabs>
        <w:tab w:val="clear" w:pos="720"/>
      </w:tabs>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99"/>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uiPriority w:val="99"/>
    <w:qFormat/>
    <w:pPr>
      <w:numPr>
        <w:ilvl w:val="1"/>
      </w:numPr>
      <w:tabs>
        <w:tab w:val="clear" w:pos="-9"/>
        <w:tab w:val="left" w:pos="144"/>
        <w:tab w:val="num" w:pos="720"/>
      </w:tabs>
      <w:ind w:left="720" w:hanging="545"/>
    </w:pPr>
  </w:style>
  <w:style w:type="paragraph" w:customStyle="1" w:styleId="GPSDefinitionL3">
    <w:name w:val="GPS Definition L3"/>
    <w:basedOn w:val="GPSDefinitionL2"/>
    <w:uiPriority w:val="99"/>
    <w:qFormat/>
    <w:pPr>
      <w:numPr>
        <w:ilvl w:val="2"/>
      </w:numPr>
      <w:tabs>
        <w:tab w:val="num" w:pos="720"/>
      </w:tabs>
      <w:ind w:left="720" w:hanging="545"/>
    </w:pPr>
  </w:style>
  <w:style w:type="paragraph" w:customStyle="1" w:styleId="GPSDefinitionL4">
    <w:name w:val="GPS Definition L4"/>
    <w:basedOn w:val="GPSDefinitionL3"/>
    <w:uiPriority w:val="99"/>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styleId="Revision">
    <w:name w:val="Revision"/>
    <w:hidden/>
    <w:uiPriority w:val="99"/>
    <w:semiHidden/>
    <w:rsid w:val="00424E75"/>
    <w:pPr>
      <w:spacing w:after="0" w:line="240" w:lineRule="auto"/>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PdA7Z2Y0EjbIdljFm4SCiScwg==">CgMxLjAyCGguZ2pkZ3hzMgloLjMwajB6bGw4AHIhMUl0ZGRwOFV4TG9WU1ZacU5UT2pVZUFiakJlSnRfTmF0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Josh Kendal</cp:lastModifiedBy>
  <cp:revision>3</cp:revision>
  <dcterms:created xsi:type="dcterms:W3CDTF">2024-05-16T13:10:00Z</dcterms:created>
  <dcterms:modified xsi:type="dcterms:W3CDTF">2024-05-17T10:34:00Z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