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70E" w:rsidRDefault="00452950">
      <w:pPr>
        <w:rPr>
          <w:rFonts w:ascii="Arial" w:eastAsia="Arial" w:hAnsi="Arial" w:cs="Arial"/>
          <w:b/>
          <w:sz w:val="36"/>
          <w:szCs w:val="36"/>
        </w:rPr>
      </w:pPr>
      <w:r>
        <w:rPr>
          <w:rFonts w:ascii="Arial" w:eastAsia="Arial" w:hAnsi="Arial" w:cs="Arial"/>
          <w:b/>
          <w:sz w:val="36"/>
          <w:szCs w:val="36"/>
        </w:rPr>
        <w:t>Framework Schedule 4 (Framework Management)</w:t>
      </w:r>
    </w:p>
    <w:p w:rsidR="0092070E" w:rsidRDefault="00452950">
      <w:pPr>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Definitions</w:t>
      </w:r>
    </w:p>
    <w:p w:rsidR="0092070E" w:rsidRDefault="00452950">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314" w:type="dxa"/>
        <w:tblInd w:w="893" w:type="dxa"/>
        <w:tblLayout w:type="fixed"/>
        <w:tblLook w:val="0400" w:firstRow="0" w:lastRow="0" w:firstColumn="0" w:lastColumn="0" w:noHBand="0" w:noVBand="1"/>
      </w:tblPr>
      <w:tblGrid>
        <w:gridCol w:w="2928"/>
        <w:gridCol w:w="5386"/>
      </w:tblGrid>
      <w:tr w:rsidR="0092070E">
        <w:tc>
          <w:tcPr>
            <w:tcW w:w="2928" w:type="dxa"/>
            <w:shd w:val="clear" w:color="auto" w:fill="auto"/>
          </w:tcPr>
          <w:p w:rsidR="0092070E" w:rsidRDefault="00452950">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Framework Manager"</w:t>
            </w:r>
          </w:p>
        </w:tc>
        <w:tc>
          <w:tcPr>
            <w:tcW w:w="5386" w:type="dxa"/>
            <w:shd w:val="clear" w:color="auto" w:fill="auto"/>
          </w:tcPr>
          <w:p w:rsidR="0092070E" w:rsidRDefault="00452950" w:rsidP="00163E5B">
            <w:pPr>
              <w:pBdr>
                <w:top w:val="nil"/>
                <w:left w:val="nil"/>
                <w:bottom w:val="nil"/>
                <w:right w:val="nil"/>
                <w:between w:val="nil"/>
              </w:pBdr>
              <w:tabs>
                <w:tab w:val="left" w:pos="175"/>
              </w:tabs>
              <w:spacing w:after="120" w:line="240" w:lineRule="auto"/>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 and</w:t>
            </w:r>
          </w:p>
        </w:tc>
      </w:tr>
      <w:tr w:rsidR="0092070E">
        <w:tc>
          <w:tcPr>
            <w:tcW w:w="2928" w:type="dxa"/>
            <w:shd w:val="clear" w:color="auto" w:fill="auto"/>
          </w:tcPr>
          <w:p w:rsidR="0092070E" w:rsidRDefault="00452950">
            <w:pPr>
              <w:pBdr>
                <w:top w:val="nil"/>
                <w:left w:val="nil"/>
                <w:bottom w:val="nil"/>
                <w:right w:val="nil"/>
                <w:between w:val="nil"/>
              </w:pBdr>
              <w:spacing w:after="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Review Meetings"</w:t>
            </w:r>
          </w:p>
        </w:tc>
        <w:tc>
          <w:tcPr>
            <w:tcW w:w="5386" w:type="dxa"/>
            <w:shd w:val="clear" w:color="auto" w:fill="auto"/>
          </w:tcPr>
          <w:p w:rsidR="0092070E" w:rsidRDefault="00452950" w:rsidP="00163E5B">
            <w:pPr>
              <w:pBdr>
                <w:top w:val="nil"/>
                <w:left w:val="nil"/>
                <w:bottom w:val="nil"/>
                <w:right w:val="nil"/>
                <w:between w:val="nil"/>
              </w:pBdr>
              <w:tabs>
                <w:tab w:val="left" w:pos="175"/>
              </w:tabs>
              <w:spacing w:after="0" w:line="240" w:lineRule="auto"/>
              <w:ind w:left="170"/>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3.9 of this </w:t>
            </w:r>
            <w:proofErr w:type="gramStart"/>
            <w:r>
              <w:rPr>
                <w:rFonts w:ascii="Arial" w:eastAsia="Arial" w:hAnsi="Arial" w:cs="Arial"/>
                <w:color w:val="000000"/>
                <w:sz w:val="24"/>
                <w:szCs w:val="24"/>
              </w:rPr>
              <w:t>Schedule.</w:t>
            </w:r>
            <w:proofErr w:type="gramEnd"/>
          </w:p>
        </w:tc>
      </w:tr>
      <w:tr w:rsidR="00BF4F29">
        <w:tc>
          <w:tcPr>
            <w:tcW w:w="2928" w:type="dxa"/>
            <w:shd w:val="clear" w:color="auto" w:fill="auto"/>
          </w:tcPr>
          <w:p w:rsidR="00BF4F29" w:rsidRDefault="00BF4F29">
            <w:pPr>
              <w:pBdr>
                <w:top w:val="nil"/>
                <w:left w:val="nil"/>
                <w:bottom w:val="nil"/>
                <w:right w:val="nil"/>
                <w:between w:val="nil"/>
              </w:pBdr>
              <w:spacing w:after="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Action Plan”</w:t>
            </w:r>
          </w:p>
        </w:tc>
        <w:tc>
          <w:tcPr>
            <w:tcW w:w="5386" w:type="dxa"/>
            <w:shd w:val="clear" w:color="auto" w:fill="auto"/>
          </w:tcPr>
          <w:p w:rsidR="00BF4F29" w:rsidRDefault="00BF4F29" w:rsidP="00163E5B">
            <w:pPr>
              <w:pBdr>
                <w:top w:val="nil"/>
                <w:left w:val="nil"/>
                <w:bottom w:val="nil"/>
                <w:right w:val="nil"/>
                <w:between w:val="nil"/>
              </w:pBdr>
              <w:tabs>
                <w:tab w:val="left" w:pos="175"/>
              </w:tabs>
              <w:spacing w:after="0" w:line="240" w:lineRule="auto"/>
              <w:ind w:left="170"/>
              <w:rPr>
                <w:rFonts w:ascii="Arial" w:eastAsia="Arial" w:hAnsi="Arial" w:cs="Arial"/>
                <w:color w:val="000000"/>
                <w:sz w:val="24"/>
                <w:szCs w:val="24"/>
              </w:rPr>
            </w:pPr>
            <w:r w:rsidRPr="00BF4F29">
              <w:rPr>
                <w:rFonts w:ascii="Arial" w:eastAsia="Arial" w:hAnsi="Arial" w:cs="Arial"/>
                <w:color w:val="000000"/>
                <w:sz w:val="24"/>
                <w:szCs w:val="24"/>
              </w:rPr>
              <w:t>has the meaning given to it in Paragraph 3.4 of this Schedule</w:t>
            </w:r>
          </w:p>
        </w:tc>
      </w:tr>
    </w:tbl>
    <w:p w:rsidR="0092070E" w:rsidRDefault="00452950">
      <w:pPr>
        <w:keepNext/>
        <w:numPr>
          <w:ilvl w:val="0"/>
          <w:numId w:val="2"/>
        </w:numPr>
        <w:pBdr>
          <w:top w:val="nil"/>
          <w:left w:val="nil"/>
          <w:bottom w:val="nil"/>
          <w:right w:val="nil"/>
          <w:between w:val="nil"/>
        </w:pBdr>
        <w:tabs>
          <w:tab w:val="left" w:pos="142"/>
        </w:tabs>
        <w:spacing w:before="120" w:after="0" w:line="240" w:lineRule="auto"/>
        <w:rPr>
          <w:rFonts w:ascii="Arial" w:eastAsia="Arial" w:hAnsi="Arial" w:cs="Arial"/>
          <w:b/>
          <w:color w:val="000000"/>
          <w:sz w:val="24"/>
          <w:szCs w:val="24"/>
        </w:rPr>
      </w:pPr>
      <w:r>
        <w:rPr>
          <w:rFonts w:ascii="Arial" w:eastAsia="Arial" w:hAnsi="Arial" w:cs="Arial"/>
          <w:b/>
          <w:color w:val="000000"/>
          <w:sz w:val="24"/>
          <w:szCs w:val="24"/>
        </w:rPr>
        <w:t>How CCS and the Supplier will work together</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outlines the general structures and management activities that the Parties shall follow during the Framework Period.</w:t>
      </w:r>
    </w:p>
    <w:p w:rsidR="0092070E" w:rsidRDefault="00452950">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Framework Management</w:t>
      </w:r>
    </w:p>
    <w:p w:rsidR="0092070E" w:rsidRDefault="00452950">
      <w:pPr>
        <w:keepNext/>
        <w:pBdr>
          <w:top w:val="nil"/>
          <w:left w:val="nil"/>
          <w:bottom w:val="nil"/>
          <w:right w:val="nil"/>
          <w:between w:val="nil"/>
        </w:pBdr>
        <w:tabs>
          <w:tab w:val="left" w:pos="113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0" w:name="_heading=h.gjdgxs" w:colFirst="0" w:colLast="0"/>
      <w:bookmarkEnd w:id="0"/>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accordance with Framework Schedule 1 (Specification) and the Performance Indicators</w:t>
      </w:r>
      <w:r w:rsidR="00BF4F29">
        <w:rPr>
          <w:rFonts w:ascii="Arial" w:eastAsia="Arial" w:hAnsi="Arial" w:cs="Arial"/>
          <w:color w:val="000000"/>
          <w:sz w:val="24"/>
          <w:szCs w:val="24"/>
        </w:rPr>
        <w:t xml:space="preserve"> as defined in paragraph 4 below</w:t>
      </w:r>
      <w:r>
        <w:rPr>
          <w:rFonts w:ascii="Arial" w:eastAsia="Arial" w:hAnsi="Arial" w:cs="Arial"/>
          <w:color w:val="000000"/>
          <w:sz w:val="24"/>
          <w:szCs w:val="24"/>
        </w:rPr>
        <w:t xml:space="preserve">. </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A governance structure will be agreed between the Parties as soon as reasonably practicable following the Framework Start Date.</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Following discussions between the Parties following the Framework Start Date, where requested by CCS the Supplier shall </w:t>
      </w:r>
      <w:r w:rsidR="00BF4F29">
        <w:rPr>
          <w:rFonts w:ascii="Arial" w:eastAsia="Arial" w:hAnsi="Arial" w:cs="Arial"/>
          <w:color w:val="000000"/>
          <w:sz w:val="24"/>
          <w:szCs w:val="24"/>
        </w:rPr>
        <w:t xml:space="preserve">complete relevant sections of the </w:t>
      </w:r>
      <w:r>
        <w:rPr>
          <w:rFonts w:ascii="Arial" w:eastAsia="Arial" w:hAnsi="Arial" w:cs="Arial"/>
          <w:color w:val="000000"/>
          <w:sz w:val="24"/>
          <w:szCs w:val="24"/>
        </w:rPr>
        <w:t>CCS</w:t>
      </w:r>
      <w:r w:rsidR="00BF4F29">
        <w:rPr>
          <w:rFonts w:ascii="Arial" w:eastAsia="Arial" w:hAnsi="Arial" w:cs="Arial"/>
          <w:color w:val="000000"/>
          <w:sz w:val="24"/>
          <w:szCs w:val="24"/>
        </w:rPr>
        <w:t xml:space="preserve"> issued</w:t>
      </w:r>
      <w:r>
        <w:rPr>
          <w:rFonts w:ascii="Arial" w:eastAsia="Arial" w:hAnsi="Arial" w:cs="Arial"/>
          <w:color w:val="000000"/>
          <w:sz w:val="24"/>
          <w:szCs w:val="24"/>
        </w:rPr>
        <w:t xml:space="preserve">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rsidR="0092070E" w:rsidRDefault="00452950">
      <w:pPr>
        <w:rPr>
          <w:rFonts w:ascii="Arial" w:eastAsia="Arial" w:hAnsi="Arial" w:cs="Arial"/>
          <w:sz w:val="24"/>
          <w:szCs w:val="24"/>
        </w:rPr>
      </w:pPr>
      <w:bookmarkStart w:id="1" w:name="_heading=h.30j0zll" w:colFirst="0" w:colLast="0"/>
      <w:bookmarkEnd w:id="1"/>
      <w:r>
        <w:br w:type="page"/>
      </w:r>
    </w:p>
    <w:p w:rsidR="0092070E" w:rsidRDefault="0092070E">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agrees to comply with its obligations in the Supplier Action Plan as updated from time to time.</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 shall comply with all requests from CCS in regard to compliance requirements as required including:</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Dun and Bradstreet risk failure score monitoring;</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regular evidence that the Required Insurances and Additional Insurances have been renewed and maintained;</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invoice payment performance; and</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verification of required accreditations &amp; certifications.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w:t>
      </w:r>
      <w:r w:rsidR="00BF4F29">
        <w:rPr>
          <w:rFonts w:ascii="Arial" w:eastAsia="Arial" w:hAnsi="Arial" w:cs="Arial"/>
          <w:color w:val="000000"/>
          <w:sz w:val="24"/>
          <w:szCs w:val="24"/>
        </w:rPr>
        <w:t xml:space="preserve"> of the Core Terms</w:t>
      </w:r>
      <w:r>
        <w:rPr>
          <w:rFonts w:ascii="Arial" w:eastAsia="Arial" w:hAnsi="Arial" w:cs="Arial"/>
          <w:color w:val="000000"/>
          <w:sz w:val="24"/>
          <w:szCs w:val="24"/>
        </w:rPr>
        <w:t xml:space="preserve">, for a period as decided by CCS. </w:t>
      </w:r>
      <w:bookmarkStart w:id="3" w:name="_GoBack"/>
      <w:bookmarkEnd w:id="3"/>
    </w:p>
    <w:p w:rsidR="0092070E" w:rsidRDefault="00452950">
      <w:pPr>
        <w:keepNext/>
        <w:pBdr>
          <w:top w:val="nil"/>
          <w:left w:val="nil"/>
          <w:bottom w:val="nil"/>
          <w:right w:val="nil"/>
          <w:between w:val="nil"/>
        </w:pBdr>
        <w:tabs>
          <w:tab w:val="left" w:pos="1134"/>
        </w:tabs>
        <w:spacing w:before="120" w:after="120" w:line="240" w:lineRule="auto"/>
        <w:ind w:left="720" w:hanging="360"/>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Supplier Review Meetings</w:t>
      </w:r>
    </w:p>
    <w:p w:rsidR="0092070E" w:rsidRDefault="00BF4F29">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Where</w:t>
      </w:r>
      <w:r w:rsidR="007E54F1">
        <w:rPr>
          <w:rFonts w:ascii="Arial" w:eastAsia="Arial" w:hAnsi="Arial" w:cs="Arial"/>
          <w:color w:val="000000"/>
          <w:sz w:val="24"/>
          <w:szCs w:val="24"/>
        </w:rPr>
        <w:t xml:space="preserve"> requested by CCS </w:t>
      </w:r>
      <w:r w:rsidR="00452950">
        <w:rPr>
          <w:rFonts w:ascii="Arial" w:eastAsia="Arial" w:hAnsi="Arial" w:cs="Arial"/>
          <w:color w:val="000000"/>
          <w:sz w:val="24"/>
          <w:szCs w:val="24"/>
        </w:rPr>
        <w:t xml:space="preserve">Regular performance review meetings will take </w:t>
      </w:r>
      <w:proofErr w:type="gramStart"/>
      <w:r w:rsidR="00452950">
        <w:rPr>
          <w:rFonts w:ascii="Arial" w:eastAsia="Arial" w:hAnsi="Arial" w:cs="Arial"/>
          <w:color w:val="000000"/>
          <w:sz w:val="24"/>
          <w:szCs w:val="24"/>
        </w:rPr>
        <w:t xml:space="preserve">place </w:t>
      </w:r>
      <w:r w:rsidR="007E54F1">
        <w:rPr>
          <w:rFonts w:ascii="Arial" w:eastAsia="Arial" w:hAnsi="Arial" w:cs="Arial"/>
          <w:color w:val="000000"/>
          <w:sz w:val="24"/>
          <w:szCs w:val="24"/>
        </w:rPr>
        <w:t xml:space="preserve"> at</w:t>
      </w:r>
      <w:proofErr w:type="gramEnd"/>
      <w:r w:rsidR="007E54F1">
        <w:rPr>
          <w:rFonts w:ascii="Arial" w:eastAsia="Arial" w:hAnsi="Arial" w:cs="Arial"/>
          <w:color w:val="000000"/>
          <w:sz w:val="24"/>
          <w:szCs w:val="24"/>
        </w:rPr>
        <w:t xml:space="preserve"> a mutually agreed location and/or virtually (as determined by CCS and notified to the Supplier</w:t>
      </w:r>
      <w:r w:rsidR="00452950">
        <w:rPr>
          <w:rFonts w:ascii="Arial" w:eastAsia="Arial" w:hAnsi="Arial" w:cs="Arial"/>
          <w:color w:val="000000"/>
          <w:sz w:val="24"/>
          <w:szCs w:val="24"/>
        </w:rPr>
        <w:t xml:space="preserve"> throughout the Framework Contract Period</w:t>
      </w:r>
      <w:r w:rsidR="00452950">
        <w:rPr>
          <w:rFonts w:ascii="Arial" w:eastAsia="Arial" w:hAnsi="Arial" w:cs="Arial"/>
          <w:b/>
          <w:color w:val="000000"/>
          <w:sz w:val="24"/>
          <w:szCs w:val="24"/>
        </w:rPr>
        <w:t xml:space="preserve"> ("Supplier Review Meetings")</w:t>
      </w:r>
      <w:r w:rsidR="00452950">
        <w:rPr>
          <w:rFonts w:ascii="Arial" w:eastAsia="Arial" w:hAnsi="Arial" w:cs="Arial"/>
          <w:color w:val="000000"/>
          <w:sz w:val="24"/>
          <w:szCs w:val="24"/>
        </w:rPr>
        <w:t xml:space="preserve"> at such times and frequencies as CCS determine from time to time (which are anticipated to be once every Month or less)</w:t>
      </w:r>
      <w:r w:rsidR="00452950">
        <w:rPr>
          <w:rFonts w:ascii="Arial" w:eastAsia="Arial" w:hAnsi="Arial" w:cs="Arial"/>
          <w:b/>
          <w:color w:val="000000"/>
          <w:sz w:val="24"/>
          <w:szCs w:val="24"/>
        </w:rPr>
        <w:t xml:space="preserve">. </w:t>
      </w:r>
      <w:r w:rsidR="00452950">
        <w:rPr>
          <w:rFonts w:ascii="Arial" w:eastAsia="Arial" w:hAnsi="Arial" w:cs="Arial"/>
          <w:color w:val="000000"/>
          <w:sz w:val="24"/>
          <w:szCs w:val="24"/>
        </w:rPr>
        <w:t xml:space="preserve"> The Parties shall be flexible about the timings of these meetings.</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Review Meetings shall be attended, as a minimum, by CCS Representative(s) and the Supplier Framework Manager.</w:t>
      </w:r>
    </w:p>
    <w:p w:rsidR="0092070E" w:rsidRDefault="0092070E">
      <w:pPr>
        <w:pBdr>
          <w:top w:val="nil"/>
          <w:left w:val="nil"/>
          <w:bottom w:val="nil"/>
          <w:right w:val="nil"/>
          <w:between w:val="nil"/>
        </w:pBdr>
        <w:tabs>
          <w:tab w:val="left" w:pos="1134"/>
        </w:tabs>
        <w:spacing w:before="120" w:after="120" w:line="240" w:lineRule="auto"/>
        <w:ind w:left="900" w:hanging="576"/>
        <w:rPr>
          <w:rFonts w:ascii="Arial" w:eastAsia="Arial" w:hAnsi="Arial" w:cs="Arial"/>
          <w:b/>
          <w:color w:val="000000"/>
          <w:sz w:val="24"/>
          <w:szCs w:val="24"/>
        </w:rPr>
      </w:pPr>
    </w:p>
    <w:p w:rsidR="0092070E" w:rsidRDefault="00452950">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How the Supplier’s Performance will be measured</w:t>
      </w:r>
    </w:p>
    <w:p w:rsidR="0092070E" w:rsidRDefault="00452950">
      <w:pPr>
        <w:keepNext/>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The Supplier’s performance will be measured by the following Performance Indicators (“PI”):</w:t>
      </w:r>
    </w:p>
    <w:p w:rsidR="0092070E" w:rsidRDefault="0092070E">
      <w:pPr>
        <w:tabs>
          <w:tab w:val="left" w:pos="1134"/>
        </w:tabs>
        <w:spacing w:before="120" w:after="120" w:line="240" w:lineRule="auto"/>
        <w:rPr>
          <w:rFonts w:ascii="Arial" w:eastAsia="Arial" w:hAnsi="Arial" w:cs="Arial"/>
          <w:b/>
          <w:sz w:val="24"/>
          <w:szCs w:val="24"/>
        </w:rPr>
      </w:pPr>
    </w:p>
    <w:p w:rsidR="00633DEE" w:rsidRDefault="00633DEE">
      <w:pPr>
        <w:tabs>
          <w:tab w:val="left" w:pos="1134"/>
        </w:tabs>
        <w:spacing w:before="120" w:after="120" w:line="240" w:lineRule="auto"/>
        <w:rPr>
          <w:rFonts w:ascii="Arial" w:eastAsia="Arial" w:hAnsi="Arial" w:cs="Arial"/>
          <w:b/>
          <w:sz w:val="24"/>
          <w:szCs w:val="24"/>
        </w:rPr>
      </w:pPr>
    </w:p>
    <w:tbl>
      <w:tblPr>
        <w:tblW w:w="8010" w:type="dxa"/>
        <w:jc w:val="center"/>
        <w:tblLayout w:type="fixed"/>
        <w:tblCellMar>
          <w:left w:w="10" w:type="dxa"/>
          <w:right w:w="10" w:type="dxa"/>
        </w:tblCellMar>
        <w:tblLook w:val="04A0" w:firstRow="1" w:lastRow="0" w:firstColumn="1" w:lastColumn="0" w:noHBand="0" w:noVBand="1"/>
      </w:tblPr>
      <w:tblGrid>
        <w:gridCol w:w="4107"/>
        <w:gridCol w:w="1675"/>
        <w:gridCol w:w="2228"/>
      </w:tblGrid>
      <w:tr w:rsidR="00633DEE" w:rsidTr="00F517AC">
        <w:trPr>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Performance Indicator (PI)</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PI Target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Measured by</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Contract Management</w:t>
            </w:r>
          </w:p>
          <w:p w:rsidR="00633DEE" w:rsidRDefault="00633DEE">
            <w:pPr>
              <w:pStyle w:val="Standard"/>
              <w:ind w:left="0"/>
              <w:rPr>
                <w:lang w:eastAsia="en-US"/>
              </w:rPr>
            </w:pPr>
            <w:r>
              <w:rPr>
                <w:lang w:eastAsia="en-US"/>
              </w:rPr>
              <w:t>Respond to CCS for any Framework management matters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jc w:val="center"/>
              <w:rPr>
                <w:lang w:eastAsia="en-US"/>
              </w:rPr>
            </w:pPr>
            <w:r>
              <w:rPr>
                <w:rFonts w:ascii="Arial Unicode MS" w:eastAsia="Arial Unicode MS" w:hAnsi="Arial Unicode MS" w:cs="Arial Unicode MS"/>
                <w:lang w:eastAsia="en-US"/>
              </w:rPr>
              <w:t>≥ 95%</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Responding to correspondence (email or phone) from CCS within 2 Working Days</w:t>
            </w:r>
          </w:p>
          <w:p w:rsidR="00633DEE" w:rsidRDefault="00633DEE">
            <w:pPr>
              <w:pStyle w:val="Standard"/>
              <w:ind w:left="0"/>
              <w:rPr>
                <w:lang w:eastAsia="en-US"/>
              </w:rPr>
            </w:pPr>
            <w:r>
              <w:rPr>
                <w:lang w:eastAsia="en-US"/>
              </w:rPr>
              <w:t>Resolving issues raised within 5 Working Days</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Provide a report to detail the number of Call-Off Contract variations within each Quarter</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rPr>
                <w:lang w:eastAsia="en-US"/>
              </w:rPr>
            </w:pPr>
            <w:r>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Provision of the report 2 weeks after the end of each Quarter</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Management Information</w:t>
            </w:r>
          </w:p>
          <w:p w:rsidR="00633DEE" w:rsidRDefault="00633DEE">
            <w:pPr>
              <w:pStyle w:val="Standard"/>
              <w:ind w:left="0"/>
              <w:rPr>
                <w:lang w:eastAsia="en-US"/>
              </w:rPr>
            </w:pPr>
            <w:r>
              <w:rPr>
                <w:lang w:eastAsia="en-US"/>
              </w:rPr>
              <w:t>Complete, accurate MI template to be returned to CCS by the Reporting Date</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rPr>
                <w:lang w:eastAsia="en-US"/>
              </w:rPr>
            </w:pPr>
            <w:r>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Complete and accurate MI template submitted to CCS by the Reporting Date</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Management Charges to be paid within 30 calendar days from date of invoice issue</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rPr>
                <w:lang w:eastAsia="en-US"/>
              </w:rPr>
            </w:pPr>
            <w:r>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Confirmation of payment received by CCS within 30 calendar days</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Provide accurate and full breakdown of pricing for Services within 14 Working Days of a request from CCS</w:t>
            </w:r>
          </w:p>
          <w:p w:rsidR="00633DEE" w:rsidRPr="00633DEE" w:rsidRDefault="00633DEE" w:rsidP="00C33523">
            <w:pPr>
              <w:rPr>
                <w:lang w:eastAsia="en-US"/>
              </w:rPr>
            </w:pP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rPr>
                <w:lang w:eastAsia="en-US"/>
              </w:rPr>
            </w:pPr>
            <w:r>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Confirmation of receipt of full and accurate information by CCS</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Provide accurate and full information when requested by CCS for pricing calculations relating to a fixed or capped price bid under a Call-Off Contract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rPr>
                <w:lang w:eastAsia="en-US"/>
              </w:rPr>
            </w:pPr>
            <w:r>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Confirmation of receipt of full and accurate information by CCS</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b/>
                <w:lang w:eastAsia="en-US"/>
              </w:rPr>
              <w:t>Customer Service</w:t>
            </w:r>
          </w:p>
          <w:p w:rsidR="00633DEE" w:rsidRDefault="00633DEE">
            <w:pPr>
              <w:pStyle w:val="Standard"/>
              <w:ind w:left="0"/>
              <w:rPr>
                <w:lang w:eastAsia="en-US"/>
              </w:rPr>
            </w:pPr>
            <w:r>
              <w:rPr>
                <w:lang w:eastAsia="en-US"/>
              </w:rPr>
              <w:t>Customer satisfaction</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Customer satisfaction of 90% or above</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Default="00633DEE">
            <w:pPr>
              <w:pStyle w:val="Standard"/>
              <w:ind w:left="0"/>
              <w:rPr>
                <w:lang w:eastAsia="en-US"/>
              </w:rPr>
            </w:pPr>
            <w:r>
              <w:rPr>
                <w:lang w:eastAsia="en-US"/>
              </w:rPr>
              <w:t xml:space="preserve">% of responders who are satisfied or better at the end of SOW/ customer satisfaction report. The Buyer may use the Balanced Scorecard to score </w:t>
            </w:r>
            <w:r>
              <w:rPr>
                <w:lang w:eastAsia="en-US"/>
              </w:rPr>
              <w:lastRenderedPageBreak/>
              <w:t>their satisfaction against Supplier’s performance during that SOW.</w:t>
            </w:r>
          </w:p>
        </w:tc>
      </w:tr>
      <w:tr w:rsidR="00633DEE"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Pr="005F1449" w:rsidRDefault="00633DEE">
            <w:pPr>
              <w:pStyle w:val="Standard"/>
              <w:ind w:left="0"/>
              <w:rPr>
                <w:lang w:eastAsia="en-US"/>
              </w:rPr>
            </w:pPr>
            <w:r w:rsidRPr="005F1449">
              <w:rPr>
                <w:lang w:eastAsia="en-US"/>
              </w:rPr>
              <w:lastRenderedPageBreak/>
              <w:t>Responsiveness to Further Competitions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33DEE" w:rsidRPr="005F1449" w:rsidRDefault="00633DEE">
            <w:pPr>
              <w:pStyle w:val="Standard"/>
              <w:ind w:left="0"/>
              <w:jc w:val="center"/>
              <w:rPr>
                <w:lang w:eastAsia="en-US"/>
              </w:rPr>
            </w:pPr>
            <w:r w:rsidRPr="005F1449">
              <w:rPr>
                <w:lang w:eastAsia="en-US"/>
              </w:rPr>
              <w:t>≥ 95% per quarter</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17AC" w:rsidRPr="005F1449" w:rsidRDefault="00633DEE">
            <w:pPr>
              <w:pStyle w:val="Standard"/>
              <w:ind w:left="0"/>
              <w:rPr>
                <w:color w:val="222222"/>
                <w:shd w:val="clear" w:color="auto" w:fill="FFFFFF"/>
              </w:rPr>
            </w:pPr>
            <w:r w:rsidRPr="005F1449">
              <w:rPr>
                <w:lang w:eastAsia="en-US"/>
              </w:rPr>
              <w:t>Responding to further competitions issued via the Framework (at shortlisting stage).</w:t>
            </w:r>
            <w:r w:rsidR="00F517AC" w:rsidRPr="005F1449">
              <w:rPr>
                <w:color w:val="222222"/>
                <w:shd w:val="clear" w:color="auto" w:fill="FFFFFF"/>
              </w:rPr>
              <w:t xml:space="preserve"> </w:t>
            </w:r>
          </w:p>
          <w:p w:rsidR="00633DEE" w:rsidRPr="005F1449" w:rsidRDefault="00F517AC">
            <w:pPr>
              <w:pStyle w:val="Standard"/>
              <w:ind w:left="0"/>
              <w:rPr>
                <w:lang w:eastAsia="en-US"/>
              </w:rPr>
            </w:pPr>
            <w:r w:rsidRPr="005F1449">
              <w:rPr>
                <w:color w:val="222222"/>
                <w:shd w:val="clear" w:color="auto" w:fill="FFFFFF"/>
              </w:rPr>
              <w:t>The Supplier will provide the Contracting Authority and CCS with rationale behind any decision to make no bid at Call off level. This will include feedback for the Contracting Authority to consider around their approach to service delivery and Invitation to Tender. Monthly.   Confirmation by the CCS of the Supplier’s performance against engagement activities</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C33523" w:rsidRDefault="00FE133A" w:rsidP="00C33523">
            <w:pPr>
              <w:shd w:val="clear" w:color="auto" w:fill="FFFFFF"/>
              <w:spacing w:before="100" w:beforeAutospacing="1" w:after="100" w:afterAutospacing="1" w:line="240" w:lineRule="auto"/>
              <w:rPr>
                <w:rFonts w:eastAsia="Times New Roman"/>
                <w:color w:val="222222"/>
              </w:rPr>
            </w:pPr>
            <w:r w:rsidRPr="00C33523">
              <w:rPr>
                <w:rFonts w:ascii="Arial" w:eastAsia="Times New Roman" w:hAnsi="Arial" w:cs="Arial"/>
                <w:color w:val="222222"/>
              </w:rPr>
              <w:t>Supplier self-audit certificate to be issued to the CCS in accordance with the Framework Agreemen</w:t>
            </w:r>
            <w:r w:rsidR="005F1449" w:rsidRPr="00C33523">
              <w:rPr>
                <w:rFonts w:ascii="Arial" w:eastAsia="Times New Roman" w:hAnsi="Arial" w:cs="Arial"/>
                <w:color w:val="222222"/>
              </w:rPr>
              <w:t>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3153B7" w:rsidRDefault="005F1449" w:rsidP="00C33523">
            <w:pPr>
              <w:shd w:val="clear" w:color="auto" w:fill="FFFFFF"/>
              <w:spacing w:before="100" w:beforeAutospacing="1" w:after="100" w:afterAutospacing="1" w:line="240" w:lineRule="auto"/>
              <w:rPr>
                <w:lang w:eastAsia="en-US"/>
              </w:rPr>
            </w:pPr>
            <w:r w:rsidRPr="00C33523">
              <w:rPr>
                <w:rFonts w:ascii="Arial" w:eastAsia="Times New Roman" w:hAnsi="Arial" w:cs="Arial"/>
                <w:color w:val="222222"/>
              </w:rPr>
              <w:t>Confirmation of receipt and time of receipt by CCS </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rsidP="00F517AC">
            <w:pPr>
              <w:pStyle w:val="Standard"/>
              <w:ind w:left="0"/>
              <w:rPr>
                <w:lang w:eastAsia="en-US"/>
              </w:rPr>
            </w:pPr>
            <w:r w:rsidRPr="00C33523">
              <w:rPr>
                <w:rFonts w:eastAsia="Times New Roman"/>
                <w:color w:val="222222"/>
              </w:rPr>
              <w:t>Actions identified in an Audit Report to be delivered by the dates set out in the Audit</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t>100%</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rPr>
                <w:lang w:eastAsia="en-US"/>
              </w:rPr>
            </w:pPr>
            <w:r w:rsidRPr="00C33523">
              <w:rPr>
                <w:rFonts w:eastAsia="Times New Roman"/>
                <w:color w:val="222222"/>
              </w:rPr>
              <w:t>Confirmation by the CCS of completion of the actions by the dates identified in the Audit Report.</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rsidP="00F517AC">
            <w:pPr>
              <w:pStyle w:val="Standard"/>
              <w:ind w:left="0"/>
              <w:rPr>
                <w:lang w:eastAsia="en-US"/>
              </w:rPr>
            </w:pPr>
            <w:r w:rsidRPr="00C33523">
              <w:rPr>
                <w:rFonts w:eastAsia="Times New Roman"/>
                <w:color w:val="222222"/>
              </w:rPr>
              <w:t>Supplier to make payments to all sub-contracted Providers in line with the agreed payment terms.   </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t>Monthly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rPr>
                <w:lang w:eastAsia="en-US"/>
              </w:rPr>
            </w:pPr>
            <w:r w:rsidRPr="00C33523">
              <w:rPr>
                <w:rFonts w:eastAsia="Times New Roman"/>
                <w:color w:val="222222"/>
              </w:rPr>
              <w:t>Evidence provided in the monthly performance report submitted to the CCS.</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3153B7" w:rsidRDefault="005F1449" w:rsidP="00C33523">
            <w:pPr>
              <w:shd w:val="clear" w:color="auto" w:fill="FFFFFF"/>
              <w:spacing w:before="100" w:beforeAutospacing="1" w:after="100" w:afterAutospacing="1" w:line="240" w:lineRule="auto"/>
              <w:rPr>
                <w:lang w:eastAsia="en-US"/>
              </w:rPr>
            </w:pPr>
            <w:r w:rsidRPr="00C33523">
              <w:rPr>
                <w:rFonts w:ascii="Arial" w:eastAsia="Times New Roman" w:hAnsi="Arial" w:cs="Arial"/>
                <w:color w:val="222222"/>
              </w:rPr>
              <w:t>Social Value: Supplier to provide an annual Social Value delivery statement. </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t>Annually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3153B7" w:rsidRDefault="005F1449" w:rsidP="00C33523">
            <w:pPr>
              <w:shd w:val="clear" w:color="auto" w:fill="FFFFFF"/>
              <w:spacing w:before="100" w:beforeAutospacing="1" w:after="100" w:afterAutospacing="1" w:line="240" w:lineRule="auto"/>
              <w:rPr>
                <w:lang w:eastAsia="en-US"/>
              </w:rPr>
            </w:pPr>
            <w:r w:rsidRPr="00C33523">
              <w:rPr>
                <w:rFonts w:ascii="Arial" w:eastAsia="Times New Roman" w:hAnsi="Arial" w:cs="Arial"/>
                <w:color w:val="222222"/>
              </w:rPr>
              <w:t>Confirmation of receipt and time of receipt by CCS.</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C33523" w:rsidRDefault="005F1449" w:rsidP="00C33523">
            <w:pPr>
              <w:shd w:val="clear" w:color="auto" w:fill="FFFFFF"/>
              <w:spacing w:before="100" w:beforeAutospacing="1" w:after="100" w:afterAutospacing="1" w:line="240" w:lineRule="auto"/>
              <w:rPr>
                <w:rFonts w:eastAsia="Times New Roman"/>
                <w:color w:val="222222"/>
              </w:rPr>
            </w:pPr>
            <w:r w:rsidRPr="00C33523">
              <w:rPr>
                <w:rFonts w:ascii="Arial" w:eastAsia="Times New Roman" w:hAnsi="Arial" w:cs="Arial"/>
                <w:color w:val="222222"/>
              </w:rPr>
              <w:t xml:space="preserve">Modern Slavery Assessments: Supplier to provide an annual Slavery and Human Trafficking </w:t>
            </w:r>
            <w:r w:rsidRPr="00C33523">
              <w:rPr>
                <w:rFonts w:ascii="Arial" w:eastAsia="Times New Roman" w:hAnsi="Arial" w:cs="Arial"/>
                <w:color w:val="222222"/>
              </w:rPr>
              <w:lastRenderedPageBreak/>
              <w:t>report.   Annually.    Confirmation of receipt and time of receipt by CCS.</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lastRenderedPageBreak/>
              <w:t>Annually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rPr>
                <w:lang w:eastAsia="en-US"/>
              </w:rPr>
            </w:pPr>
            <w:r w:rsidRPr="00C33523">
              <w:rPr>
                <w:rFonts w:eastAsia="Times New Roman"/>
                <w:color w:val="222222"/>
              </w:rPr>
              <w:t xml:space="preserve">Confirmation of receipt and time of </w:t>
            </w:r>
            <w:r w:rsidRPr="00C33523">
              <w:rPr>
                <w:rFonts w:eastAsia="Times New Roman"/>
                <w:color w:val="222222"/>
              </w:rPr>
              <w:lastRenderedPageBreak/>
              <w:t>receipt by CCS.</w:t>
            </w:r>
          </w:p>
        </w:tc>
      </w:tr>
      <w:tr w:rsidR="00F517AC"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3153B7" w:rsidRDefault="005F1449" w:rsidP="00C33523">
            <w:pPr>
              <w:shd w:val="clear" w:color="auto" w:fill="FFFFFF"/>
              <w:spacing w:before="100" w:beforeAutospacing="1" w:after="100" w:afterAutospacing="1" w:line="240" w:lineRule="auto"/>
              <w:rPr>
                <w:lang w:eastAsia="en-US"/>
              </w:rPr>
            </w:pPr>
            <w:r w:rsidRPr="00C33523">
              <w:rPr>
                <w:rFonts w:ascii="Arial" w:eastAsia="Times New Roman" w:hAnsi="Arial" w:cs="Arial"/>
                <w:color w:val="222222"/>
              </w:rPr>
              <w:lastRenderedPageBreak/>
              <w:t>Carbon Net Zero: Supplier to provide an annual Carbon Reduction Plan</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jc w:val="center"/>
              <w:rPr>
                <w:lang w:eastAsia="en-US"/>
              </w:rPr>
            </w:pPr>
            <w:r w:rsidRPr="005F1449">
              <w:rPr>
                <w:lang w:eastAsia="en-US"/>
              </w:rPr>
              <w:t>Annually</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17AC" w:rsidRPr="005F1449" w:rsidRDefault="005F1449">
            <w:pPr>
              <w:pStyle w:val="Standard"/>
              <w:ind w:left="0"/>
              <w:rPr>
                <w:lang w:eastAsia="en-US"/>
              </w:rPr>
            </w:pPr>
            <w:r w:rsidRPr="00C33523">
              <w:rPr>
                <w:rFonts w:eastAsia="Times New Roman"/>
                <w:color w:val="222222"/>
              </w:rPr>
              <w:t>Confirmation of receipt and time of receipt by CCS.</w:t>
            </w:r>
          </w:p>
        </w:tc>
      </w:tr>
      <w:tr w:rsidR="005F1449" w:rsidTr="00F517AC">
        <w:trPr>
          <w:trHeight w:val="787"/>
          <w:jc w:val="center"/>
        </w:trPr>
        <w:tc>
          <w:tcPr>
            <w:tcW w:w="4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1449" w:rsidRPr="005F1449" w:rsidRDefault="005F1449" w:rsidP="00F517AC">
            <w:pPr>
              <w:pStyle w:val="Standard"/>
              <w:ind w:left="0"/>
              <w:rPr>
                <w:lang w:eastAsia="en-US"/>
              </w:rPr>
            </w:pPr>
            <w:r w:rsidRPr="00C33523">
              <w:rPr>
                <w:rFonts w:eastAsia="Times New Roman"/>
                <w:color w:val="222222"/>
              </w:rPr>
              <w:t xml:space="preserve">The Supplier will provide CCS with case study examples for all appropriate Call-off Contracts delivered, or other marketing collateral that may support new business development and/or sharing of industry best practice.     </w:t>
            </w:r>
          </w:p>
        </w:tc>
        <w:tc>
          <w:tcPr>
            <w:tcW w:w="1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1449" w:rsidRPr="005F1449" w:rsidRDefault="005F1449">
            <w:pPr>
              <w:pStyle w:val="Standard"/>
              <w:ind w:left="0"/>
              <w:jc w:val="center"/>
              <w:rPr>
                <w:lang w:eastAsia="en-US"/>
              </w:rPr>
            </w:pPr>
            <w:r w:rsidRPr="00C33523">
              <w:rPr>
                <w:rFonts w:eastAsia="Times New Roman"/>
                <w:color w:val="222222"/>
              </w:rPr>
              <w:t>Annually as a minimum and as and when requested by the Contracting Authority  </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1449" w:rsidRPr="005F1449" w:rsidRDefault="005F1449">
            <w:pPr>
              <w:pStyle w:val="Standard"/>
              <w:ind w:left="0"/>
              <w:rPr>
                <w:lang w:eastAsia="en-US"/>
              </w:rPr>
            </w:pPr>
            <w:r w:rsidRPr="00C33523">
              <w:rPr>
                <w:rFonts w:eastAsia="Times New Roman"/>
                <w:color w:val="222222"/>
              </w:rPr>
              <w:t>Confirmation by the CCS of the Supplier’s performance against case study and marketing materials.</w:t>
            </w:r>
          </w:p>
        </w:tc>
      </w:tr>
    </w:tbl>
    <w:p w:rsidR="00633DEE" w:rsidRDefault="00633DEE">
      <w:pPr>
        <w:tabs>
          <w:tab w:val="left" w:pos="1134"/>
        </w:tabs>
        <w:spacing w:before="120" w:after="120" w:line="240" w:lineRule="auto"/>
        <w:rPr>
          <w:rFonts w:ascii="Arial" w:eastAsia="Arial" w:hAnsi="Arial" w:cs="Arial"/>
          <w:b/>
          <w:sz w:val="24"/>
          <w:szCs w:val="24"/>
        </w:rPr>
      </w:pP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adjust, introduce new, or remove PIs throughout the Framework Contract Period, however any significant changes to PIs shall be agreed between CCS and the Supplier in accordance with the Variation Procedure.</w:t>
      </w:r>
    </w:p>
    <w:p w:rsidR="0092070E" w:rsidRDefault="00452950">
      <w:pPr>
        <w:numPr>
          <w:ilvl w:val="1"/>
          <w:numId w:val="2"/>
        </w:numPr>
        <w:pBdr>
          <w:top w:val="nil"/>
          <w:left w:val="nil"/>
          <w:bottom w:val="nil"/>
          <w:right w:val="nil"/>
          <w:between w:val="nil"/>
        </w:pBdr>
        <w:tabs>
          <w:tab w:val="left" w:pos="1134"/>
        </w:tabs>
        <w:spacing w:before="120" w:after="120" w:line="240" w:lineRule="auto"/>
        <w:ind w:left="900" w:hanging="540"/>
        <w:rPr>
          <w:rFonts w:ascii="Arial" w:eastAsia="Arial" w:hAnsi="Arial" w:cs="Arial"/>
          <w:color w:val="000000"/>
          <w:sz w:val="24"/>
          <w:szCs w:val="24"/>
        </w:rPr>
      </w:pPr>
      <w:r>
        <w:rPr>
          <w:rFonts w:ascii="Arial" w:eastAsia="Arial" w:hAnsi="Arial" w:cs="Arial"/>
          <w:color w:val="000000"/>
          <w:sz w:val="24"/>
          <w:szCs w:val="24"/>
        </w:rPr>
        <w:t>CCS reserves the right to use and publish the performance of the Supplier against the PIs without restriction.</w:t>
      </w:r>
    </w:p>
    <w:p w:rsidR="0092070E" w:rsidRDefault="00452950">
      <w:pPr>
        <w:keepLines/>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What the Supplier must do to measure their performance</w:t>
      </w:r>
    </w:p>
    <w:p w:rsidR="0092070E" w:rsidRDefault="00452950">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rsidR="0092070E" w:rsidRDefault="00452950">
      <w:pPr>
        <w:keepNext/>
        <w:numPr>
          <w:ilvl w:val="0"/>
          <w:numId w:val="2"/>
        </w:numPr>
        <w:pBdr>
          <w:top w:val="nil"/>
          <w:left w:val="nil"/>
          <w:bottom w:val="nil"/>
          <w:right w:val="nil"/>
          <w:between w:val="nil"/>
        </w:pBdr>
        <w:tabs>
          <w:tab w:val="left" w:pos="142"/>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 xml:space="preserve">What to do if CCS and the Supplier can’t agree about the performance </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rsidR="0092070E" w:rsidRDefault="00452950">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bookmarkStart w:id="7" w:name="_heading=h.3dy6vkm" w:colFirst="0" w:colLast="0"/>
      <w:bookmarkEnd w:id="7"/>
      <w:r>
        <w:rPr>
          <w:rFonts w:ascii="Arial Bold" w:eastAsia="Arial Bold" w:hAnsi="Arial Bold" w:cs="Arial Bold"/>
          <w:b/>
          <w:color w:val="000000"/>
          <w:sz w:val="24"/>
          <w:szCs w:val="24"/>
        </w:rPr>
        <w:t>Marketing</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rsidR="0092070E" w:rsidRDefault="00452950">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The Supplier shall supply current information relating to the Goods and/or Services it offers for inclusion in CCS marketing materials when required by CCS from time to time.</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4d34og8" w:colFirst="0" w:colLast="0"/>
      <w:bookmarkEnd w:id="9"/>
      <w:r>
        <w:rPr>
          <w:rFonts w:ascii="Arial" w:eastAsia="Arial" w:hAnsi="Arial" w:cs="Arial"/>
          <w:color w:val="000000"/>
          <w:sz w:val="24"/>
          <w:szCs w:val="24"/>
        </w:rPr>
        <w:t>Such information shall be provided in such form and at such time as CCS may request.</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Failure to comply with the provisions of Paragraphs 7.2 and 7.3 may result in the Supplier's exclusion from the use of such marketing materials.</w:t>
      </w:r>
    </w:p>
    <w:p w:rsidR="0092070E" w:rsidRDefault="00452950">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 marketing materials produced by the Supplier in relation to this Framework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will periodically update and revise its marketing materials to ensure ongoing compliance.</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rsidR="0092070E" w:rsidRDefault="00452950">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92070E" w:rsidRDefault="00452950">
      <w:pPr>
        <w:keepNext/>
        <w:numPr>
          <w:ilvl w:val="0"/>
          <w:numId w:val="2"/>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Where CCS might oversee parts of the Call-Off Contracts</w:t>
      </w:r>
    </w:p>
    <w:p w:rsidR="0092070E" w:rsidRDefault="00452950">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CCS shall have oversight of certain processes which are operated under Call-Off Contracts. Such oversight shall be provided in relation to the operation of the following Schedules in each Call-</w:t>
      </w:r>
      <w:r w:rsidR="000B7890">
        <w:rPr>
          <w:rFonts w:ascii="Arial" w:eastAsia="Arial" w:hAnsi="Arial" w:cs="Arial"/>
          <w:color w:val="000000"/>
          <w:sz w:val="24"/>
          <w:szCs w:val="24"/>
        </w:rPr>
        <w:t>Off Contract</w:t>
      </w:r>
      <w:r>
        <w:rPr>
          <w:rFonts w:ascii="Arial" w:eastAsia="Arial" w:hAnsi="Arial" w:cs="Arial"/>
          <w:color w:val="000000"/>
          <w:sz w:val="24"/>
          <w:szCs w:val="24"/>
        </w:rPr>
        <w:t>:</w:t>
      </w:r>
    </w:p>
    <w:p w:rsidR="0092070E" w:rsidRPr="00C33523" w:rsidRDefault="00452950">
      <w:pPr>
        <w:numPr>
          <w:ilvl w:val="2"/>
          <w:numId w:val="2"/>
        </w:numPr>
        <w:pBdr>
          <w:top w:val="nil"/>
          <w:left w:val="nil"/>
          <w:bottom w:val="nil"/>
          <w:right w:val="nil"/>
          <w:between w:val="nil"/>
        </w:pBdr>
        <w:tabs>
          <w:tab w:val="left" w:pos="1985"/>
        </w:tabs>
        <w:spacing w:before="120" w:after="120" w:line="240" w:lineRule="auto"/>
        <w:ind w:left="2421"/>
        <w:jc w:val="both"/>
        <w:rPr>
          <w:rFonts w:ascii="Arial" w:eastAsia="Arial" w:hAnsi="Arial" w:cs="Arial"/>
          <w:color w:val="000000"/>
          <w:sz w:val="24"/>
          <w:szCs w:val="24"/>
        </w:rPr>
      </w:pPr>
      <w:r w:rsidRPr="00C33523">
        <w:rPr>
          <w:rFonts w:ascii="Arial" w:eastAsia="Arial" w:hAnsi="Arial" w:cs="Arial"/>
          <w:color w:val="000000"/>
          <w:sz w:val="24"/>
          <w:szCs w:val="24"/>
        </w:rPr>
        <w:t>Call-Off Schedule 3 (Continuous Improvement);</w:t>
      </w:r>
    </w:p>
    <w:p w:rsidR="0092070E" w:rsidRPr="00C33523" w:rsidRDefault="00452950">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sidRPr="00C33523">
        <w:rPr>
          <w:rFonts w:ascii="Arial" w:eastAsia="Arial" w:hAnsi="Arial" w:cs="Arial"/>
          <w:color w:val="000000"/>
          <w:sz w:val="24"/>
          <w:szCs w:val="24"/>
        </w:rPr>
        <w:t>Call-Off Schedule 8 (Business Continuity and Disaster Recovery);</w:t>
      </w:r>
    </w:p>
    <w:p w:rsidR="0092070E" w:rsidRPr="00C33523"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C33523">
        <w:rPr>
          <w:rFonts w:ascii="Arial" w:eastAsia="Arial" w:hAnsi="Arial" w:cs="Arial"/>
          <w:color w:val="000000"/>
          <w:sz w:val="24"/>
          <w:szCs w:val="24"/>
        </w:rPr>
        <w:t>Call-Off Schedule 9 (Security); and</w:t>
      </w:r>
    </w:p>
    <w:p w:rsidR="0092070E" w:rsidRPr="00C33523"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sidRPr="00C33523">
        <w:rPr>
          <w:rFonts w:ascii="Arial" w:eastAsia="Arial" w:hAnsi="Arial" w:cs="Arial"/>
          <w:color w:val="000000"/>
          <w:sz w:val="24"/>
          <w:szCs w:val="24"/>
        </w:rPr>
        <w:t>Call-Off Schedule 16 (Benchmarking).</w:t>
      </w:r>
    </w:p>
    <w:p w:rsidR="0092070E" w:rsidRDefault="00452950">
      <w:pPr>
        <w:pBdr>
          <w:top w:val="nil"/>
          <w:left w:val="nil"/>
          <w:bottom w:val="nil"/>
          <w:right w:val="nil"/>
          <w:between w:val="nil"/>
        </w:pBdr>
        <w:tabs>
          <w:tab w:val="left" w:pos="1985"/>
        </w:tabs>
        <w:spacing w:before="120" w:after="120" w:line="240" w:lineRule="auto"/>
        <w:ind w:left="2160" w:hanging="450"/>
        <w:rPr>
          <w:rFonts w:ascii="Arial" w:eastAsia="Arial" w:hAnsi="Arial" w:cs="Arial"/>
          <w:color w:val="000000"/>
          <w:sz w:val="24"/>
          <w:szCs w:val="24"/>
        </w:rPr>
      </w:pPr>
      <w:r>
        <w:rPr>
          <w:rFonts w:ascii="Arial" w:eastAsia="Arial" w:hAnsi="Arial" w:cs="Arial"/>
          <w:color w:val="000000"/>
          <w:sz w:val="24"/>
          <w:szCs w:val="24"/>
        </w:rPr>
        <w:t xml:space="preserve"> (the </w:t>
      </w:r>
      <w:r>
        <w:rPr>
          <w:rFonts w:ascii="Arial" w:eastAsia="Arial" w:hAnsi="Arial" w:cs="Arial"/>
          <w:b/>
          <w:color w:val="000000"/>
          <w:sz w:val="24"/>
          <w:szCs w:val="24"/>
        </w:rPr>
        <w:t>"Supported Schedules"</w:t>
      </w:r>
      <w:r>
        <w:rPr>
          <w:rFonts w:ascii="Arial" w:eastAsia="Arial" w:hAnsi="Arial" w:cs="Arial"/>
          <w:color w:val="000000"/>
          <w:sz w:val="24"/>
          <w:szCs w:val="24"/>
        </w:rPr>
        <w:t>)</w:t>
      </w:r>
    </w:p>
    <w:p w:rsidR="0092070E" w:rsidRDefault="00452950">
      <w:pPr>
        <w:keepNext/>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support CCS involvement</w:t>
      </w:r>
    </w:p>
    <w:p w:rsidR="0092070E" w:rsidRDefault="00452950">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co-operate as reasonably required by CCS in relation to the Supported Schedules including:</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provision of information;</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allowing CCS to act as agent for the Buyers under the Supported Schedules for such matters as CCS may notify to the Supplier from time to time; and</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other matters as CCS may notify to the Supplier from time to time.</w:t>
      </w:r>
    </w:p>
    <w:p w:rsidR="0092070E" w:rsidRDefault="00452950">
      <w:pPr>
        <w:pBdr>
          <w:top w:val="nil"/>
          <w:left w:val="nil"/>
          <w:bottom w:val="nil"/>
          <w:right w:val="nil"/>
          <w:between w:val="nil"/>
        </w:pBdr>
        <w:tabs>
          <w:tab w:val="left" w:pos="113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 xml:space="preserve">Where CCS might manage the process for Buyers collectively </w:t>
      </w:r>
    </w:p>
    <w:p w:rsidR="0092070E" w:rsidRPr="00163E5B" w:rsidRDefault="00452950">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addition to general oversight as referred to above the following specific oversight shall </w:t>
      </w:r>
      <w:r w:rsidRPr="00163E5B">
        <w:rPr>
          <w:rFonts w:ascii="Arial" w:eastAsia="Arial" w:hAnsi="Arial" w:cs="Arial"/>
          <w:color w:val="000000"/>
          <w:sz w:val="24"/>
          <w:szCs w:val="24"/>
        </w:rPr>
        <w:t>apply to the individual Supported Schedules:</w:t>
      </w:r>
    </w:p>
    <w:p w:rsidR="0092070E" w:rsidRPr="00163E5B" w:rsidRDefault="00020BE0">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sidRPr="00163E5B" w:rsidDel="00020BE0">
        <w:rPr>
          <w:rFonts w:ascii="Arial" w:eastAsia="Arial" w:hAnsi="Arial" w:cs="Arial"/>
          <w:b/>
          <w:color w:val="000000"/>
          <w:sz w:val="24"/>
          <w:szCs w:val="24"/>
        </w:rPr>
        <w:t xml:space="preserve"> </w:t>
      </w:r>
      <w:r w:rsidR="00452950" w:rsidRPr="00163E5B">
        <w:rPr>
          <w:rFonts w:ascii="Arial" w:eastAsia="Arial" w:hAnsi="Arial" w:cs="Arial"/>
          <w:color w:val="000000"/>
          <w:sz w:val="24"/>
          <w:szCs w:val="24"/>
        </w:rPr>
        <w:t>Call-Off Schedule 3 (Continuous Improvement) - the Supplier shall:</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adopt a policy of continuous improvement in relation to the Deliverables;</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rsidR="0092070E" w:rsidRDefault="00452950">
      <w:pPr>
        <w:numPr>
          <w:ilvl w:val="2"/>
          <w:numId w:val="2"/>
        </w:numPr>
        <w:pBdr>
          <w:top w:val="nil"/>
          <w:left w:val="nil"/>
          <w:bottom w:val="nil"/>
          <w:right w:val="nil"/>
          <w:between w:val="nil"/>
        </w:pBdr>
        <w:tabs>
          <w:tab w:val="left" w:pos="1985"/>
        </w:tabs>
        <w:spacing w:before="120" w:after="120" w:line="240" w:lineRule="auto"/>
        <w:ind w:left="2421"/>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 - the Supplier shall:</w:t>
      </w:r>
    </w:p>
    <w:p w:rsidR="0092070E" w:rsidRPr="00633DEE" w:rsidRDefault="00452950" w:rsidP="00633DEE">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hold a template BCDR plan that can be used by each Buyer and shall make it available to CCS so that it can be published to potential Buyers; and</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notify CCS </w:t>
      </w:r>
      <w:r w:rsidR="00020BE0">
        <w:rPr>
          <w:rFonts w:ascii="Arial" w:eastAsia="Arial" w:hAnsi="Arial" w:cs="Arial"/>
          <w:color w:val="000000"/>
          <w:sz w:val="24"/>
          <w:szCs w:val="24"/>
        </w:rPr>
        <w:t xml:space="preserve">within 3 working days </w:t>
      </w:r>
      <w:r>
        <w:rPr>
          <w:rFonts w:ascii="Arial" w:eastAsia="Arial" w:hAnsi="Arial" w:cs="Arial"/>
          <w:color w:val="000000"/>
          <w:sz w:val="24"/>
          <w:szCs w:val="24"/>
        </w:rPr>
        <w:t>in the event of the invocation or potential invocation of any BCDR plan and the Supplier shall provide such support as CCS may reasonably require to coordinate the application of BCDR plans across all Call</w:t>
      </w:r>
      <w:r w:rsidR="00020BE0">
        <w:rPr>
          <w:rFonts w:ascii="Arial" w:eastAsia="Arial" w:hAnsi="Arial" w:cs="Arial"/>
          <w:color w:val="000000"/>
          <w:sz w:val="24"/>
          <w:szCs w:val="24"/>
        </w:rPr>
        <w:t>-</w:t>
      </w:r>
      <w:r>
        <w:rPr>
          <w:rFonts w:ascii="Arial" w:eastAsia="Arial" w:hAnsi="Arial" w:cs="Arial"/>
          <w:color w:val="000000"/>
          <w:sz w:val="24"/>
          <w:szCs w:val="24"/>
        </w:rPr>
        <w:t>Off Contracts.</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9 (Security) - the Supplier shall:</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425"/>
        <w:rPr>
          <w:rFonts w:ascii="Arial" w:eastAsia="Arial" w:hAnsi="Arial" w:cs="Arial"/>
          <w:color w:val="000000"/>
          <w:sz w:val="24"/>
          <w:szCs w:val="24"/>
        </w:rPr>
      </w:pPr>
      <w:r>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notify CCS</w:t>
      </w:r>
      <w:r w:rsidR="00020BE0">
        <w:rPr>
          <w:rFonts w:ascii="Arial" w:eastAsia="Arial" w:hAnsi="Arial" w:cs="Arial"/>
          <w:color w:val="000000"/>
          <w:sz w:val="24"/>
          <w:szCs w:val="24"/>
        </w:rPr>
        <w:t xml:space="preserve"> no later than 1 working day</w:t>
      </w:r>
      <w:r>
        <w:rPr>
          <w:rFonts w:ascii="Arial" w:eastAsia="Arial" w:hAnsi="Arial" w:cs="Arial"/>
          <w:color w:val="000000"/>
          <w:sz w:val="24"/>
          <w:szCs w:val="24"/>
        </w:rPr>
        <w:t xml:space="preserve"> in the event of breach of any Security Plan and the Supplier shall provide such support as CCS may reasonably require to coordinate the application of Security Plans across all Call</w:t>
      </w:r>
      <w:r w:rsidR="00020BE0">
        <w:rPr>
          <w:rFonts w:ascii="Arial" w:eastAsia="Arial" w:hAnsi="Arial" w:cs="Arial"/>
          <w:color w:val="000000"/>
          <w:sz w:val="24"/>
          <w:szCs w:val="24"/>
        </w:rPr>
        <w:t>-</w:t>
      </w:r>
      <w:r>
        <w:rPr>
          <w:rFonts w:ascii="Arial" w:eastAsia="Arial" w:hAnsi="Arial" w:cs="Arial"/>
          <w:color w:val="000000"/>
          <w:sz w:val="24"/>
          <w:szCs w:val="24"/>
        </w:rPr>
        <w:t>Off Contracts.</w:t>
      </w:r>
    </w:p>
    <w:p w:rsidR="0092070E" w:rsidRDefault="00452950">
      <w:pPr>
        <w:numPr>
          <w:ilvl w:val="2"/>
          <w:numId w:val="2"/>
        </w:num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Call-Off Schedule 16 (Benchmarking) - the Supplier:</w:t>
      </w:r>
    </w:p>
    <w:p w:rsidR="0092070E" w:rsidRDefault="00452950">
      <w:pPr>
        <w:numPr>
          <w:ilvl w:val="3"/>
          <w:numId w:val="2"/>
        </w:numPr>
        <w:pBdr>
          <w:top w:val="nil"/>
          <w:left w:val="nil"/>
          <w:bottom w:val="nil"/>
          <w:right w:val="nil"/>
          <w:between w:val="nil"/>
        </w:pBdr>
        <w:tabs>
          <w:tab w:val="left" w:pos="1985"/>
        </w:tabs>
        <w:spacing w:before="120" w:after="120" w:line="240" w:lineRule="auto"/>
        <w:ind w:left="1985" w:firstLine="0"/>
        <w:rPr>
          <w:rFonts w:ascii="Arial" w:eastAsia="Arial" w:hAnsi="Arial" w:cs="Arial"/>
          <w:color w:val="000000"/>
          <w:sz w:val="24"/>
          <w:szCs w:val="24"/>
        </w:rPr>
      </w:pPr>
      <w:r>
        <w:rPr>
          <w:rFonts w:ascii="Arial" w:eastAsia="Arial" w:hAnsi="Arial" w:cs="Arial"/>
          <w:color w:val="000000"/>
          <w:sz w:val="24"/>
          <w:szCs w:val="24"/>
        </w:rPr>
        <w:t>shall notify CCS</w:t>
      </w:r>
      <w:r w:rsidR="00020BE0">
        <w:rPr>
          <w:rFonts w:ascii="Arial" w:eastAsia="Arial" w:hAnsi="Arial" w:cs="Arial"/>
          <w:color w:val="000000"/>
          <w:sz w:val="24"/>
          <w:szCs w:val="24"/>
        </w:rPr>
        <w:t xml:space="preserve"> no later than 10 working days</w:t>
      </w:r>
      <w:r>
        <w:rPr>
          <w:rFonts w:ascii="Arial" w:eastAsia="Arial" w:hAnsi="Arial" w:cs="Arial"/>
          <w:color w:val="000000"/>
          <w:sz w:val="24"/>
          <w:szCs w:val="24"/>
        </w:rPr>
        <w:t xml:space="preserve"> in the event that any benchmarker is appoint in respect of any Call</w:t>
      </w:r>
      <w:r w:rsidR="00020BE0">
        <w:rPr>
          <w:rFonts w:ascii="Arial" w:eastAsia="Arial" w:hAnsi="Arial" w:cs="Arial"/>
          <w:color w:val="000000"/>
          <w:sz w:val="24"/>
          <w:szCs w:val="24"/>
        </w:rPr>
        <w:t>-</w:t>
      </w:r>
      <w:r>
        <w:rPr>
          <w:rFonts w:ascii="Arial" w:eastAsia="Arial" w:hAnsi="Arial" w:cs="Arial"/>
          <w:color w:val="000000"/>
          <w:sz w:val="24"/>
          <w:szCs w:val="24"/>
        </w:rPr>
        <w:t>Off Contract and the Supplier recognises that CCS may want to co-ordinate how benchmarking is conducted across multiple Call</w:t>
      </w:r>
      <w:r w:rsidR="00020BE0">
        <w:rPr>
          <w:rFonts w:ascii="Arial" w:eastAsia="Arial" w:hAnsi="Arial" w:cs="Arial"/>
          <w:color w:val="000000"/>
          <w:sz w:val="24"/>
          <w:szCs w:val="24"/>
        </w:rPr>
        <w:t>-</w:t>
      </w:r>
      <w:r>
        <w:rPr>
          <w:rFonts w:ascii="Arial" w:eastAsia="Arial" w:hAnsi="Arial" w:cs="Arial"/>
          <w:color w:val="000000"/>
          <w:sz w:val="24"/>
          <w:szCs w:val="24"/>
        </w:rPr>
        <w:t>Off Contracts;</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shall where CCS is appointed as agent by Buyers in respect of benchmarking, co-operate with CCS in order to operate the benchmarking as efficiently as possible;</w:t>
      </w:r>
    </w:p>
    <w:p w:rsidR="0092070E" w:rsidRDefault="00452950">
      <w:pPr>
        <w:numPr>
          <w:ilvl w:val="3"/>
          <w:numId w:val="2"/>
        </w:numPr>
        <w:pBdr>
          <w:top w:val="nil"/>
          <w:left w:val="nil"/>
          <w:bottom w:val="nil"/>
          <w:right w:val="nil"/>
          <w:between w:val="nil"/>
        </w:pBdr>
        <w:tabs>
          <w:tab w:val="left" w:pos="1985"/>
          <w:tab w:val="left" w:pos="1985"/>
          <w:tab w:val="left" w:pos="2552"/>
        </w:tabs>
        <w:spacing w:before="120" w:after="120" w:line="240" w:lineRule="auto"/>
        <w:ind w:left="2552" w:hanging="566"/>
        <w:rPr>
          <w:rFonts w:ascii="Arial" w:eastAsia="Arial" w:hAnsi="Arial" w:cs="Arial"/>
          <w:color w:val="000000"/>
          <w:sz w:val="24"/>
          <w:szCs w:val="24"/>
        </w:rPr>
      </w:pPr>
      <w:r>
        <w:rPr>
          <w:rFonts w:ascii="Arial" w:eastAsia="Arial" w:hAnsi="Arial" w:cs="Arial"/>
          <w:color w:val="000000"/>
          <w:sz w:val="24"/>
          <w:szCs w:val="24"/>
        </w:rPr>
        <w:t>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sectPr w:rsidR="0092070E" w:rsidSect="00633D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425" w:rsidRDefault="00B07425">
      <w:pPr>
        <w:spacing w:after="0" w:line="240" w:lineRule="auto"/>
      </w:pPr>
      <w:r>
        <w:separator/>
      </w:r>
    </w:p>
  </w:endnote>
  <w:endnote w:type="continuationSeparator" w:id="0">
    <w:p w:rsidR="00B07425" w:rsidRDefault="00B0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3B7" w:rsidRDefault="0031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0E" w:rsidRDefault="0045295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397C18">
      <w:rPr>
        <w:rFonts w:ascii="Arial" w:eastAsia="Arial" w:hAnsi="Arial" w:cs="Arial"/>
        <w:sz w:val="20"/>
        <w:szCs w:val="20"/>
      </w:rPr>
      <w:t>6345</w:t>
    </w:r>
    <w:r>
      <w:rPr>
        <w:rFonts w:ascii="Arial" w:eastAsia="Arial" w:hAnsi="Arial" w:cs="Arial"/>
        <w:sz w:val="20"/>
        <w:szCs w:val="20"/>
      </w:rPr>
      <w:tab/>
      <w:t xml:space="preserve">                                           </w:t>
    </w:r>
  </w:p>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Project Version: </w:t>
    </w:r>
    <w:r w:rsidR="003153B7">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789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2070E" w:rsidRDefault="00452950">
    <w:pPr>
      <w:spacing w:after="0" w:line="240" w:lineRule="auto"/>
      <w:jc w:val="both"/>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0E" w:rsidRDefault="0045295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92070E" w:rsidRDefault="00452950">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000000"/>
        <w:sz w:val="20"/>
        <w:szCs w:val="20"/>
      </w:rPr>
      <w:t>Model Version: v3.0</w:t>
    </w:r>
    <w:r>
      <w:rPr>
        <w:rFonts w:ascii="Arial" w:eastAsia="Arial" w:hAnsi="Arial" w:cs="Arial"/>
        <w:color w:val="000000"/>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425" w:rsidRDefault="00B07425">
      <w:pPr>
        <w:spacing w:after="0" w:line="240" w:lineRule="auto"/>
      </w:pPr>
      <w:r>
        <w:separator/>
      </w:r>
    </w:p>
  </w:footnote>
  <w:footnote w:type="continuationSeparator" w:id="0">
    <w:p w:rsidR="00B07425" w:rsidRDefault="00B0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3B7" w:rsidRDefault="00315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BF4F29">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4 (Framework Management)</w:t>
    </w:r>
  </w:p>
  <w:p w:rsidR="0092070E" w:rsidRDefault="00452950">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92957"/>
    <w:multiLevelType w:val="multilevel"/>
    <w:tmpl w:val="078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B0A77"/>
    <w:multiLevelType w:val="multilevel"/>
    <w:tmpl w:val="078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9441B6"/>
    <w:multiLevelType w:val="multilevel"/>
    <w:tmpl w:val="078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974E5"/>
    <w:multiLevelType w:val="multilevel"/>
    <w:tmpl w:val="A266B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D773A4"/>
    <w:multiLevelType w:val="multilevel"/>
    <w:tmpl w:val="4AFE7D9E"/>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0BA0957"/>
    <w:multiLevelType w:val="multilevel"/>
    <w:tmpl w:val="D8F864B4"/>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DC0C64"/>
    <w:multiLevelType w:val="multilevel"/>
    <w:tmpl w:val="078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0E"/>
    <w:rsid w:val="00020BE0"/>
    <w:rsid w:val="000B74EB"/>
    <w:rsid w:val="000B7890"/>
    <w:rsid w:val="00117869"/>
    <w:rsid w:val="00163E5B"/>
    <w:rsid w:val="001E4D3B"/>
    <w:rsid w:val="00270E28"/>
    <w:rsid w:val="003153B7"/>
    <w:rsid w:val="00397C18"/>
    <w:rsid w:val="00452950"/>
    <w:rsid w:val="0054769B"/>
    <w:rsid w:val="00553B91"/>
    <w:rsid w:val="00567C19"/>
    <w:rsid w:val="005F1449"/>
    <w:rsid w:val="00633DEE"/>
    <w:rsid w:val="006965A1"/>
    <w:rsid w:val="007E54F1"/>
    <w:rsid w:val="0092070E"/>
    <w:rsid w:val="00B07425"/>
    <w:rsid w:val="00B8570A"/>
    <w:rsid w:val="00BF4F29"/>
    <w:rsid w:val="00C33523"/>
    <w:rsid w:val="00E075B2"/>
    <w:rsid w:val="00E67F36"/>
    <w:rsid w:val="00F517AC"/>
    <w:rsid w:val="00FE1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C0C3"/>
  <w15:docId w15:val="{6E0058D8-1EBB-45CA-A846-A32ECE5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ascii="Arial" w:eastAsia="Times New Roman" w:hAnsi="Arial"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Standard">
    <w:name w:val="Standard"/>
    <w:rsid w:val="00633DEE"/>
    <w:pPr>
      <w:widowControl w:val="0"/>
      <w:suppressAutoHyphens/>
      <w:autoSpaceDN w:val="0"/>
      <w:spacing w:before="120" w:after="120" w:line="240" w:lineRule="auto"/>
      <w:ind w:left="35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89308">
      <w:bodyDiv w:val="1"/>
      <w:marLeft w:val="0"/>
      <w:marRight w:val="0"/>
      <w:marTop w:val="0"/>
      <w:marBottom w:val="0"/>
      <w:divBdr>
        <w:top w:val="none" w:sz="0" w:space="0" w:color="auto"/>
        <w:left w:val="none" w:sz="0" w:space="0" w:color="auto"/>
        <w:bottom w:val="none" w:sz="0" w:space="0" w:color="auto"/>
        <w:right w:val="none" w:sz="0" w:space="0" w:color="auto"/>
      </w:divBdr>
    </w:div>
    <w:div w:id="871259689">
      <w:bodyDiv w:val="1"/>
      <w:marLeft w:val="0"/>
      <w:marRight w:val="0"/>
      <w:marTop w:val="0"/>
      <w:marBottom w:val="0"/>
      <w:divBdr>
        <w:top w:val="none" w:sz="0" w:space="0" w:color="auto"/>
        <w:left w:val="none" w:sz="0" w:space="0" w:color="auto"/>
        <w:bottom w:val="none" w:sz="0" w:space="0" w:color="auto"/>
        <w:right w:val="none" w:sz="0" w:space="0" w:color="auto"/>
      </w:divBdr>
    </w:div>
    <w:div w:id="1062677046">
      <w:bodyDiv w:val="1"/>
      <w:marLeft w:val="0"/>
      <w:marRight w:val="0"/>
      <w:marTop w:val="0"/>
      <w:marBottom w:val="0"/>
      <w:divBdr>
        <w:top w:val="none" w:sz="0" w:space="0" w:color="auto"/>
        <w:left w:val="none" w:sz="0" w:space="0" w:color="auto"/>
        <w:bottom w:val="none" w:sz="0" w:space="0" w:color="auto"/>
        <w:right w:val="none" w:sz="0" w:space="0" w:color="auto"/>
      </w:divBdr>
    </w:div>
    <w:div w:id="1187400755">
      <w:bodyDiv w:val="1"/>
      <w:marLeft w:val="0"/>
      <w:marRight w:val="0"/>
      <w:marTop w:val="0"/>
      <w:marBottom w:val="0"/>
      <w:divBdr>
        <w:top w:val="none" w:sz="0" w:space="0" w:color="auto"/>
        <w:left w:val="none" w:sz="0" w:space="0" w:color="auto"/>
        <w:bottom w:val="none" w:sz="0" w:space="0" w:color="auto"/>
        <w:right w:val="none" w:sz="0" w:space="0" w:color="auto"/>
      </w:divBdr>
    </w:div>
    <w:div w:id="1835027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6tAfi/bDnJ0VNYRiMO5+kTdCA==">AMUW2mXSdmn3zeMxyQuHBdeZlnZZwAMsiEqlhcq/xnJefq8mE7SPe6qRAn6MBCwnrtTvNs1fRATLkmn157RVOjQLqtrv2pYzsI7jP5/XVELJS+zvptqEzzC18TxYk3MSekuO4EbqGQy4MI/xmegu+CW/OSTcQmKSEOiCBNYk1wiljUnOOM0TovruaR+cAhLUFOmh2mN99/JqE+VBfAu3vk8BjJQBmFS+Ua1HM6wZ8OYep9uQm0JeEq0=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2024-05-17T08:43:00Z</dcterms:created>
  <dcterms:modified xsi:type="dcterms:W3CDTF">2024-05-17T08:43:00Z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