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pBdr>
          <w:top w:space="0" w:sz="0" w:val="nil"/>
          <w:left w:space="0" w:sz="0" w:val="nil"/>
          <w:bottom w:space="0" w:sz="0" w:val="nil"/>
          <w:right w:space="0" w:sz="0" w:val="nil"/>
          <w:between w:space="0" w:sz="0" w:val="nil"/>
        </w:pBdr>
        <w:spacing w:after="120" w:before="240" w:lineRule="auto"/>
        <w:rPr>
          <w:rFonts w:ascii="Arial" w:cs="Arial" w:eastAsia="Arial" w:hAnsi="Arial"/>
          <w:b w:val="1"/>
          <w:color w:val="000000"/>
          <w:sz w:val="36"/>
          <w:szCs w:val="36"/>
        </w:rPr>
      </w:pPr>
      <w:bookmarkStart w:colFirst="0" w:colLast="0" w:name="_heading=h.4d34og8" w:id="1"/>
      <w:bookmarkEnd w:id="1"/>
      <w:r w:rsidDel="00000000" w:rsidR="00000000" w:rsidRPr="00000000">
        <w:rPr>
          <w:rFonts w:ascii="Arial" w:cs="Arial" w:eastAsia="Arial" w:hAnsi="Arial"/>
          <w:b w:val="1"/>
          <w:color w:val="000000"/>
          <w:sz w:val="36"/>
          <w:szCs w:val="36"/>
          <w:rtl w:val="0"/>
        </w:rPr>
        <w:t xml:space="preserve">Framework Schedule 7 (Call-Off Award Procedure</w:t>
      </w:r>
      <w:bookmarkStart w:colFirst="0" w:colLast="0" w:name="bookmark=id.gjdgxs" w:id="0"/>
      <w:bookmarkEnd w:id="0"/>
      <w:r w:rsidDel="00000000" w:rsidR="00000000" w:rsidRPr="00000000">
        <w:rPr>
          <w:rFonts w:ascii="Arial" w:cs="Arial" w:eastAsia="Arial" w:hAnsi="Arial"/>
          <w:b w:val="1"/>
          <w:color w:val="000000"/>
          <w:sz w:val="36"/>
          <w:szCs w:val="36"/>
          <w:rtl w:val="0"/>
        </w:rPr>
        <w:t xml:space="preserve">) </w:t>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spacing w:after="120" w:befor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Part 1: Order Procedure</w:t>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spacing w:after="120" w:befor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[Buyer guidance:</w:t>
      </w:r>
      <w:r w:rsidDel="00000000" w:rsidR="00000000" w:rsidRPr="00000000">
        <w:rPr>
          <w:rFonts w:ascii="Arial" w:cs="Arial" w:eastAsia="Arial" w:hAnsi="Arial"/>
          <w:b w:val="1"/>
          <w:color w:val="000000"/>
          <w:sz w:val="24"/>
          <w:szCs w:val="24"/>
          <w:rtl w:val="0"/>
        </w:rPr>
        <w:t xml:space="preserve"> Paragraph 2.1.6 is intended to allow for clarification of submitted tenders within the scope of Regulation 56(4) which does not extend to material changes to already submitted tenders or negotiation. Buyers need not seek clarifications but where they do it is suggested that clear records are kept and where it would not breach confidentiality obligations to do so interactions with one Supplier should be notified to all potential Suppliers in line with transparency principles. Buyers might also wish to consider re-running a Further Competition Procedure where it becomes apparent from submitted Call-Off Tenders and/or clarification questions that the Statement of Requirements has not resulted in proposed Deliverables that are acceptable to the Buyer]</w:t>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spacing w:after="120" w:before="240" w:lineRule="auto"/>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5">
      <w:pPr>
        <w:keepNext w:val="1"/>
        <w:widowControl w:val="1"/>
        <w:numPr>
          <w:ilvl w:val="0"/>
          <w:numId w:val="2"/>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How a Call-Off Contract is awarded</w:t>
      </w:r>
    </w:p>
    <w:p w:rsidR="00000000" w:rsidDel="00000000" w:rsidP="00000000" w:rsidRDefault="00000000" w:rsidRPr="00000000" w14:paraId="00000006">
      <w:pPr>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30j0zll" w:id="2"/>
      <w:bookmarkEnd w:id="2"/>
      <w:r w:rsidDel="00000000" w:rsidR="00000000" w:rsidRPr="00000000">
        <w:rPr>
          <w:rFonts w:ascii="Arial" w:cs="Arial" w:eastAsia="Arial" w:hAnsi="Arial"/>
          <w:color w:val="000000"/>
          <w:sz w:val="24"/>
          <w:szCs w:val="24"/>
          <w:rtl w:val="0"/>
        </w:rPr>
        <w:t xml:space="preserve">If a potential Buyer decides to source Deliverables through this Contract then it will award its Deliverables in accordance with the procedure in this Schedule and the requirements of the Regulations.</w:t>
      </w:r>
    </w:p>
    <w:p w:rsidR="00000000" w:rsidDel="00000000" w:rsidP="00000000" w:rsidRDefault="00000000" w:rsidRPr="00000000" w14:paraId="00000007">
      <w:pPr>
        <w:keepNext w:val="1"/>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1fob9te" w:id="3"/>
      <w:bookmarkEnd w:id="3"/>
      <w:r w:rsidDel="00000000" w:rsidR="00000000" w:rsidRPr="00000000">
        <w:rPr>
          <w:rFonts w:ascii="Arial" w:cs="Arial" w:eastAsia="Arial" w:hAnsi="Arial"/>
          <w:color w:val="000000"/>
          <w:sz w:val="24"/>
          <w:szCs w:val="24"/>
          <w:rtl w:val="0"/>
        </w:rPr>
        <w:t xml:space="preserve">If all of the terms of the proposed Call-Off Contract are not laid down in this Contract and the potential Buyer:</w:t>
      </w:r>
    </w:p>
    <w:p w:rsidR="00000000" w:rsidDel="00000000" w:rsidP="00000000" w:rsidRDefault="00000000" w:rsidRPr="00000000" w14:paraId="00000008">
      <w:pPr>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requires the Supplier to develop proposals or a solution in respect of such Deliverables; and/or</w:t>
      </w:r>
    </w:p>
    <w:p w:rsidR="00000000" w:rsidDel="00000000" w:rsidP="00000000" w:rsidRDefault="00000000" w:rsidRPr="00000000" w14:paraId="00000009">
      <w:pPr>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needs to amend or refine the terms of the Framework Contract to reflect its Deliverables to the extent permitted by and in accordance with the Regulations;</w:t>
      </w:r>
    </w:p>
    <w:p w:rsidR="00000000" w:rsidDel="00000000" w:rsidP="00000000" w:rsidRDefault="00000000" w:rsidRPr="00000000" w14:paraId="0000000A">
      <w:pPr>
        <w:widowControl w:val="1"/>
        <w:pBdr>
          <w:top w:space="0" w:sz="0" w:val="nil"/>
          <w:left w:space="0" w:sz="0" w:val="nil"/>
          <w:bottom w:space="0" w:sz="0" w:val="nil"/>
          <w:right w:space="0" w:sz="0" w:val="nil"/>
          <w:between w:space="0" w:sz="0" w:val="nil"/>
        </w:pBdr>
        <w:tabs>
          <w:tab w:val="left" w:leader="none" w:pos="4536"/>
        </w:tabs>
        <w:spacing w:after="220" w:lineRule="auto"/>
        <w:ind w:left="900" w:firstLine="0"/>
        <w:rPr>
          <w:rFonts w:ascii="Arial" w:cs="Arial" w:eastAsia="Arial" w:hAnsi="Arial"/>
          <w:color w:val="000000"/>
          <w:sz w:val="24"/>
          <w:szCs w:val="24"/>
        </w:rPr>
      </w:pPr>
      <w:bookmarkStart w:colFirst="0" w:colLast="0" w:name="_heading=h.26in1rg" w:id="4"/>
      <w:bookmarkEnd w:id="4"/>
      <w:r w:rsidDel="00000000" w:rsidR="00000000" w:rsidRPr="00000000">
        <w:rPr>
          <w:rFonts w:ascii="Arial" w:cs="Arial" w:eastAsia="Arial" w:hAnsi="Arial"/>
          <w:color w:val="000000"/>
          <w:sz w:val="24"/>
          <w:szCs w:val="24"/>
          <w:rtl w:val="0"/>
        </w:rPr>
        <w:t xml:space="preserve">then the Buyer may award a Call-Off Contract in accordance with the Further Competition Procedure set out in Paragraph 2 below and enter into a Statement of Work in accordance with Paragraph 6 below</w:t>
      </w:r>
    </w:p>
    <w:p w:rsidR="00000000" w:rsidDel="00000000" w:rsidP="00000000" w:rsidRDefault="00000000" w:rsidRPr="00000000" w14:paraId="0000000B">
      <w:pPr>
        <w:widowControl w:val="1"/>
        <w:pBdr>
          <w:top w:space="0" w:sz="0" w:val="nil"/>
          <w:left w:space="0" w:sz="0" w:val="nil"/>
          <w:bottom w:space="0" w:sz="0" w:val="nil"/>
          <w:right w:space="0" w:sz="0" w:val="nil"/>
          <w:between w:space="0" w:sz="0" w:val="nil"/>
        </w:pBdr>
        <w:tabs>
          <w:tab w:val="left" w:leader="none" w:pos="3641"/>
        </w:tabs>
        <w:spacing w:after="120" w:before="120" w:lineRule="auto"/>
        <w:ind w:left="1985"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C">
      <w:pPr>
        <w:keepNext w:val="1"/>
        <w:widowControl w:val="1"/>
        <w:numPr>
          <w:ilvl w:val="0"/>
          <w:numId w:val="1"/>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How a further competition works</w:t>
      </w:r>
    </w:p>
    <w:p w:rsidR="00000000" w:rsidDel="00000000" w:rsidP="00000000" w:rsidRDefault="00000000" w:rsidRPr="00000000" w14:paraId="0000000D">
      <w:pPr>
        <w:keepNext w:val="1"/>
        <w:widowControl w:val="1"/>
        <w:pBdr>
          <w:top w:space="0" w:sz="0" w:val="nil"/>
          <w:left w:space="0" w:sz="0" w:val="nil"/>
          <w:bottom w:space="0" w:sz="0" w:val="nil"/>
          <w:right w:space="0" w:sz="0" w:val="nil"/>
          <w:between w:space="0" w:sz="0" w:val="nil"/>
        </w:pBdr>
        <w:tabs>
          <w:tab w:val="left" w:leader="none" w:pos="3054"/>
        </w:tabs>
        <w:spacing w:after="120" w:before="120" w:lineRule="auto"/>
        <w:ind w:left="1134" w:hanging="774"/>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the Buyer has to do</w:t>
      </w:r>
    </w:p>
    <w:p w:rsidR="00000000" w:rsidDel="00000000" w:rsidP="00000000" w:rsidRDefault="00000000" w:rsidRPr="00000000" w14:paraId="0000000E">
      <w:pPr>
        <w:keepNext w:val="1"/>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awarding a Call-Off Contract under this Contract through a Further Competition Procedure shall:</w:t>
      </w:r>
    </w:p>
    <w:p w:rsidR="00000000" w:rsidDel="00000000" w:rsidP="00000000" w:rsidRDefault="00000000" w:rsidRPr="00000000" w14:paraId="0000000F">
      <w:pPr>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bookmarkStart w:colFirst="0" w:colLast="0" w:name="_heading=h.3znysh7" w:id="5"/>
      <w:bookmarkEnd w:id="5"/>
      <w:r w:rsidDel="00000000" w:rsidR="00000000" w:rsidRPr="00000000">
        <w:rPr>
          <w:rFonts w:ascii="Arial" w:cs="Arial" w:eastAsia="Arial" w:hAnsi="Arial"/>
          <w:color w:val="000000"/>
          <w:sz w:val="24"/>
          <w:szCs w:val="24"/>
          <w:rtl w:val="0"/>
        </w:rPr>
        <w:t xml:space="preserve">develop a Statement of Requirements setting out its requirements for the Deliverables and identify the Suppliers capable of supplying the them;</w:t>
      </w:r>
    </w:p>
    <w:p w:rsidR="00000000" w:rsidDel="00000000" w:rsidP="00000000" w:rsidRDefault="00000000" w:rsidRPr="00000000" w14:paraId="00000010">
      <w:pPr>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3"/>
          <w:szCs w:val="23"/>
          <w:highlight w:val="white"/>
          <w:rtl w:val="0"/>
        </w:rPr>
        <w:t xml:space="preserve">define whether the requirement is for resource or for a contracted out service (for further information see Buyer’s Guidance). For a ‘resource’ requirement the Buyer shall issue the Supplier and all its Key Staff defined as Off-Payroll Workers with a Status Determination Statement that describes the IR35 status of each Supplier key role / position being engaged;</w:t>
      </w:r>
      <w:r w:rsidDel="00000000" w:rsidR="00000000" w:rsidRPr="00000000">
        <w:rPr>
          <w:rtl w:val="0"/>
        </w:rPr>
      </w:r>
    </w:p>
    <w:p w:rsidR="00000000" w:rsidDel="00000000" w:rsidP="00000000" w:rsidRDefault="00000000" w:rsidRPr="00000000" w14:paraId="00000011">
      <w:pPr>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bookmarkStart w:colFirst="0" w:colLast="0" w:name="_heading=h.2et92p0" w:id="6"/>
      <w:bookmarkEnd w:id="6"/>
      <w:r w:rsidDel="00000000" w:rsidR="00000000" w:rsidRPr="00000000">
        <w:rPr>
          <w:rFonts w:ascii="Arial" w:cs="Arial" w:eastAsia="Arial" w:hAnsi="Arial"/>
          <w:color w:val="000000"/>
          <w:sz w:val="24"/>
          <w:szCs w:val="24"/>
          <w:rtl w:val="0"/>
        </w:rPr>
        <w:t xml:space="preserve">amend or refine the Deliverables to reflect its requirements by using the Order Form and the Statement of Work only to the extent permitted by and in accordance with the requirements of the Regulations;</w:t>
      </w:r>
    </w:p>
    <w:p w:rsidR="00000000" w:rsidDel="00000000" w:rsidP="00000000" w:rsidRDefault="00000000" w:rsidRPr="00000000" w14:paraId="00000012">
      <w:pPr>
        <w:keepNext w:val="1"/>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bookmarkStart w:colFirst="0" w:colLast="0" w:name="_heading=h.tyjcwt" w:id="7"/>
      <w:bookmarkEnd w:id="7"/>
      <w:r w:rsidDel="00000000" w:rsidR="00000000" w:rsidRPr="00000000">
        <w:rPr>
          <w:rFonts w:ascii="Arial" w:cs="Arial" w:eastAsia="Arial" w:hAnsi="Arial"/>
          <w:color w:val="000000"/>
          <w:sz w:val="24"/>
          <w:szCs w:val="24"/>
          <w:rtl w:val="0"/>
        </w:rPr>
        <w:t xml:space="preserve">invite tenders by conducting a Further Competition Procedure for its Deliverables in accordance with the Regulations and in particular:</w:t>
      </w:r>
    </w:p>
    <w:p w:rsidR="00000000" w:rsidDel="00000000" w:rsidP="00000000" w:rsidRDefault="00000000" w:rsidRPr="00000000" w14:paraId="00000013">
      <w:pPr>
        <w:keepNext w:val="1"/>
        <w:widowControl w:val="1"/>
        <w:numPr>
          <w:ilvl w:val="3"/>
          <w:numId w:val="1"/>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w:t>
      </w:r>
    </w:p>
    <w:p w:rsidR="00000000" w:rsidDel="00000000" w:rsidP="00000000" w:rsidRDefault="00000000" w:rsidRPr="00000000" w14:paraId="00000014">
      <w:pPr>
        <w:widowControl w:val="1"/>
        <w:numPr>
          <w:ilvl w:val="4"/>
          <w:numId w:val="1"/>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invite the Suppliers identified in accordance with Paragraph 3.1.1 to submit a tender in writing for each proposed Call-Off Contract to be awarded by giving written notice by email to the relevant Supplier Representative of each Supplier;</w:t>
      </w:r>
    </w:p>
    <w:p w:rsidR="00000000" w:rsidDel="00000000" w:rsidP="00000000" w:rsidRDefault="00000000" w:rsidRPr="00000000" w14:paraId="00000015">
      <w:pPr>
        <w:widowControl w:val="1"/>
        <w:numPr>
          <w:ilvl w:val="4"/>
          <w:numId w:val="1"/>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set a time limit for the receipt by it of the tenders which takes into account factors such as the complexity of the subject matter of the proposed Call-Off Contract and the time needed to submit tenders; and</w:t>
      </w:r>
    </w:p>
    <w:p w:rsidR="00000000" w:rsidDel="00000000" w:rsidP="00000000" w:rsidRDefault="00000000" w:rsidRPr="00000000" w14:paraId="00000016">
      <w:pPr>
        <w:widowControl w:val="1"/>
        <w:numPr>
          <w:ilvl w:val="4"/>
          <w:numId w:val="1"/>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keep each tender confidential until the time limit set out for the return of tenders has expired.</w:t>
      </w:r>
    </w:p>
    <w:p w:rsidR="00000000" w:rsidDel="00000000" w:rsidP="00000000" w:rsidRDefault="00000000" w:rsidRPr="00000000" w14:paraId="00000017">
      <w:pPr>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apply the further competition award criteria to the Suppliers' compliant tenders submitted through the Further Competition Procedure as the basis of its decision to award a Call-Off Contract for its Deliverables;</w:t>
      </w:r>
    </w:p>
    <w:p w:rsidR="00000000" w:rsidDel="00000000" w:rsidP="00000000" w:rsidRDefault="00000000" w:rsidRPr="00000000" w14:paraId="00000018">
      <w:pPr>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Buyer deems it appropriate to do so and in accordance with Regulation 56, request further clarification of a Call-Off Tender after its submission in order to resolve any minor errors or ambiguities or seek missing information from the Supplier;</w:t>
      </w:r>
    </w:p>
    <w:p w:rsidR="00000000" w:rsidDel="00000000" w:rsidP="00000000" w:rsidRDefault="00000000" w:rsidRPr="00000000" w14:paraId="00000019">
      <w:pPr>
        <w:keepNext w:val="1"/>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the basis set out above, award its Call-Off Contract to the successful Supplier in accordance with Paragraph 6 of this Framework Schedule 7. The Call-Off Contract shall:</w:t>
      </w:r>
    </w:p>
    <w:p w:rsidR="00000000" w:rsidDel="00000000" w:rsidP="00000000" w:rsidRDefault="00000000" w:rsidRPr="00000000" w14:paraId="0000001A">
      <w:pPr>
        <w:widowControl w:val="1"/>
        <w:numPr>
          <w:ilvl w:val="3"/>
          <w:numId w:val="1"/>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state the Deliverables;</w:t>
      </w:r>
    </w:p>
    <w:p w:rsidR="00000000" w:rsidDel="00000000" w:rsidP="00000000" w:rsidRDefault="00000000" w:rsidRPr="00000000" w14:paraId="0000001B">
      <w:pPr>
        <w:widowControl w:val="1"/>
        <w:numPr>
          <w:ilvl w:val="3"/>
          <w:numId w:val="1"/>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state the tender submitted by the successful Supplier;</w:t>
      </w:r>
    </w:p>
    <w:p w:rsidR="00000000" w:rsidDel="00000000" w:rsidP="00000000" w:rsidRDefault="00000000" w:rsidRPr="00000000" w14:paraId="0000001C">
      <w:pPr>
        <w:widowControl w:val="1"/>
        <w:numPr>
          <w:ilvl w:val="3"/>
          <w:numId w:val="1"/>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state the Charges payable for the Deliverables in accordance with the tender submitted by the successful Supplier; and</w:t>
      </w:r>
    </w:p>
    <w:p w:rsidR="00000000" w:rsidDel="00000000" w:rsidP="00000000" w:rsidRDefault="00000000" w:rsidRPr="00000000" w14:paraId="0000001D">
      <w:pPr>
        <w:widowControl w:val="1"/>
        <w:numPr>
          <w:ilvl w:val="3"/>
          <w:numId w:val="1"/>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incorporate the terms [of the Order Form and Contract] (as may be amended or refined by the Buyer in accordance with Paragraph 2.1.2. above) applicable to the Deliverables,</w:t>
      </w:r>
    </w:p>
    <w:p w:rsidR="00000000" w:rsidDel="00000000" w:rsidP="00000000" w:rsidRDefault="00000000" w:rsidRPr="00000000" w14:paraId="0000001E">
      <w:pPr>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unsuccessful Suppliers with written feedback in relation to the reasons why their tenders were unsuccessful.</w:t>
      </w:r>
    </w:p>
    <w:p w:rsidR="00000000" w:rsidDel="00000000" w:rsidP="00000000" w:rsidRDefault="00000000" w:rsidRPr="00000000" w14:paraId="0000001F">
      <w:pPr>
        <w:keepNext w:val="1"/>
        <w:widowControl w:val="1"/>
        <w:pBdr>
          <w:top w:space="0" w:sz="0" w:val="nil"/>
          <w:left w:space="0" w:sz="0" w:val="nil"/>
          <w:bottom w:space="0" w:sz="0" w:val="nil"/>
          <w:right w:space="0" w:sz="0" w:val="nil"/>
          <w:between w:space="0" w:sz="0" w:val="nil"/>
        </w:pBdr>
        <w:tabs>
          <w:tab w:val="left" w:leader="none" w:pos="3054"/>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the Supplier has to do</w:t>
      </w:r>
    </w:p>
    <w:p w:rsidR="00000000" w:rsidDel="00000000" w:rsidP="00000000" w:rsidRDefault="00000000" w:rsidRPr="00000000" w14:paraId="00000020">
      <w:pPr>
        <w:keepNext w:val="1"/>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Supplier shall in writing, by the time and date specified by the Buyer following an invitation to tender pursuant to Paragraph 2.1.3 above, provide CCS and the Buyer with either:</w:t>
      </w:r>
      <w:r w:rsidDel="00000000" w:rsidR="00000000" w:rsidRPr="00000000">
        <w:rPr>
          <w:rtl w:val="0"/>
        </w:rPr>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tabs>
          <w:tab w:val="left" w:leader="none" w:pos="3641"/>
        </w:tabs>
        <w:spacing w:after="120" w:before="1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2">
      <w:pPr>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statement to the effect that it does not wish to tender in relation to the Deliverables; or</w:t>
      </w:r>
    </w:p>
    <w:p w:rsidR="00000000" w:rsidDel="00000000" w:rsidP="00000000" w:rsidRDefault="00000000" w:rsidRPr="00000000" w14:paraId="00000023">
      <w:pPr>
        <w:keepNext w:val="1"/>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full details of its tender made in respect of the relevant Statement of Requirements. In the event that the Supplier submits such a tender, it should include, as a minimum:</w:t>
      </w:r>
    </w:p>
    <w:p w:rsidR="00000000" w:rsidDel="00000000" w:rsidP="00000000" w:rsidRDefault="00000000" w:rsidRPr="00000000" w14:paraId="00000024">
      <w:pPr>
        <w:widowControl w:val="1"/>
        <w:numPr>
          <w:ilvl w:val="3"/>
          <w:numId w:val="1"/>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email response subject line to comprise unique reference number and Supplier name, so as to clearly identify the Supplier;</w:t>
      </w:r>
    </w:p>
    <w:p w:rsidR="00000000" w:rsidDel="00000000" w:rsidP="00000000" w:rsidRDefault="00000000" w:rsidRPr="00000000" w14:paraId="00000025">
      <w:pPr>
        <w:widowControl w:val="1"/>
        <w:numPr>
          <w:ilvl w:val="3"/>
          <w:numId w:val="1"/>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brief summary, in the email (followed by a confirmation letter), stating that the Supplier is bidding for the Statement of Requirements;</w:t>
      </w:r>
    </w:p>
    <w:p w:rsidR="00000000" w:rsidDel="00000000" w:rsidP="00000000" w:rsidRDefault="00000000" w:rsidRPr="00000000" w14:paraId="00000026">
      <w:pPr>
        <w:widowControl w:val="1"/>
        <w:numPr>
          <w:ilvl w:val="3"/>
          <w:numId w:val="1"/>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proposal covering the Deliverables;</w:t>
      </w:r>
    </w:p>
    <w:p w:rsidR="00000000" w:rsidDel="00000000" w:rsidP="00000000" w:rsidRDefault="00000000" w:rsidRPr="00000000" w14:paraId="00000027">
      <w:pPr>
        <w:widowControl w:val="1"/>
        <w:numPr>
          <w:ilvl w:val="3"/>
          <w:numId w:val="1"/>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requested by the Buyer CVs of key staff – as a minimum any lead consultant, with others, as considered appropriate by the Buyer along with required staff levels (if necessary); and</w:t>
      </w:r>
    </w:p>
    <w:p w:rsidR="00000000" w:rsidDel="00000000" w:rsidP="00000000" w:rsidRDefault="00000000" w:rsidRPr="00000000" w14:paraId="00000028">
      <w:pPr>
        <w:widowControl w:val="1"/>
        <w:numPr>
          <w:ilvl w:val="3"/>
          <w:numId w:val="1"/>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confirmation of discounts applicable to the Deliverables, as referenced in Framework Schedule 3 (Framework Prices) (if applicable).</w:t>
      </w:r>
    </w:p>
    <w:p w:rsidR="00000000" w:rsidDel="00000000" w:rsidP="00000000" w:rsidRDefault="00000000" w:rsidRPr="00000000" w14:paraId="00000029">
      <w:pPr>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any prices submitted in relation to a Further Competition Procedure held pursuant to this Paragraph 3 shall be based on the charging structure and take into account any discount to which the Buyer may be entitled as set out in Framework Schedule 3 (Framework Prices).</w:t>
      </w:r>
    </w:p>
    <w:p w:rsidR="00000000" w:rsidDel="00000000" w:rsidP="00000000" w:rsidRDefault="00000000" w:rsidRPr="00000000" w14:paraId="0000002A">
      <w:pPr>
        <w:keepNext w:val="1"/>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agrees that:</w:t>
      </w:r>
    </w:p>
    <w:p w:rsidR="00000000" w:rsidDel="00000000" w:rsidP="00000000" w:rsidRDefault="00000000" w:rsidRPr="00000000" w14:paraId="0000002B">
      <w:pPr>
        <w:widowControl w:val="1"/>
        <w:numPr>
          <w:ilvl w:val="3"/>
          <w:numId w:val="1"/>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Call-Off Tenders submitted by the Supplier in relation to a Further Competition Procedure held pursuant to this Paragraph 3 shall remain open for acceptance by the Buyer for ninety (90) Working Days (or such other period specified in the invitation to tender issued by the Buyer in accordance with the Call-Off Procedure); and</w:t>
      </w:r>
    </w:p>
    <w:p w:rsidR="00000000" w:rsidDel="00000000" w:rsidP="00000000" w:rsidRDefault="00000000" w:rsidRPr="00000000" w14:paraId="0000002C">
      <w:pPr>
        <w:widowControl w:val="1"/>
        <w:numPr>
          <w:ilvl w:val="3"/>
          <w:numId w:val="1"/>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000000" w:rsidDel="00000000" w:rsidP="00000000" w:rsidRDefault="00000000" w:rsidRPr="00000000" w14:paraId="0000002D">
      <w:pPr>
        <w:widowControl w:val="1"/>
        <w:numPr>
          <w:ilvl w:val="4"/>
          <w:numId w:val="1"/>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000000" w:rsidDel="00000000" w:rsidP="00000000" w:rsidRDefault="00000000" w:rsidRPr="00000000" w14:paraId="0000002E">
      <w:pPr>
        <w:widowControl w:val="1"/>
        <w:numPr>
          <w:ilvl w:val="4"/>
          <w:numId w:val="1"/>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enter into any arrangement or agreement with any other person that he or the other person(s) shall refrain from submitting a tender or as to the amount of any tenders to be submitted.</w:t>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tabs>
          <w:tab w:val="left" w:leader="none" w:pos="6238"/>
        </w:tabs>
        <w:spacing w:after="120" w:before="120" w:lineRule="auto"/>
        <w:ind w:left="108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0">
      <w:pPr>
        <w:keepNext w:val="1"/>
        <w:widowControl w:val="1"/>
        <w:numPr>
          <w:ilvl w:val="0"/>
          <w:numId w:val="1"/>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No requirement to award</w:t>
      </w:r>
      <w:r w:rsidDel="00000000" w:rsidR="00000000" w:rsidRPr="00000000">
        <w:rPr>
          <w:rtl w:val="0"/>
        </w:rPr>
      </w:r>
    </w:p>
    <w:p w:rsidR="00000000" w:rsidDel="00000000" w:rsidP="00000000" w:rsidRDefault="00000000" w:rsidRPr="00000000" w14:paraId="00000031">
      <w:pPr>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Notwithstanding the fact that the Buyer has followed a procedure as set out above in Paragraph 2, the Supplier acknowledges and agrees that the Buyer shall be entitled at all times to decline to make an award for its Deliverables and that nothing in this Contract shall oblige the Buyer to award any Call-Off Contract;</w:t>
      </w:r>
    </w:p>
    <w:p w:rsidR="00000000" w:rsidDel="00000000" w:rsidP="00000000" w:rsidRDefault="00000000" w:rsidRPr="00000000" w14:paraId="00000032">
      <w:pPr>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Should the Supplier fail to provide a cost breakdown of a SOW (together with any supporting documents) in the format and to the timetable requested by the Buyer, the Buyer may reject the Supplier’s bid without further consideration and the Supplier shall take no further part in that Further Competition Procedure.</w:t>
      </w:r>
    </w:p>
    <w:p w:rsidR="00000000" w:rsidDel="00000000" w:rsidP="00000000" w:rsidRDefault="00000000" w:rsidRPr="00000000" w14:paraId="00000033">
      <w:pPr>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where a Call-Off Contract has been awarded, except for the execution of the first Statement of Work, be entitled at all times to decline to make any further award of its Deliverables and nothing in this Contract shall oblige the Buyer to execute any further Statements of Work.</w:t>
      </w:r>
    </w:p>
    <w:p w:rsidR="00000000" w:rsidDel="00000000" w:rsidP="00000000" w:rsidRDefault="00000000" w:rsidRPr="00000000" w14:paraId="00000034">
      <w:pPr>
        <w:keepNext w:val="1"/>
        <w:widowControl w:val="1"/>
        <w:numPr>
          <w:ilvl w:val="0"/>
          <w:numId w:val="1"/>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Who is responsible for the award</w:t>
      </w:r>
    </w:p>
    <w:p w:rsidR="00000000" w:rsidDel="00000000" w:rsidP="00000000" w:rsidRDefault="00000000" w:rsidRPr="00000000" w14:paraId="00000035">
      <w:pPr>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acknowledges that the Buyer is independently responsible for the conduct of its award of Call-Off Contracts under this Contract (and each Statement of Work under it) and that CCS is not responsible or accountable for and shall have no liability whatsoever (including checking whether the engagement of workers meets the rules for working off-payroll, i.e. Off-Payroll Worker (Known as working ‘outside IR35’), except where it is the Buyer, in relation to:</w:t>
      </w:r>
    </w:p>
    <w:p w:rsidR="00000000" w:rsidDel="00000000" w:rsidP="00000000" w:rsidRDefault="00000000" w:rsidRPr="00000000" w14:paraId="00000036">
      <w:pPr>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conduct of Buyer in relation to this Contract; or</w:t>
      </w:r>
    </w:p>
    <w:p w:rsidR="00000000" w:rsidDel="00000000" w:rsidP="00000000" w:rsidRDefault="00000000" w:rsidRPr="00000000" w14:paraId="00000037">
      <w:pPr>
        <w:widowControl w:val="1"/>
        <w:numPr>
          <w:ilvl w:val="2"/>
          <w:numId w:val="1"/>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performance or non-performance of any Call-Off Contracts (including each Statement of Work under them) between the Supplier and Buyer entered into pursuant to this Contract.</w:t>
      </w:r>
    </w:p>
    <w:p w:rsidR="00000000" w:rsidDel="00000000" w:rsidP="00000000" w:rsidRDefault="00000000" w:rsidRPr="00000000" w14:paraId="00000038">
      <w:pPr>
        <w:keepNext w:val="1"/>
        <w:widowControl w:val="1"/>
        <w:numPr>
          <w:ilvl w:val="0"/>
          <w:numId w:val="1"/>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Awarding and creating a Call-Off Contract</w:t>
      </w:r>
      <w:r w:rsidDel="00000000" w:rsidR="00000000" w:rsidRPr="00000000">
        <w:rPr>
          <w:rtl w:val="0"/>
        </w:rPr>
      </w:r>
    </w:p>
    <w:p w:rsidR="00000000" w:rsidDel="00000000" w:rsidP="00000000" w:rsidRDefault="00000000" w:rsidRPr="00000000" w14:paraId="00000039">
      <w:pPr>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3dy6vkm" w:id="8"/>
      <w:bookmarkEnd w:id="8"/>
      <w:r w:rsidDel="00000000" w:rsidR="00000000" w:rsidRPr="00000000">
        <w:rPr>
          <w:rFonts w:ascii="Arial" w:cs="Arial" w:eastAsia="Arial" w:hAnsi="Arial"/>
          <w:color w:val="000000"/>
          <w:sz w:val="24"/>
          <w:szCs w:val="24"/>
          <w:rtl w:val="0"/>
        </w:rPr>
        <w:t xml:space="preserve">Subject to Paragraphs 1 to 5 above and 7, a Buyer may award a Call-Off Contract with the Supplier by sending (including electronically) a signed order form substantially in the form (as may be amended or refined by the Buyer in accordance with Paragraph 3.1.2 above) of the Order Form Template set out in Framework Schedule 6 (Order Form Template, Statement of Work Template, and Call-Off Schedules).</w:t>
      </w:r>
    </w:p>
    <w:p w:rsidR="00000000" w:rsidDel="00000000" w:rsidP="00000000" w:rsidRDefault="00000000" w:rsidRPr="00000000" w14:paraId="0000003A">
      <w:pPr>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agree that any document or communication (including any document or communication in the apparent form of a Call-Off Contract) which is not as described in this Paragraph 6 shall not constitute a Call-Off Contract under this Contract.</w:t>
      </w:r>
    </w:p>
    <w:p w:rsidR="00000000" w:rsidDel="00000000" w:rsidP="00000000" w:rsidRDefault="00000000" w:rsidRPr="00000000" w14:paraId="0000003B">
      <w:pPr>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1t3h5sf" w:id="9"/>
      <w:bookmarkEnd w:id="9"/>
      <w:r w:rsidDel="00000000" w:rsidR="00000000" w:rsidRPr="00000000">
        <w:rPr>
          <w:rFonts w:ascii="Arial" w:cs="Arial" w:eastAsia="Arial" w:hAnsi="Arial"/>
          <w:color w:val="000000"/>
          <w:sz w:val="24"/>
          <w:szCs w:val="24"/>
          <w:rtl w:val="0"/>
        </w:rPr>
        <w:t xml:space="preserve">On receipt of an order form as described in Paragraph 6.1 from a Buyer the Supplier shall accept the Call-Off Contract by promptly signing and returning (including by electronic means) a copy of the order form to the Buyer concerned.</w:t>
      </w:r>
    </w:p>
    <w:p w:rsidR="00000000" w:rsidDel="00000000" w:rsidP="00000000" w:rsidRDefault="00000000" w:rsidRPr="00000000" w14:paraId="0000003C">
      <w:pPr>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p>
    <w:p w:rsidR="00000000" w:rsidDel="00000000" w:rsidP="00000000" w:rsidRDefault="00000000" w:rsidRPr="00000000" w14:paraId="0000003D">
      <w:pPr>
        <w:widowControl w:val="1"/>
        <w:numPr>
          <w:ilvl w:val="0"/>
          <w:numId w:val="1"/>
        </w:numPr>
        <w:pBdr>
          <w:top w:space="0" w:sz="0" w:val="nil"/>
          <w:left w:space="0" w:sz="0" w:val="nil"/>
          <w:bottom w:space="0" w:sz="0" w:val="nil"/>
          <w:right w:space="0" w:sz="0" w:val="nil"/>
          <w:between w:space="0" w:sz="0" w:val="nil"/>
        </w:pBdr>
        <w:tabs>
          <w:tab w:val="left" w:leader="none" w:pos="3054"/>
        </w:tabs>
        <w:spacing w:after="120" w:before="12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Creating a Statement of Work</w:t>
      </w:r>
    </w:p>
    <w:p w:rsidR="00000000" w:rsidDel="00000000" w:rsidP="00000000" w:rsidRDefault="00000000" w:rsidRPr="00000000" w14:paraId="0000003E">
      <w:pPr>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5 above, a Buyer may execute a Statement of Work with the Supplier by sending (including electronically) a signed Statement of Work substantially in the form (as may be amended or refined by the Buyer (in accordance with Paragraph 2.1.3 above) of the Statement of Work Template set out in Framework Schedule 6 (Order Form Template, Statement of Work Template and Call-Off Schedules). </w:t>
      </w:r>
    </w:p>
    <w:p w:rsidR="00000000" w:rsidDel="00000000" w:rsidP="00000000" w:rsidRDefault="00000000" w:rsidRPr="00000000" w14:paraId="0000003F">
      <w:pPr>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agree that any document or communication (including any document or communication in the apparent form of a Statement of Work) which is not as described in this Paragraph 6 shall not constitute a Statement of Work under this Contract. </w:t>
      </w:r>
    </w:p>
    <w:p w:rsidR="00000000" w:rsidDel="00000000" w:rsidP="00000000" w:rsidRDefault="00000000" w:rsidRPr="00000000" w14:paraId="00000040">
      <w:pPr>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receipt of a statement of work as described in Paragraph 6.1 from a Buyer the Supplier shall accept the Statement of Work by promptly signing and returning (including by electronic means) a copy of the Statement of Work to the Buyer concerned. </w:t>
      </w:r>
    </w:p>
    <w:p w:rsidR="00000000" w:rsidDel="00000000" w:rsidP="00000000" w:rsidRDefault="00000000" w:rsidRPr="00000000" w14:paraId="00000041">
      <w:pPr>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receipt of the countersigned Statement of Work from the Supplier, the Buyer shall send (including by electronic means) a written notice of receipt to the Supplier within two (2) Working Days and the Statement of Work shall be formed with effect from the SOW Start Date stated in the Statement of Work.</w:t>
      </w:r>
    </w:p>
    <w:p w:rsidR="00000000" w:rsidDel="00000000" w:rsidP="00000000" w:rsidRDefault="00000000" w:rsidRPr="00000000" w14:paraId="00000042">
      <w:pPr>
        <w:keepNext w:val="1"/>
        <w:widowControl w:val="1"/>
        <w:numPr>
          <w:ilvl w:val="0"/>
          <w:numId w:val="1"/>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Awarding and creating an Exempt Call-off Contract</w:t>
      </w:r>
    </w:p>
    <w:p w:rsidR="00000000" w:rsidDel="00000000" w:rsidP="00000000" w:rsidRDefault="00000000" w:rsidRPr="00000000" w14:paraId="00000043">
      <w:pPr>
        <w:keepNext w:val="1"/>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 1 of this Framework Schedule 7 above shall not apply to an Exempt Buyer.</w:t>
      </w:r>
    </w:p>
    <w:p w:rsidR="00000000" w:rsidDel="00000000" w:rsidP="00000000" w:rsidRDefault="00000000" w:rsidRPr="00000000" w14:paraId="00000044">
      <w:pPr>
        <w:keepNext w:val="1"/>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If a potential Exempt Buyer decides to source Deliverables through this Framework Contract, it will award an Exempt Call-off Contract for Deliverables in accordance with the procedure in this Schedule as modified by this Paragraph 7 and in accordance with any legal requirements applicable to that potential Exempt Buyer.</w:t>
      </w:r>
    </w:p>
    <w:p w:rsidR="00000000" w:rsidDel="00000000" w:rsidP="00000000" w:rsidRDefault="00000000" w:rsidRPr="00000000" w14:paraId="00000045">
      <w:pPr>
        <w:keepNext w:val="1"/>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potential Exempt Buyer may award an Exempt Call-off Contract under this Framework Contract through a Further Competition Procedure in accordance with Paragraph 3 as modified by Paragraph 8.5 below.</w:t>
      </w:r>
    </w:p>
    <w:p w:rsidR="00000000" w:rsidDel="00000000" w:rsidP="00000000" w:rsidRDefault="00000000" w:rsidRPr="00000000" w14:paraId="00000046">
      <w:pPr>
        <w:keepNext w:val="1"/>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potential Exempt Buyer requires the Supplier to develop proposals or a solution in respect of Deliverables, then the potential Exempt Buyer may at its discretion use the procedure set out in Paragraph 2 above as modified by this Paragraph 7.4. In that case, references to “the Regulations” in Paragraph 2 above shall be read as references to “any legal requirements applicable to that potential Exempt Buyer”, and the Exempt Buyer shall be permitted to modify the Further Competition Procedure in accordance with any legal requirements applicable to the Exempt Buyer.</w:t>
      </w:r>
    </w:p>
    <w:p w:rsidR="00000000" w:rsidDel="00000000" w:rsidP="00000000" w:rsidRDefault="00000000" w:rsidRPr="00000000" w14:paraId="00000047">
      <w:pPr>
        <w:keepNext w:val="1"/>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3rdcrjn" w:id="10"/>
      <w:bookmarkEnd w:id="10"/>
      <w:r w:rsidDel="00000000" w:rsidR="00000000" w:rsidRPr="00000000">
        <w:rPr>
          <w:rFonts w:ascii="Arial" w:cs="Arial" w:eastAsia="Arial" w:hAnsi="Arial"/>
          <w:color w:val="000000"/>
          <w:sz w:val="24"/>
          <w:szCs w:val="24"/>
          <w:rtl w:val="0"/>
        </w:rPr>
        <w:t xml:space="preserve">Paragraphs 7.1 to 7.4 above are without prejudice to an Exempt Buyer’s ability to make such further modifications to the Call-Off Procedure as it considers necessary and in accordance with any legal requirements applicable to that potential Exempt Buyer.</w:t>
      </w:r>
    </w:p>
    <w:p w:rsidR="00000000" w:rsidDel="00000000" w:rsidP="00000000" w:rsidRDefault="00000000" w:rsidRPr="00000000" w14:paraId="00000048">
      <w:pPr>
        <w:keepNext w:val="1"/>
        <w:widowControl w:val="1"/>
        <w:numPr>
          <w:ilvl w:val="0"/>
          <w:numId w:val="1"/>
        </w:numPr>
        <w:pBdr>
          <w:top w:space="0" w:sz="0" w:val="nil"/>
          <w:left w:space="0" w:sz="0" w:val="nil"/>
          <w:bottom w:space="0" w:sz="0" w:val="nil"/>
          <w:right w:space="0" w:sz="0" w:val="nil"/>
          <w:between w:space="0" w:sz="0" w:val="nil"/>
        </w:pBdr>
        <w:tabs>
          <w:tab w:val="left" w:leader="none" w:pos="3054"/>
        </w:tabs>
        <w:spacing w:after="120" w:before="12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Non-Participation and Supplier Misconduct</w:t>
      </w:r>
    </w:p>
    <w:p w:rsidR="00000000" w:rsidDel="00000000" w:rsidP="00000000" w:rsidRDefault="00000000" w:rsidRPr="00000000" w14:paraId="00000049">
      <w:pPr>
        <w:keepNext w:val="1"/>
        <w:widowControl w:val="1"/>
        <w:numPr>
          <w:ilvl w:val="1"/>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Where a Supplier fails to:</w:t>
      </w:r>
    </w:p>
    <w:p w:rsidR="00000000" w:rsidDel="00000000" w:rsidP="00000000" w:rsidRDefault="00000000" w:rsidRPr="00000000" w14:paraId="0000004A">
      <w:pPr>
        <w:keepNext w:val="1"/>
        <w:widowControl w:val="1"/>
        <w:numPr>
          <w:ilvl w:val="3"/>
          <w:numId w:val="1"/>
        </w:numPr>
        <w:pBdr>
          <w:top w:space="0" w:sz="0" w:val="nil"/>
          <w:left w:space="0" w:sz="0" w:val="nil"/>
          <w:bottom w:space="0" w:sz="0" w:val="nil"/>
          <w:right w:space="0" w:sz="0" w:val="nil"/>
          <w:between w:space="0" w:sz="0" w:val="nil"/>
        </w:pBdr>
        <w:tabs>
          <w:tab w:val="left" w:leader="none" w:pos="3054"/>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participate in any Further Competition Procedure for any 3 Month consecutive period; or </w:t>
      </w:r>
    </w:p>
    <w:p w:rsidR="00000000" w:rsidDel="00000000" w:rsidP="00000000" w:rsidRDefault="00000000" w:rsidRPr="00000000" w14:paraId="0000004B">
      <w:pPr>
        <w:keepNext w:val="1"/>
        <w:widowControl w:val="1"/>
        <w:numPr>
          <w:ilvl w:val="3"/>
          <w:numId w:val="1"/>
        </w:numPr>
        <w:pBdr>
          <w:top w:space="0" w:sz="0" w:val="nil"/>
          <w:left w:space="0" w:sz="0" w:val="nil"/>
          <w:bottom w:space="0" w:sz="0" w:val="nil"/>
          <w:right w:space="0" w:sz="0" w:val="nil"/>
          <w:between w:space="0" w:sz="0" w:val="nil"/>
        </w:pBdr>
        <w:tabs>
          <w:tab w:val="left" w:leader="none" w:pos="3054"/>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notify CCS of their reasons for not participating or withdrawing from participating in any Further Competition Procedure; </w:t>
      </w:r>
    </w:p>
    <w:p w:rsidR="00000000" w:rsidDel="00000000" w:rsidP="00000000" w:rsidRDefault="00000000" w:rsidRPr="00000000" w14:paraId="0000004C">
      <w:pPr>
        <w:keepNext w:val="1"/>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then CCS may suspend the Supplier’s ability to enter into any new Call-Off Contracts during the CCS stated period. If this happens, the Supplier must still meet its obligations under any existing Call-Off Contracts that have already been signed and may enter into new Statement of Works under it. </w:t>
      </w:r>
    </w:p>
    <w:p w:rsidR="00000000" w:rsidDel="00000000" w:rsidP="00000000" w:rsidRDefault="00000000" w:rsidRPr="00000000" w14:paraId="0000004D">
      <w:pPr>
        <w:keepNext w:val="1"/>
        <w:widowControl w:val="1"/>
        <w:numPr>
          <w:ilvl w:val="1"/>
          <w:numId w:val="4"/>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Supplier: </w:t>
      </w:r>
    </w:p>
    <w:p w:rsidR="00000000" w:rsidDel="00000000" w:rsidP="00000000" w:rsidRDefault="00000000" w:rsidRPr="00000000" w14:paraId="0000004E">
      <w:pPr>
        <w:keepNext w:val="1"/>
        <w:widowControl w:val="1"/>
        <w:numPr>
          <w:ilvl w:val="2"/>
          <w:numId w:val="4"/>
        </w:numPr>
        <w:pBdr>
          <w:top w:space="0" w:sz="0" w:val="nil"/>
          <w:left w:space="0" w:sz="0" w:val="nil"/>
          <w:bottom w:space="0" w:sz="0" w:val="nil"/>
          <w:right w:space="0" w:sz="0" w:val="nil"/>
          <w:between w:space="0" w:sz="0" w:val="nil"/>
        </w:pBdr>
        <w:tabs>
          <w:tab w:val="left" w:leader="none" w:pos="3054"/>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falsely responds to a Further Competition Procedure, for example, by responding “yes” to a “must have” question or requirement that it cannot fulfil; or</w:t>
      </w:r>
    </w:p>
    <w:p w:rsidR="00000000" w:rsidDel="00000000" w:rsidP="00000000" w:rsidRDefault="00000000" w:rsidRPr="00000000" w14:paraId="0000004F">
      <w:pPr>
        <w:keepNext w:val="1"/>
        <w:widowControl w:val="1"/>
        <w:numPr>
          <w:ilvl w:val="2"/>
          <w:numId w:val="4"/>
        </w:numPr>
        <w:pBdr>
          <w:top w:space="0" w:sz="0" w:val="nil"/>
          <w:left w:space="0" w:sz="0" w:val="nil"/>
          <w:bottom w:space="0" w:sz="0" w:val="nil"/>
          <w:right w:space="0" w:sz="0" w:val="nil"/>
          <w:between w:space="0" w:sz="0" w:val="nil"/>
        </w:pBdr>
        <w:tabs>
          <w:tab w:val="left" w:leader="none" w:pos="3054"/>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tries to renegotiate the terms of the Call-Off Contract following award; </w:t>
      </w:r>
    </w:p>
    <w:p w:rsidR="00000000" w:rsidDel="00000000" w:rsidP="00000000" w:rsidRDefault="00000000" w:rsidRPr="00000000" w14:paraId="00000050">
      <w:pPr>
        <w:keepNext w:val="1"/>
        <w:widowControl w:val="1"/>
        <w:numPr>
          <w:ilvl w:val="1"/>
          <w:numId w:val="4"/>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(hereafter “Misconduct”) then: </w:t>
      </w:r>
    </w:p>
    <w:p w:rsidR="00000000" w:rsidDel="00000000" w:rsidP="00000000" w:rsidRDefault="00000000" w:rsidRPr="00000000" w14:paraId="00000051">
      <w:pPr>
        <w:keepNext w:val="1"/>
        <w:widowControl w:val="1"/>
        <w:numPr>
          <w:ilvl w:val="3"/>
          <w:numId w:val="4"/>
        </w:numPr>
        <w:pBdr>
          <w:top w:space="0" w:sz="0" w:val="nil"/>
          <w:left w:space="0" w:sz="0" w:val="nil"/>
          <w:bottom w:space="0" w:sz="0" w:val="nil"/>
          <w:right w:space="0" w:sz="0" w:val="nil"/>
          <w:between w:space="0" w:sz="0" w:val="nil"/>
        </w:pBdr>
        <w:tabs>
          <w:tab w:val="left" w:leader="none" w:pos="3054"/>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may suspend (for any period) the Supplier’s ability to enter into any new Call-Off Contracts during this period, and a Buyer may exclude that Supplier from any Further Competition Procedures. If this happens, the Supplier must still meet its obligations under any existing Call-Off Contacts that have already been signed and may enter into new Statements of Work under it. </w:t>
      </w:r>
    </w:p>
    <w:p w:rsidR="00000000" w:rsidDel="00000000" w:rsidP="00000000" w:rsidRDefault="00000000" w:rsidRPr="00000000" w14:paraId="00000052">
      <w:pPr>
        <w:keepNext w:val="1"/>
        <w:widowControl w:val="1"/>
        <w:numPr>
          <w:ilvl w:val="3"/>
          <w:numId w:val="4"/>
        </w:numPr>
        <w:pBdr>
          <w:top w:space="0" w:sz="0" w:val="nil"/>
          <w:left w:space="0" w:sz="0" w:val="nil"/>
          <w:bottom w:space="0" w:sz="0" w:val="nil"/>
          <w:right w:space="0" w:sz="0" w:val="nil"/>
          <w:between w:space="0" w:sz="0" w:val="nil"/>
        </w:pBdr>
        <w:tabs>
          <w:tab w:val="left" w:leader="none" w:pos="3054"/>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may terminate the Framework Contract it has with the Supplier, and a Buyer may terminate any Call-Off Contract it has with that Supplier.</w:t>
      </w:r>
    </w:p>
    <w:p w:rsidR="00000000" w:rsidDel="00000000" w:rsidP="00000000" w:rsidRDefault="00000000" w:rsidRPr="00000000" w14:paraId="00000053">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4">
      <w:pPr>
        <w:widowControl w:val="1"/>
        <w:pBdr>
          <w:top w:space="0" w:sz="0" w:val="nil"/>
          <w:left w:space="0" w:sz="0" w:val="nil"/>
          <w:bottom w:space="0" w:sz="0" w:val="nil"/>
          <w:right w:space="0" w:sz="0" w:val="nil"/>
          <w:between w:space="0" w:sz="0" w:val="nil"/>
        </w:pBdr>
        <w:tabs>
          <w:tab w:val="left" w:leader="none" w:pos="3054"/>
        </w:tabs>
        <w:spacing w:after="120" w:before="120" w:lineRule="auto"/>
        <w:ind w:left="936" w:hanging="57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tabs>
          <w:tab w:val="left" w:leader="none" w:pos="3054"/>
        </w:tabs>
        <w:spacing w:after="120" w:before="120" w:lineRule="auto"/>
        <w:ind w:left="936" w:hanging="576"/>
        <w:rPr>
          <w:rFonts w:ascii="Arial" w:cs="Arial" w:eastAsia="Arial" w:hAnsi="Arial"/>
          <w:color w:val="000000"/>
          <w:sz w:val="36"/>
          <w:szCs w:val="36"/>
        </w:rPr>
      </w:pPr>
      <w:r w:rsidDel="00000000" w:rsidR="00000000" w:rsidRPr="00000000">
        <w:rPr>
          <w:rFonts w:ascii="Arial" w:cs="Arial" w:eastAsia="Arial" w:hAnsi="Arial"/>
          <w:b w:val="1"/>
          <w:color w:val="000000"/>
          <w:sz w:val="36"/>
          <w:szCs w:val="36"/>
          <w:rtl w:val="0"/>
        </w:rPr>
        <w:t xml:space="preserve">Part 2: Award Criteria</w:t>
      </w:r>
      <w:r w:rsidDel="00000000" w:rsidR="00000000" w:rsidRPr="00000000">
        <w:rPr>
          <w:rtl w:val="0"/>
        </w:rPr>
      </w:r>
    </w:p>
    <w:p w:rsidR="00000000" w:rsidDel="00000000" w:rsidP="00000000" w:rsidRDefault="00000000" w:rsidRPr="00000000" w14:paraId="00000056">
      <w:pPr>
        <w:widowControl w:val="1"/>
        <w:numPr>
          <w:ilvl w:val="0"/>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Part 2 lays out award criteria for further competition (Annex A) in accordance with the Call-Off Procedure.</w:t>
      </w:r>
    </w:p>
    <w:p w:rsidR="00000000" w:rsidDel="00000000" w:rsidP="00000000" w:rsidRDefault="00000000" w:rsidRPr="00000000" w14:paraId="00000057">
      <w:pPr>
        <w:widowControl w:val="1"/>
        <w:numPr>
          <w:ilvl w:val="0"/>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Call-Off Contract may be awarded on the basis of most economically advantageous tender ("MEAT").</w:t>
      </w:r>
    </w:p>
    <w:p w:rsidR="00000000" w:rsidDel="00000000" w:rsidP="00000000" w:rsidRDefault="00000000" w:rsidRPr="00000000" w14:paraId="00000058">
      <w:pPr>
        <w:rPr>
          <w:rFonts w:ascii="Arial" w:cs="Arial" w:eastAsia="Arial" w:hAnsi="Arial"/>
          <w:b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9">
      <w:pPr>
        <w:keepNext w:val="1"/>
        <w:widowControl w:val="1"/>
        <w:pBdr>
          <w:top w:space="0" w:sz="0" w:val="nil"/>
          <w:left w:space="0" w:sz="0" w:val="nil"/>
          <w:bottom w:space="0" w:sz="0" w:val="nil"/>
          <w:right w:space="0" w:sz="0" w:val="nil"/>
          <w:between w:space="0" w:sz="0" w:val="nil"/>
        </w:pBdr>
        <w:spacing w:after="240" w:before="240" w:lineRule="auto"/>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Annex A: Further Competition Award Criteria</w:t>
      </w:r>
    </w:p>
    <w:p w:rsidR="00000000" w:rsidDel="00000000" w:rsidP="00000000" w:rsidRDefault="00000000" w:rsidRPr="00000000" w14:paraId="0000005A">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criteria and weightings shall apply to the evaluation of tenders received through the Further Competition Procedure:</w:t>
      </w:r>
    </w:p>
    <w:tbl>
      <w:tblPr>
        <w:tblStyle w:val="Table1"/>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shd w:fill="e7e6e6" w:val="clear"/>
          </w:tcPr>
          <w:p w:rsidR="00000000" w:rsidDel="00000000" w:rsidP="00000000" w:rsidRDefault="00000000" w:rsidRPr="00000000" w14:paraId="0000005B">
            <w:pPr>
              <w:widowControl w:val="1"/>
              <w:pBdr>
                <w:top w:space="0" w:sz="0" w:val="nil"/>
                <w:left w:space="0" w:sz="0" w:val="nil"/>
                <w:bottom w:space="0" w:sz="0" w:val="nil"/>
                <w:right w:space="0" w:sz="0" w:val="nil"/>
                <w:between w:space="0" w:sz="0" w:val="nil"/>
              </w:pBdr>
              <w:tabs>
                <w:tab w:val="left" w:leader="none" w:pos="851"/>
              </w:tabs>
              <w:spacing w:after="120" w:before="12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Criteria</w:t>
            </w:r>
            <w:r w:rsidDel="00000000" w:rsidR="00000000" w:rsidRPr="00000000">
              <w:rPr>
                <w:rtl w:val="0"/>
              </w:rPr>
            </w:r>
          </w:p>
        </w:tc>
        <w:tc>
          <w:tcPr>
            <w:shd w:fill="e7e6e6" w:val="clear"/>
          </w:tcPr>
          <w:p w:rsidR="00000000" w:rsidDel="00000000" w:rsidP="00000000" w:rsidRDefault="00000000" w:rsidRPr="00000000" w14:paraId="0000005C">
            <w:pPr>
              <w:widowControl w:val="1"/>
              <w:spacing w:after="200" w:before="12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Relative weighting percentage </w:t>
            </w:r>
          </w:p>
          <w:p w:rsidR="00000000" w:rsidDel="00000000" w:rsidP="00000000" w:rsidRDefault="00000000" w:rsidRPr="00000000" w14:paraId="0000005D">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Guidance:</w:t>
            </w:r>
            <w:r w:rsidDel="00000000" w:rsidR="00000000" w:rsidRPr="00000000">
              <w:rPr>
                <w:rFonts w:ascii="Arial" w:cs="Arial" w:eastAsia="Arial" w:hAnsi="Arial"/>
                <w:color w:val="000000"/>
                <w:sz w:val="24"/>
                <w:szCs w:val="24"/>
                <w:rtl w:val="0"/>
              </w:rPr>
              <w:t xml:space="preserve"> where weighting is not possible for objective reasons, list the criteria in decreasing order of importance, amend the column heading to read 'Rank order of importance where 1 = most important, 2 = second most important etc.'. The figure 1 must be in the top row, running down to the least important in the bottom row.]</w:t>
            </w:r>
          </w:p>
        </w:tc>
      </w:tr>
      <w:tr>
        <w:trPr>
          <w:cantSplit w:val="0"/>
          <w:tblHeader w:val="0"/>
        </w:trPr>
        <w:tc>
          <w:tcPr/>
          <w:p w:rsidR="00000000" w:rsidDel="00000000" w:rsidP="00000000" w:rsidRDefault="00000000" w:rsidRPr="00000000" w14:paraId="0000005E">
            <w:pPr>
              <w:keepNext w:val="1"/>
              <w:widowControl w:val="1"/>
              <w:pBdr>
                <w:top w:space="0" w:sz="0" w:val="nil"/>
                <w:left w:space="0" w:sz="0" w:val="nil"/>
                <w:bottom w:space="0" w:sz="0" w:val="nil"/>
                <w:right w:space="0" w:sz="0" w:val="nil"/>
                <w:between w:space="0" w:sz="0" w:val="nil"/>
              </w:pBdr>
              <w:spacing w:after="120" w:before="120" w:lineRule="auto"/>
              <w:ind w:left="142" w:firstLine="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[Quality]</w:t>
            </w:r>
          </w:p>
          <w:p w:rsidR="00000000" w:rsidDel="00000000" w:rsidP="00000000" w:rsidRDefault="00000000" w:rsidRPr="00000000" w14:paraId="0000005F">
            <w:pPr>
              <w:keepNext w:val="1"/>
              <w:widowControl w:val="1"/>
              <w:pBdr>
                <w:top w:space="0" w:sz="0" w:val="nil"/>
                <w:left w:space="0" w:sz="0" w:val="nil"/>
                <w:bottom w:space="0" w:sz="0" w:val="nil"/>
                <w:right w:space="0" w:sz="0" w:val="nil"/>
                <w:between w:space="0" w:sz="0" w:val="nil"/>
              </w:pBdr>
              <w:spacing w:after="120" w:before="240" w:lineRule="auto"/>
              <w:ind w:left="142" w:firstLine="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[Which consists of the following criteria:</w:t>
            </w:r>
          </w:p>
          <w:p w:rsidR="00000000" w:rsidDel="00000000" w:rsidP="00000000" w:rsidRDefault="00000000" w:rsidRPr="00000000" w14:paraId="00000060">
            <w:pPr>
              <w:keepNext w:val="1"/>
              <w:widowControl w:val="1"/>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[Added Value / Innovation]</w:t>
            </w:r>
          </w:p>
          <w:p w:rsidR="00000000" w:rsidDel="00000000" w:rsidP="00000000" w:rsidRDefault="00000000" w:rsidRPr="00000000" w14:paraId="00000061">
            <w:pPr>
              <w:keepNext w:val="1"/>
              <w:widowControl w:val="1"/>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[Social Value]</w:t>
            </w:r>
          </w:p>
          <w:p w:rsidR="00000000" w:rsidDel="00000000" w:rsidP="00000000" w:rsidRDefault="00000000" w:rsidRPr="00000000" w14:paraId="00000062">
            <w:pPr>
              <w:keepNext w:val="1"/>
              <w:widowControl w:val="1"/>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[Approach To Delivery Of The Services]</w:t>
            </w:r>
          </w:p>
          <w:p w:rsidR="00000000" w:rsidDel="00000000" w:rsidP="00000000" w:rsidRDefault="00000000" w:rsidRPr="00000000" w14:paraId="00000063">
            <w:pPr>
              <w:keepNext w:val="1"/>
              <w:widowControl w:val="1"/>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[Implementation]</w:t>
            </w:r>
          </w:p>
          <w:p w:rsidR="00000000" w:rsidDel="00000000" w:rsidP="00000000" w:rsidRDefault="00000000" w:rsidRPr="00000000" w14:paraId="00000064">
            <w:pPr>
              <w:keepNext w:val="1"/>
              <w:widowControl w:val="1"/>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[Use of Supply Chain/ Partners]</w:t>
            </w:r>
          </w:p>
          <w:p w:rsidR="00000000" w:rsidDel="00000000" w:rsidP="00000000" w:rsidRDefault="00000000" w:rsidRPr="00000000" w14:paraId="00000065">
            <w:pPr>
              <w:keepNext w:val="1"/>
              <w:widowControl w:val="1"/>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[Understanding of the Technical Requirements]</w:t>
            </w:r>
          </w:p>
          <w:p w:rsidR="00000000" w:rsidDel="00000000" w:rsidP="00000000" w:rsidRDefault="00000000" w:rsidRPr="00000000" w14:paraId="00000066">
            <w:pPr>
              <w:keepNext w:val="1"/>
              <w:widowControl w:val="1"/>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[Ability to meet Requested Timescales]</w:t>
            </w:r>
          </w:p>
          <w:p w:rsidR="00000000" w:rsidDel="00000000" w:rsidP="00000000" w:rsidRDefault="00000000" w:rsidRPr="00000000" w14:paraId="00000067">
            <w:pPr>
              <w:keepNext w:val="1"/>
              <w:widowControl w:val="1"/>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[Quality of the team]</w:t>
            </w:r>
          </w:p>
          <w:p w:rsidR="00000000" w:rsidDel="00000000" w:rsidP="00000000" w:rsidRDefault="00000000" w:rsidRPr="00000000" w14:paraId="00000068">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sz w:val="24"/>
                <w:szCs w:val="24"/>
                <w:highlight w:val="yellow"/>
              </w:rPr>
            </w:pPr>
            <w:r w:rsidDel="00000000" w:rsidR="00000000" w:rsidRPr="00000000">
              <w:rPr>
                <w:rtl w:val="0"/>
              </w:rPr>
            </w:r>
          </w:p>
        </w:tc>
        <w:tc>
          <w:tcPr/>
          <w:p w:rsidR="00000000" w:rsidDel="00000000" w:rsidP="00000000" w:rsidRDefault="00000000" w:rsidRPr="00000000" w14:paraId="00000069">
            <w:pPr>
              <w:widowControl w:val="1"/>
              <w:pBdr>
                <w:top w:space="0" w:sz="0" w:val="nil"/>
                <w:left w:space="0" w:sz="0" w:val="nil"/>
                <w:bottom w:space="0" w:sz="0" w:val="nil"/>
                <w:right w:space="0" w:sz="0" w:val="nil"/>
                <w:between w:space="0" w:sz="0" w:val="nil"/>
              </w:pBdr>
              <w:tabs>
                <w:tab w:val="left" w:leader="none" w:pos="851"/>
              </w:tabs>
              <w:spacing w:after="120" w:before="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sz w:val="24"/>
                <w:szCs w:val="24"/>
                <w:highlight w:val="yellow"/>
                <w:rtl w:val="0"/>
              </w:rPr>
              <w:t xml:space="preserve">Between 40% and 70%</w:t>
            </w:r>
            <w:r w:rsidDel="00000000" w:rsidR="00000000" w:rsidRPr="00000000">
              <w:rPr>
                <w:rFonts w:ascii="Arial" w:cs="Arial" w:eastAsia="Arial" w:hAnsi="Arial"/>
                <w:color w:val="000000"/>
                <w:sz w:val="24"/>
                <w:szCs w:val="24"/>
                <w:highlight w:val="yellow"/>
                <w:rtl w:val="0"/>
              </w:rPr>
              <w:t xml:space="preserve">  ] </w:t>
            </w:r>
            <w:r w:rsidDel="00000000" w:rsidR="00000000" w:rsidRPr="00000000">
              <w:rPr>
                <w:rtl w:val="0"/>
              </w:rPr>
            </w:r>
          </w:p>
        </w:tc>
      </w:tr>
      <w:tr>
        <w:trPr>
          <w:cantSplit w:val="0"/>
          <w:tblHeader w:val="0"/>
        </w:trPr>
        <w:tc>
          <w:tcPr/>
          <w:p w:rsidR="00000000" w:rsidDel="00000000" w:rsidP="00000000" w:rsidRDefault="00000000" w:rsidRPr="00000000" w14:paraId="0000006A">
            <w:pPr>
              <w:widowControl w:val="1"/>
              <w:tabs>
                <w:tab w:val="left" w:leader="none" w:pos="851"/>
              </w:tabs>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[Commercial]</w:t>
            </w:r>
          </w:p>
          <w:p w:rsidR="00000000" w:rsidDel="00000000" w:rsidP="00000000" w:rsidRDefault="00000000" w:rsidRPr="00000000" w14:paraId="0000006B">
            <w:pPr>
              <w:widowControl w:val="1"/>
              <w:tabs>
                <w:tab w:val="left" w:leader="none" w:pos="851"/>
              </w:tabs>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Which consists of the following criteria (one or more or all may be selected):</w:t>
            </w:r>
          </w:p>
          <w:p w:rsidR="00000000" w:rsidDel="00000000" w:rsidP="00000000" w:rsidRDefault="00000000" w:rsidRPr="00000000" w14:paraId="0000006C">
            <w:pPr>
              <w:widowControl w:val="1"/>
              <w:tabs>
                <w:tab w:val="left" w:leader="none" w:pos="851"/>
              </w:tabs>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tab/>
              <w:t xml:space="preserve">[Call-Off Specific Rate Table]</w:t>
            </w:r>
          </w:p>
          <w:p w:rsidR="00000000" w:rsidDel="00000000" w:rsidP="00000000" w:rsidRDefault="00000000" w:rsidRPr="00000000" w14:paraId="0000006D">
            <w:pPr>
              <w:widowControl w:val="1"/>
              <w:tabs>
                <w:tab w:val="left" w:leader="none" w:pos="851"/>
              </w:tabs>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tab/>
              <w:t xml:space="preserve">[Overall Price Estimate]</w:t>
            </w:r>
          </w:p>
          <w:p w:rsidR="00000000" w:rsidDel="00000000" w:rsidP="00000000" w:rsidRDefault="00000000" w:rsidRPr="00000000" w14:paraId="0000006E">
            <w:pPr>
              <w:widowControl w:val="1"/>
              <w:tabs>
                <w:tab w:val="left" w:leader="none" w:pos="851"/>
              </w:tabs>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tab/>
              <w:t xml:space="preserve">[Value of Overall Cap]</w:t>
            </w:r>
          </w:p>
          <w:p w:rsidR="00000000" w:rsidDel="00000000" w:rsidP="00000000" w:rsidRDefault="00000000" w:rsidRPr="00000000" w14:paraId="0000006F">
            <w:pPr>
              <w:widowControl w:val="1"/>
              <w:tabs>
                <w:tab w:val="left" w:leader="none" w:pos="851"/>
              </w:tabs>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tab/>
              <w:t xml:space="preserve">[Price for Initial Statement of Work(s)]</w:t>
            </w:r>
          </w:p>
        </w:tc>
        <w:tc>
          <w:tcPr/>
          <w:p w:rsidR="00000000" w:rsidDel="00000000" w:rsidP="00000000" w:rsidRDefault="00000000" w:rsidRPr="00000000" w14:paraId="00000070">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sz w:val="24"/>
                <w:szCs w:val="24"/>
                <w:highlight w:val="yellow"/>
                <w:rtl w:val="0"/>
              </w:rPr>
              <w:t xml:space="preserve">Between 30% and 60%</w:t>
            </w: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bl>
    <w:p w:rsidR="00000000" w:rsidDel="00000000" w:rsidP="00000000" w:rsidRDefault="00000000" w:rsidRPr="00000000" w14:paraId="00000071">
      <w:pPr>
        <w:widowControl w:val="1"/>
        <w:pBdr>
          <w:top w:space="0" w:sz="0" w:val="nil"/>
          <w:left w:space="0" w:sz="0" w:val="nil"/>
          <w:bottom w:space="0" w:sz="0" w:val="nil"/>
          <w:right w:space="0" w:sz="0" w:val="nil"/>
          <w:between w:space="0" w:sz="0" w:val="nil"/>
        </w:pBdr>
        <w:jc w:val="both"/>
        <w:rPr>
          <w:rFonts w:ascii="Arial" w:cs="Arial" w:eastAsia="Arial" w:hAnsi="Arial"/>
          <w:color w:val="ffffff"/>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RM6345</w:t>
      <w:tab/>
      <w:t xml:space="preserve">                                           </w:t>
    </w:r>
  </w:p>
  <w:p w:rsidR="00000000" w:rsidDel="00000000" w:rsidP="00000000" w:rsidRDefault="00000000" w:rsidRPr="00000000" w14:paraId="0000007A">
    <w:pPr>
      <w:widowControl w:val="1"/>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tabs>
        <w:tab w:val="left" w:leader="none" w:pos="720"/>
        <w:tab w:val="left" w:leader="none" w:pos="1440"/>
        <w:tab w:val="left" w:leader="none" w:pos="2160"/>
        <w:tab w:val="left" w:leader="none" w:pos="2880"/>
        <w:tab w:val="left" w:leader="none" w:pos="3600"/>
        <w:tab w:val="center" w:leader="none" w:pos="4513"/>
      </w:tabs>
      <w:rPr>
        <w:rFonts w:ascii="Arial" w:cs="Arial" w:eastAsia="Arial" w:hAnsi="Arial"/>
        <w:sz w:val="20"/>
        <w:szCs w:val="20"/>
      </w:rPr>
    </w:pPr>
    <w:bookmarkStart w:colFirst="0" w:colLast="0" w:name="_heading=h.gjdgxs" w:id="11"/>
    <w:bookmarkEnd w:id="11"/>
    <w:r w:rsidDel="00000000" w:rsidR="00000000" w:rsidRPr="00000000">
      <w:rPr>
        <w:rFonts w:ascii="Arial" w:cs="Arial" w:eastAsia="Arial" w:hAnsi="Arial"/>
        <w:sz w:val="20"/>
        <w:szCs w:val="20"/>
        <w:rtl w:val="0"/>
      </w:rPr>
      <w:t xml:space="preserve">Model Version: v3.3</w:t>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p w:rsidR="00000000" w:rsidDel="00000000" w:rsidP="00000000" w:rsidRDefault="00000000" w:rsidRPr="00000000" w14:paraId="0000007D">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r>
  </w:p>
  <w:p w:rsidR="00000000" w:rsidDel="00000000" w:rsidP="00000000" w:rsidRDefault="00000000" w:rsidRPr="00000000" w14:paraId="0000007E">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F">
    <w:pPr>
      <w:tabs>
        <w:tab w:val="left" w:leader="none" w:pos="720"/>
        <w:tab w:val="left" w:leader="none" w:pos="1440"/>
        <w:tab w:val="left" w:leader="none" w:pos="2160"/>
        <w:tab w:val="left" w:leader="none" w:pos="2880"/>
        <w:tab w:val="left" w:leader="none" w:pos="3600"/>
        <w:tab w:val="center" w:leader="none" w:pos="4513"/>
      </w:tabs>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7 (Call-Off Award Procedure)</w:t>
    </w:r>
  </w:p>
  <w:p w:rsidR="00000000" w:rsidDel="00000000" w:rsidP="00000000" w:rsidRDefault="00000000" w:rsidRPr="00000000" w14:paraId="00000074">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24</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Framework Schedule 7 (Call-Off Award Procedure)</w:t>
    </w:r>
  </w:p>
  <w:p w:rsidR="00000000" w:rsidDel="00000000" w:rsidP="00000000" w:rsidRDefault="00000000" w:rsidRPr="00000000" w14:paraId="00000076">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 2018</w:t>
    </w:r>
  </w:p>
  <w:p w:rsidR="00000000" w:rsidDel="00000000" w:rsidP="00000000" w:rsidRDefault="00000000" w:rsidRPr="00000000" w14:paraId="00000077">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360" w:hanging="360"/>
      </w:pPr>
      <w:rPr>
        <w:b w:val="1"/>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rPr/>
    </w:lvl>
    <w:lvl w:ilvl="7">
      <w:start w:val="1"/>
      <w:numFmt w:val="decimal"/>
      <w:lvlText w:val="%1.%2.%3.%4.%5.%6.%7.%8"/>
      <w:lvlJc w:val="left"/>
      <w:pPr>
        <w:ind w:left="2520" w:hanging="1440"/>
      </w:pPr>
      <w:rPr/>
    </w:lvl>
    <w:lvl w:ilvl="8">
      <w:start w:val="1"/>
      <w:numFmt w:val="decimal"/>
      <w:lvlText w:val="%1.%2.%3.%4.%5.%6.%7.%8.%9"/>
      <w:lvlJc w:val="left"/>
      <w:pPr>
        <w:ind w:left="2880" w:hanging="1800"/>
      </w:pPr>
      <w:rPr/>
    </w:lvl>
  </w:abstractNum>
  <w:abstractNum w:abstractNumId="4">
    <w:lvl w:ilvl="0">
      <w:start w:val="9"/>
      <w:numFmt w:val="decimal"/>
      <w:lvlText w:val="%1."/>
      <w:lvlJc w:val="left"/>
      <w:pPr>
        <w:ind w:left="360" w:hanging="360"/>
      </w:pPr>
      <w:rPr>
        <w:b w:val="1"/>
        <w:i w:val="0"/>
        <w:smallCaps w:val="0"/>
        <w:strike w:val="0"/>
        <w:color w:val="00000a"/>
        <w:sz w:val="24"/>
        <w:szCs w:val="24"/>
        <w:u w:val="none"/>
        <w:vertAlign w:val="baseline"/>
      </w:rPr>
    </w:lvl>
    <w:lvl w:ilvl="1">
      <w:start w:val="2"/>
      <w:numFmt w:val="decimal"/>
      <w:lvlText w:val="%1.%2"/>
      <w:lvlJc w:val="left"/>
      <w:pPr>
        <w:ind w:left="1080" w:hanging="360"/>
      </w:pPr>
      <w:rPr>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32FDD"/>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tandard" w:customStyle="1">
    <w:name w:val="Standard"/>
    <w:pPr>
      <w:widowControl w:val="1"/>
      <w:spacing w:after="240"/>
      <w:jc w:val="both"/>
    </w:pPr>
    <w:rPr>
      <w:rFonts w:cs="Arial" w:eastAsia="Times New Roman"/>
    </w:rPr>
  </w:style>
  <w:style w:type="paragraph" w:styleId="Heading" w:customStyle="1">
    <w:name w:val="Heading"/>
    <w:basedOn w:val="Standard"/>
    <w:next w:val="Textbody"/>
    <w:pPr>
      <w:keepNext w:val="1"/>
      <w:spacing w:after="120" w:before="240"/>
    </w:pPr>
    <w:rPr>
      <w:rFonts w:ascii="Liberation Sans" w:cs="Arial Unicode MS" w:eastAsia="Arial Unicode MS" w:hAnsi="Liberation Sans"/>
      <w:sz w:val="28"/>
      <w:szCs w:val="28"/>
    </w:rPr>
  </w:style>
  <w:style w:type="paragraph" w:styleId="Textbody" w:customStyle="1">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styleId="MarginText" w:customStyle="1">
    <w:name w:val="Margin Text"/>
    <w:basedOn w:val="Standard"/>
    <w:pPr>
      <w:keepNext w:val="1"/>
      <w:overflowPunct w:val="0"/>
      <w:spacing w:after="120" w:before="240"/>
      <w:ind w:left="142"/>
    </w:pPr>
    <w:rPr>
      <w:rFonts w:cs="Times New Roman" w:eastAsia="STZhongsong"/>
      <w:szCs w:val="18"/>
      <w:lang w:eastAsia="zh-CN"/>
    </w:rPr>
  </w:style>
  <w:style w:type="paragraph" w:styleId="GPSL1CLAUSEHEADING" w:customStyle="1">
    <w:name w:val="GPS L1 CLAUSE HEADING"/>
    <w:basedOn w:val="Standard"/>
    <w:next w:val="Standard"/>
    <w:pPr>
      <w:tabs>
        <w:tab w:val="left" w:pos="142"/>
      </w:tabs>
      <w:overflowPunct w:val="0"/>
      <w:spacing w:before="120"/>
      <w:outlineLvl w:val="1"/>
    </w:pPr>
    <w:rPr>
      <w:rFonts w:eastAsia="STZhongsong"/>
      <w:b w:val="1"/>
      <w:caps w:val="1"/>
      <w:lang w:eastAsia="zh-CN"/>
    </w:rPr>
  </w:style>
  <w:style w:type="paragraph" w:styleId="GPSL3numberedclause" w:customStyle="1">
    <w:name w:val="GPS L3 numbered clause"/>
    <w:basedOn w:val="Standard"/>
    <w:pPr>
      <w:tabs>
        <w:tab w:val="left" w:pos="3641"/>
      </w:tabs>
      <w:overflowPunct w:val="0"/>
      <w:spacing w:after="120" w:before="120"/>
      <w:ind w:left="1656"/>
    </w:pPr>
    <w:rPr>
      <w:lang w:eastAsia="zh-CN"/>
    </w:rPr>
  </w:style>
  <w:style w:type="paragraph" w:styleId="GPSL4numberedclause" w:customStyle="1">
    <w:name w:val="GPS L4 numbered clause"/>
    <w:basedOn w:val="GPSL3numberedclause"/>
    <w:pPr>
      <w:tabs>
        <w:tab w:val="clear" w:pos="3641"/>
      </w:tabs>
      <w:ind w:left="2592" w:hanging="936"/>
    </w:pPr>
  </w:style>
  <w:style w:type="paragraph" w:styleId="GPSL5numberedclause" w:customStyle="1">
    <w:name w:val="GPS L5 numbered clause"/>
    <w:basedOn w:val="GPSL4numberedclause"/>
    <w:pPr>
      <w:tabs>
        <w:tab w:val="left" w:pos="6238"/>
      </w:tabs>
      <w:ind w:left="3119" w:hanging="567"/>
    </w:pPr>
  </w:style>
  <w:style w:type="paragraph" w:styleId="GPSL2NumberedBoldHeading" w:customStyle="1">
    <w:name w:val="GPS L2 Numbered Bold Heading"/>
    <w:basedOn w:val="Standard"/>
    <w:pPr>
      <w:tabs>
        <w:tab w:val="left" w:pos="3054"/>
      </w:tabs>
      <w:overflowPunct w:val="0"/>
      <w:spacing w:after="120" w:before="120"/>
      <w:ind w:left="1920"/>
    </w:pPr>
    <w:rPr>
      <w:b w:val="1"/>
      <w:lang w:eastAsia="zh-CN"/>
    </w:rPr>
  </w:style>
  <w:style w:type="paragraph" w:styleId="GPSL6numbered" w:customStyle="1">
    <w:name w:val="GPS L6 numbered"/>
    <w:basedOn w:val="GPSL5numberedclause"/>
    <w:pPr>
      <w:tabs>
        <w:tab w:val="clear" w:pos="6238"/>
        <w:tab w:val="left" w:pos="4046"/>
        <w:tab w:val="left" w:pos="7372"/>
      </w:tabs>
      <w:ind w:left="3686"/>
    </w:pPr>
  </w:style>
  <w:style w:type="paragraph" w:styleId="GPSL1Guidance" w:customStyle="1">
    <w:name w:val="GPS L1 Guidance"/>
    <w:basedOn w:val="Standard"/>
    <w:pPr>
      <w:spacing w:after="120" w:before="240"/>
      <w:ind w:left="426"/>
    </w:pPr>
    <w:rPr>
      <w:b w:val="1"/>
      <w:i w:val="1"/>
    </w:rPr>
  </w:style>
  <w:style w:type="paragraph" w:styleId="GPSL1SCHEDULEHeading" w:customStyle="1">
    <w:name w:val="GPS L1 SCHEDULE Heading"/>
    <w:basedOn w:val="GPSL1CLAUSEHEADING"/>
    <w:pPr>
      <w:tabs>
        <w:tab w:val="clear" w:pos="142"/>
      </w:tabs>
    </w:pPr>
  </w:style>
  <w:style w:type="paragraph" w:styleId="GPSmacrorestart" w:customStyle="1">
    <w:name w:val="GPS macro restart"/>
    <w:basedOn w:val="Standard"/>
    <w:qFormat w:val="1"/>
    <w:pPr>
      <w:spacing w:after="0"/>
    </w:pPr>
    <w:rPr>
      <w:color w:val="ffffff"/>
      <w:sz w:val="16"/>
      <w:szCs w:val="16"/>
    </w:rPr>
  </w:style>
  <w:style w:type="paragraph" w:styleId="GPSSchTitleandNumber" w:customStyle="1">
    <w:name w:val="GPS Sch Title and Number"/>
    <w:basedOn w:val="Standard"/>
    <w:pPr>
      <w:keepNext w:val="1"/>
      <w:overflowPunct w:val="0"/>
      <w:ind w:firstLine="426"/>
      <w:jc w:val="center"/>
      <w:outlineLvl w:val="0"/>
    </w:pPr>
    <w:rPr>
      <w:rFonts w:ascii="Arial Bold" w:cs="Times New Roman" w:eastAsia="STZhongsong" w:hAnsi="Arial Bold"/>
      <w:b w:val="1"/>
      <w:caps w:val="1"/>
      <w:lang w:eastAsia="zh-CN"/>
    </w:rPr>
  </w:style>
  <w:style w:type="paragraph" w:styleId="GPSSchPart" w:customStyle="1">
    <w:name w:val="GPS Sch Part"/>
    <w:basedOn w:val="Standard"/>
    <w:qFormat w:val="1"/>
    <w:pPr>
      <w:keepNext w:val="1"/>
      <w:overflowPunct w:val="0"/>
      <w:spacing w:before="240"/>
      <w:ind w:firstLine="426"/>
      <w:jc w:val="center"/>
    </w:pPr>
    <w:rPr>
      <w:rFonts w:ascii="Arial Bold" w:cs="Times New Roman" w:eastAsia="STZhongsong" w:hAnsi="Arial Bold"/>
      <w:b w:val="1"/>
      <w:caps w:val="1"/>
      <w:lang w:eastAsia="zh-CN"/>
    </w:rPr>
  </w:style>
  <w:style w:type="paragraph" w:styleId="GPSL2Numbered" w:customStyle="1">
    <w:name w:val="GPS L2 Numbered"/>
    <w:basedOn w:val="GPSL2NumberedBoldHeading"/>
    <w:pPr>
      <w:tabs>
        <w:tab w:val="clear" w:pos="3054"/>
      </w:tabs>
      <w:ind w:left="936" w:hanging="576"/>
    </w:pPr>
    <w:rPr>
      <w:b w:val="0"/>
    </w:rPr>
  </w:style>
  <w:style w:type="paragraph" w:styleId="GPSL1Schedulenumbered" w:customStyle="1">
    <w:name w:val="GPS L1 Schedule numbered"/>
    <w:basedOn w:val="Standard"/>
    <w:qFormat w:val="1"/>
    <w:pPr>
      <w:tabs>
        <w:tab w:val="left" w:pos="851"/>
      </w:tabs>
    </w:pPr>
  </w:style>
  <w:style w:type="paragraph" w:styleId="BalloonText">
    <w:name w:val="Balloon Text"/>
    <w:basedOn w:val="Standard"/>
    <w:pPr>
      <w:spacing w:after="0"/>
    </w:pPr>
    <w:rPr>
      <w:rFonts w:ascii="Tahoma" w:cs="Tahoma" w:eastAsia="Tahoma" w:hAnsi="Tahoma"/>
      <w:sz w:val="16"/>
      <w:szCs w:val="16"/>
    </w:rPr>
  </w:style>
  <w:style w:type="paragraph" w:styleId="GPSL2Guidance" w:customStyle="1">
    <w:name w:val="GPS L2 Guidance"/>
    <w:basedOn w:val="Standard"/>
    <w:pPr>
      <w:tabs>
        <w:tab w:val="left" w:pos="2268"/>
      </w:tabs>
      <w:overflowPunct w:val="0"/>
      <w:spacing w:after="120" w:before="120"/>
      <w:ind w:left="1134"/>
    </w:pPr>
    <w:rPr>
      <w:b w:val="1"/>
      <w:i w:val="1"/>
      <w:lang w:eastAsia="zh-CN"/>
    </w:rPr>
  </w:style>
  <w:style w:type="paragraph" w:styleId="GPSL2Indent" w:customStyle="1">
    <w:name w:val="GPS L2 Indent"/>
    <w:basedOn w:val="Standard"/>
    <w:pPr>
      <w:tabs>
        <w:tab w:val="left" w:pos="4536"/>
      </w:tabs>
      <w:spacing w:after="220"/>
      <w:ind w:left="1134"/>
    </w:pPr>
    <w:rPr>
      <w:szCs w:val="24"/>
    </w:rPr>
  </w:style>
  <w:style w:type="paragraph" w:styleId="GPSL4Guidance" w:customStyle="1">
    <w:name w:val="GPS L4 Guidance"/>
    <w:basedOn w:val="Standard"/>
    <w:pPr>
      <w:tabs>
        <w:tab w:val="left" w:pos="3970"/>
      </w:tabs>
      <w:overflowPunct w:val="0"/>
      <w:spacing w:after="120" w:before="120"/>
      <w:ind w:left="1985"/>
    </w:pPr>
    <w:rPr>
      <w:b w:val="1"/>
      <w:i w:val="1"/>
      <w:lang w:eastAsia="zh-CN"/>
    </w:rPr>
  </w:style>
  <w:style w:type="paragraph" w:styleId="GPSL2non-numberboldheading" w:customStyle="1">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val="1"/>
      <w:bCs w:val="1"/>
    </w:rPr>
  </w:style>
  <w:style w:type="character" w:styleId="HeaderChar" w:customStyle="1">
    <w:name w:val="Header Char"/>
    <w:basedOn w:val="DefaultParagraphFont"/>
  </w:style>
  <w:style w:type="character" w:styleId="FooterChar" w:customStyle="1">
    <w:name w:val="Footer Char"/>
    <w:basedOn w:val="DefaultParagraphFont"/>
    <w:uiPriority w:val="99"/>
  </w:style>
  <w:style w:type="character" w:styleId="Emphasis">
    <w:name w:val="Emphasis"/>
    <w:basedOn w:val="DefaultParagraphFont"/>
    <w:rPr>
      <w:i w:val="1"/>
      <w:iCs w:val="1"/>
    </w:rPr>
  </w:style>
  <w:style w:type="character" w:styleId="MarginTextChar" w:customStyle="1">
    <w:name w:val="Margin Text Char"/>
    <w:rPr>
      <w:rFonts w:ascii="Calibri" w:cs="Times New Roman" w:eastAsia="STZhongsong" w:hAnsi="Calibri"/>
      <w:szCs w:val="18"/>
      <w:lang w:eastAsia="zh-CN"/>
    </w:rPr>
  </w:style>
  <w:style w:type="character" w:styleId="GPSL2NumberedChar" w:customStyle="1">
    <w:name w:val="GPS L2 Numbered Char"/>
    <w:rPr>
      <w:rFonts w:ascii="Calibri" w:cs="Arial" w:eastAsia="Times New Roman" w:hAnsi="Calibri"/>
      <w:lang w:eastAsia="zh-CN"/>
    </w:rPr>
  </w:style>
  <w:style w:type="character" w:styleId="GPSL1SCHEDULEHeadingChar" w:customStyle="1">
    <w:name w:val="GPS L1 SCHEDULE Heading Char"/>
    <w:rPr>
      <w:rFonts w:ascii="Calibri" w:cs="Arial" w:eastAsia="STZhongsong" w:hAnsi="Calibri"/>
      <w:b w:val="1"/>
      <w:caps w:val="1"/>
      <w:lang w:eastAsia="zh-CN"/>
    </w:rPr>
  </w:style>
  <w:style w:type="character" w:styleId="GPSL1SchedulenumberedChar1" w:customStyle="1">
    <w:name w:val="GPS L1 Schedule numbered Char1"/>
    <w:rPr>
      <w:rFonts w:ascii="Calibri" w:cs="Arial" w:eastAsia="Times New Roman" w:hAnsi="Calibri"/>
    </w:rPr>
  </w:style>
  <w:style w:type="character" w:styleId="GPSL1GuidanceChar" w:customStyle="1">
    <w:name w:val="GPS L1 Guidance Char"/>
    <w:rPr>
      <w:rFonts w:ascii="Calibri" w:cs="Arial" w:eastAsia="Times New Roman" w:hAnsi="Calibri"/>
      <w:b w:val="1"/>
      <w:i w:val="1"/>
    </w:rPr>
  </w:style>
  <w:style w:type="character" w:styleId="GPSSchTitleandNumberChar" w:customStyle="1">
    <w:name w:val="GPS Sch Title and Number Char"/>
    <w:rPr>
      <w:rFonts w:ascii="Arial Bold" w:cs="Times New Roman" w:eastAsia="STZhongsong" w:hAnsi="Arial Bold"/>
      <w:b w:val="1"/>
      <w:caps w:val="1"/>
      <w:lang w:eastAsia="zh-CN"/>
    </w:rPr>
  </w:style>
  <w:style w:type="character" w:styleId="GPSSchPartChar" w:customStyle="1">
    <w:name w:val="GPS Sch Part Char"/>
    <w:rPr>
      <w:rFonts w:ascii="Arial Bold" w:cs="Times New Roman" w:eastAsia="STZhongsong" w:hAnsi="Arial Bold"/>
      <w:b w:val="1"/>
      <w:caps w:val="1"/>
      <w:lang w:eastAsia="zh-CN"/>
    </w:rPr>
  </w:style>
  <w:style w:type="character" w:styleId="BalloonTextChar" w:customStyle="1">
    <w:name w:val="Balloon Text Char"/>
    <w:basedOn w:val="DefaultParagraphFont"/>
    <w:rPr>
      <w:rFonts w:ascii="Tahoma" w:cs="Tahoma" w:eastAsia="Times New Roman" w:hAnsi="Tahoma"/>
      <w:sz w:val="16"/>
      <w:szCs w:val="16"/>
    </w:rPr>
  </w:style>
  <w:style w:type="character" w:styleId="GPSL4numberedclauseChar" w:customStyle="1">
    <w:name w:val="GPS L4 numbered clause Char"/>
    <w:rPr>
      <w:rFonts w:ascii="Calibri" w:cs="Arial" w:eastAsia="Times New Roman" w:hAnsi="Calibri"/>
      <w:lang w:eastAsia="zh-CN"/>
    </w:rPr>
  </w:style>
  <w:style w:type="character" w:styleId="GPSL3numberedclauseChar" w:customStyle="1">
    <w:name w:val="GPS L3 numbered clause Char"/>
    <w:rPr>
      <w:rFonts w:ascii="Calibri" w:cs="Arial" w:eastAsia="Times New Roman" w:hAnsi="Calibri"/>
      <w:lang w:eastAsia="zh-CN"/>
    </w:rPr>
  </w:style>
  <w:style w:type="character" w:styleId="GPSL5numberedclauseChar" w:customStyle="1">
    <w:name w:val="GPS L5 numbered clause Char"/>
    <w:rPr>
      <w:rFonts w:ascii="Calibri" w:cs="Arial" w:eastAsia="Times New Roman" w:hAnsi="Calibri"/>
      <w:lang w:eastAsia="zh-CN"/>
    </w:rPr>
  </w:style>
  <w:style w:type="character" w:styleId="GPSL4GuidanceChar" w:customStyle="1">
    <w:name w:val="GPS L4 Guidance Char"/>
    <w:rPr>
      <w:rFonts w:ascii="Calibri" w:cs="Arial" w:eastAsia="Times New Roman" w:hAnsi="Calibri"/>
      <w:b w:val="1"/>
      <w:i w:val="1"/>
      <w:lang w:eastAsia="zh-CN"/>
    </w:rPr>
  </w:style>
  <w:style w:type="character" w:styleId="GPSL2non-numberboldheadingChar" w:customStyle="1">
    <w:name w:val="GPS L2 non-number bold heading Char"/>
    <w:rPr>
      <w:rFonts w:ascii="Calibri" w:cs="Arial" w:eastAsia="Times New Roman" w:hAnsi="Calibri"/>
      <w:b w:val="1"/>
      <w:lang w:eastAsia="zh-CN"/>
    </w:rPr>
  </w:style>
  <w:style w:type="character" w:styleId="GPSL2IndentChar" w:customStyle="1">
    <w:name w:val="GPS L2 Indent Char"/>
    <w:rPr>
      <w:rFonts w:ascii="Calibri" w:cs="Arial" w:eastAsia="Times New Roman" w:hAnsi="Calibri"/>
      <w:szCs w:val="24"/>
    </w:rPr>
  </w:style>
  <w:style w:type="character" w:styleId="GPSL2GuidanceChar" w:customStyle="1">
    <w:name w:val="GPS L2 Guidance Char"/>
    <w:rPr>
      <w:rFonts w:ascii="Calibri" w:cs="Arial" w:eastAsia="Times New Roman" w:hAnsi="Calibri"/>
      <w:b w:val="1"/>
      <w:i w:val="1"/>
      <w:lang w:eastAsia="zh-CN"/>
    </w:rPr>
  </w:style>
  <w:style w:type="character" w:styleId="CommentReference">
    <w:name w:val="annotation reference"/>
    <w:basedOn w:val="DefaultParagraphFont"/>
    <w:rPr>
      <w:sz w:val="16"/>
      <w:szCs w:val="16"/>
    </w:rPr>
  </w:style>
  <w:style w:type="character" w:styleId="CommentTextChar" w:customStyle="1">
    <w:name w:val="Comment Text Char"/>
    <w:basedOn w:val="DefaultParagraphFont"/>
    <w:rPr>
      <w:rFonts w:ascii="Calibri" w:cs="Arial" w:eastAsia="Times New Roman" w:hAnsi="Calibri"/>
      <w:sz w:val="20"/>
      <w:szCs w:val="20"/>
    </w:rPr>
  </w:style>
  <w:style w:type="character" w:styleId="CommentSubjectChar" w:customStyle="1">
    <w:name w:val="Comment Subject Char"/>
    <w:basedOn w:val="CommentTextChar"/>
    <w:rPr>
      <w:rFonts w:ascii="Calibri" w:cs="Arial" w:eastAsia="Times New Roman" w:hAnsi="Calibri"/>
      <w:b w:val="1"/>
      <w:bCs w:val="1"/>
      <w:sz w:val="20"/>
      <w:szCs w:val="20"/>
    </w:rPr>
  </w:style>
  <w:style w:type="character" w:styleId="ListLabel1" w:customStyle="1">
    <w:name w:val="ListLabel 1"/>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2" w:customStyle="1">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 w:customStyle="1">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 w:customStyle="1">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 w:customStyle="1">
    <w:name w:val="ListLabel 5"/>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6" w:customStyle="1">
    <w:name w:val="ListLabel 6"/>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7" w:customStyle="1">
    <w:name w:val="ListLabel 7"/>
    <w:rPr>
      <w:rFonts w:cs="Times New Roman"/>
    </w:rPr>
  </w:style>
  <w:style w:type="character" w:styleId="ListLabel8" w:customStyle="1">
    <w:name w:val="ListLabel 8"/>
    <w:rPr>
      <w:rFonts w:cs="Times New Roman"/>
    </w:rPr>
  </w:style>
  <w:style w:type="character" w:styleId="ListLabel9" w:customStyle="1">
    <w:name w:val="ListLabel 9"/>
    <w:rPr>
      <w:rFonts w:cs="Times New Roman"/>
    </w:rPr>
  </w:style>
  <w:style w:type="character" w:styleId="ListLabel10" w:customStyle="1">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11" w:customStyle="1">
    <w:name w:val="ListLabel 11"/>
    <w:rPr>
      <w:rFonts w:cs="Times New Roman"/>
    </w:rPr>
  </w:style>
  <w:style w:type="character" w:styleId="ListLabel12" w:customStyle="1">
    <w:name w:val="ListLabel 12"/>
    <w:rPr>
      <w:rFonts w:cs="Times New Roman"/>
    </w:rPr>
  </w:style>
  <w:style w:type="character" w:styleId="ListLabel13" w:customStyle="1">
    <w:name w:val="ListLabel 13"/>
    <w:rPr>
      <w:rFonts w:cs="Times New Roman"/>
    </w:rPr>
  </w:style>
  <w:style w:type="character" w:styleId="ListLabel14" w:customStyle="1">
    <w:name w:val="ListLabel 14"/>
    <w:rPr>
      <w:rFonts w:cs="Times New Roman"/>
    </w:rPr>
  </w:style>
  <w:style w:type="character" w:styleId="ListLabel15" w:customStyle="1">
    <w:name w:val="ListLabel 15"/>
    <w:rPr>
      <w:rFonts w:cs="Times New Roman"/>
    </w:rPr>
  </w:style>
  <w:style w:type="character" w:styleId="ListLabel16" w:customStyle="1">
    <w:name w:val="ListLabel 16"/>
    <w:rPr>
      <w:rFonts w:cs="Times New Roman"/>
    </w:rPr>
  </w:style>
  <w:style w:type="character" w:styleId="ListLabel17" w:customStyle="1">
    <w:name w:val="ListLabel 17"/>
    <w:rPr>
      <w:rFonts w:cs="Times New Roman"/>
    </w:rPr>
  </w:style>
  <w:style w:type="character" w:styleId="ListLabel18" w:customStyle="1">
    <w:name w:val="ListLabel 18"/>
    <w:rPr>
      <w:rFonts w:cs="Times New Roman"/>
    </w:rPr>
  </w:style>
  <w:style w:type="character" w:styleId="ListLabel19" w:customStyle="1">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20" w:customStyle="1">
    <w:name w:val="ListLabel 20"/>
    <w:rPr>
      <w:rFonts w:cs="Times New Roman"/>
    </w:rPr>
  </w:style>
  <w:style w:type="character" w:styleId="ListLabel21" w:customStyle="1">
    <w:name w:val="ListLabel 21"/>
    <w:rPr>
      <w:rFonts w:cs="Times New Roman"/>
    </w:rPr>
  </w:style>
  <w:style w:type="character" w:styleId="ListLabel22" w:customStyle="1">
    <w:name w:val="ListLabel 22"/>
    <w:rPr>
      <w:rFonts w:cs="Times New Roman"/>
    </w:rPr>
  </w:style>
  <w:style w:type="character" w:styleId="ListLabel23" w:customStyle="1">
    <w:name w:val="ListLabel 23"/>
    <w:rPr>
      <w:rFonts w:cs="Times New Roman"/>
    </w:rPr>
  </w:style>
  <w:style w:type="character" w:styleId="ListLabel24" w:customStyle="1">
    <w:name w:val="ListLabel 24"/>
    <w:rPr>
      <w:rFonts w:cs="Times New Roman"/>
    </w:rPr>
  </w:style>
  <w:style w:type="character" w:styleId="ListLabel25" w:customStyle="1">
    <w:name w:val="ListLabel 25"/>
    <w:rPr>
      <w:rFonts w:cs="Times New Roman"/>
    </w:rPr>
  </w:style>
  <w:style w:type="character" w:styleId="ListLabel26" w:customStyle="1">
    <w:name w:val="ListLabel 26"/>
    <w:rPr>
      <w:rFonts w:cs="Times New Roman"/>
    </w:rPr>
  </w:style>
  <w:style w:type="character" w:styleId="ListLabel27" w:customStyle="1">
    <w:name w:val="ListLabel 27"/>
    <w:rPr>
      <w:rFonts w:cs="Times New Roman"/>
    </w:rPr>
  </w:style>
  <w:style w:type="character" w:styleId="ListLabel28" w:customStyle="1">
    <w:name w:val="ListLabel 28"/>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29" w:customStyle="1">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0" w:customStyle="1">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1" w:customStyle="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2" w:customStyle="1">
    <w:name w:val="ListLabel 32"/>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33" w:customStyle="1">
    <w:name w:val="ListLabel 33"/>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34" w:customStyle="1">
    <w:name w:val="ListLabel 34"/>
    <w:rPr>
      <w:rFonts w:cs="Times New Roman"/>
    </w:rPr>
  </w:style>
  <w:style w:type="character" w:styleId="ListLabel35" w:customStyle="1">
    <w:name w:val="ListLabel 35"/>
    <w:rPr>
      <w:rFonts w:cs="Times New Roman"/>
    </w:rPr>
  </w:style>
  <w:style w:type="character" w:styleId="ListLabel36" w:customStyle="1">
    <w:name w:val="ListLabel 36"/>
    <w:rPr>
      <w:rFonts w:cs="Times New Roman"/>
    </w:rPr>
  </w:style>
  <w:style w:type="character" w:styleId="ListLabel37" w:customStyle="1">
    <w:name w:val="ListLabel 37"/>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8" w:customStyle="1">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9" w:customStyle="1">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0" w:customStyle="1">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1" w:customStyle="1">
    <w:name w:val="ListLabel 41"/>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42" w:customStyle="1">
    <w:name w:val="ListLabel 42"/>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43" w:customStyle="1">
    <w:name w:val="ListLabel 43"/>
    <w:rPr>
      <w:rFonts w:cs="Times New Roman"/>
    </w:rPr>
  </w:style>
  <w:style w:type="character" w:styleId="ListLabel44" w:customStyle="1">
    <w:name w:val="ListLabel 44"/>
    <w:rPr>
      <w:rFonts w:cs="Times New Roman"/>
    </w:rPr>
  </w:style>
  <w:style w:type="character" w:styleId="ListLabel45" w:customStyle="1">
    <w:name w:val="ListLabel 45"/>
    <w:rPr>
      <w:rFonts w:cs="Times New Roman"/>
    </w:rPr>
  </w:style>
  <w:style w:type="character" w:styleId="ListLabel46" w:customStyle="1">
    <w:name w:val="ListLabel 46"/>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7" w:customStyle="1">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8" w:customStyle="1">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9" w:customStyle="1">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0" w:customStyle="1">
    <w:name w:val="ListLabel 50"/>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51" w:customStyle="1">
    <w:name w:val="ListLabel 51"/>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52" w:customStyle="1">
    <w:name w:val="ListLabel 52"/>
    <w:rPr>
      <w:rFonts w:cs="Times New Roman"/>
    </w:rPr>
  </w:style>
  <w:style w:type="character" w:styleId="ListLabel53" w:customStyle="1">
    <w:name w:val="ListLabel 53"/>
    <w:rPr>
      <w:rFonts w:cs="Times New Roman"/>
    </w:rPr>
  </w:style>
  <w:style w:type="character" w:styleId="ListLabel54" w:customStyle="1">
    <w:name w:val="ListLabel 54"/>
    <w:rPr>
      <w:rFonts w:cs="Times New Roman"/>
    </w:rPr>
  </w:style>
  <w:style w:type="character" w:styleId="ListLabel55" w:customStyle="1">
    <w:name w:val="ListLabel 55"/>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6" w:customStyle="1">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7" w:customStyle="1">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8" w:customStyle="1">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9" w:customStyle="1">
    <w:name w:val="ListLabel 59"/>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60" w:customStyle="1">
    <w:name w:val="ListLabel 60"/>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61" w:customStyle="1">
    <w:name w:val="ListLabel 61"/>
    <w:rPr>
      <w:rFonts w:cs="Times New Roman"/>
    </w:rPr>
  </w:style>
  <w:style w:type="character" w:styleId="ListLabel62" w:customStyle="1">
    <w:name w:val="ListLabel 62"/>
    <w:rPr>
      <w:rFonts w:cs="Times New Roman"/>
    </w:rPr>
  </w:style>
  <w:style w:type="character" w:styleId="ListLabel63" w:customStyle="1">
    <w:name w:val="ListLabel 63"/>
    <w:rPr>
      <w:rFonts w:cs="Times New Roman"/>
    </w:rPr>
  </w:style>
  <w:style w:type="character" w:styleId="ListLabel64" w:customStyle="1">
    <w:name w:val="ListLabel 64"/>
    <w:rPr>
      <w:rFonts w:cs="Courier New"/>
      <w:b w:val="0"/>
    </w:rPr>
  </w:style>
  <w:style w:type="character" w:styleId="ListLabel65" w:customStyle="1">
    <w:name w:val="ListLabel 65"/>
    <w:rPr>
      <w:rFonts w:cs="Courier New"/>
    </w:rPr>
  </w:style>
  <w:style w:type="character" w:styleId="ListLabel66" w:customStyle="1">
    <w:name w:val="ListLabel 66"/>
    <w:rPr>
      <w:rFonts w:cs="Courier New"/>
    </w:rPr>
  </w:style>
  <w:style w:type="character" w:styleId="ListLabel67" w:customStyle="1">
    <w:name w:val="ListLabel 67"/>
    <w:rPr>
      <w:rFonts w:cs="Courier New"/>
    </w:rPr>
  </w:style>
  <w:style w:type="character" w:styleId="ListLabel68" w:customStyle="1">
    <w:name w:val="ListLabel 68"/>
    <w:rPr>
      <w:rFonts w:cs="Courier New"/>
    </w:rPr>
  </w:style>
  <w:style w:type="character" w:styleId="ListLabel69" w:customStyle="1">
    <w:name w:val="ListLabel 69"/>
    <w:rPr>
      <w:rFonts w:cs="Courier New"/>
    </w:rPr>
  </w:style>
  <w:style w:type="character" w:styleId="ListLabel70" w:customStyle="1">
    <w:name w:val="ListLabel 70"/>
    <w:rPr>
      <w:rFonts w:cs="Courier New"/>
    </w:rPr>
  </w:style>
  <w:style w:type="character" w:styleId="ListLabel71" w:customStyle="1">
    <w:name w:val="ListLabel 71"/>
    <w:rPr>
      <w:rFonts w:cs="Courier New"/>
    </w:rPr>
  </w:style>
  <w:style w:type="character" w:styleId="ListLabel72" w:customStyle="1">
    <w:name w:val="ListLabel 72"/>
    <w:rPr>
      <w:rFonts w:cs="Courier New"/>
    </w:rPr>
  </w:style>
  <w:style w:type="character" w:styleId="ListLabel73" w:customStyle="1">
    <w:name w:val="ListLabel 73"/>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4" w:customStyle="1">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5" w:customStyle="1">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6" w:customStyle="1">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7" w:customStyle="1">
    <w:name w:val="ListLabel 77"/>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78" w:customStyle="1">
    <w:name w:val="ListLabel 78"/>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79" w:customStyle="1">
    <w:name w:val="ListLabel 79"/>
    <w:rPr>
      <w:rFonts w:cs="Times New Roman"/>
    </w:rPr>
  </w:style>
  <w:style w:type="character" w:styleId="ListLabel80" w:customStyle="1">
    <w:name w:val="ListLabel 80"/>
    <w:rPr>
      <w:rFonts w:cs="Times New Roman"/>
    </w:rPr>
  </w:style>
  <w:style w:type="character" w:styleId="ListLabel81" w:customStyle="1">
    <w:name w:val="ListLabel 81"/>
    <w:rPr>
      <w:rFonts w:cs="Times New Roman"/>
    </w:rPr>
  </w:style>
  <w:style w:type="character" w:styleId="ListLabel82" w:customStyle="1">
    <w:name w:val="ListLabel 82"/>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3" w:customStyle="1">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4" w:customStyle="1">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5" w:customStyle="1">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6" w:customStyle="1">
    <w:name w:val="ListLabel 86"/>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87" w:customStyle="1">
    <w:name w:val="ListLabel 87"/>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88" w:customStyle="1">
    <w:name w:val="ListLabel 88"/>
    <w:rPr>
      <w:rFonts w:cs="Times New Roman"/>
    </w:rPr>
  </w:style>
  <w:style w:type="character" w:styleId="ListLabel89" w:customStyle="1">
    <w:name w:val="ListLabel 89"/>
    <w:rPr>
      <w:rFonts w:cs="Times New Roman"/>
    </w:rPr>
  </w:style>
  <w:style w:type="character" w:styleId="ListLabel90" w:customStyle="1">
    <w:name w:val="ListLabel 90"/>
    <w:rPr>
      <w:rFonts w:cs="Times New Roman"/>
    </w:rPr>
  </w:style>
  <w:style w:type="numbering" w:styleId="NoList1" w:customStyle="1">
    <w:name w:val="No List_1"/>
    <w:basedOn w:val="NoList"/>
  </w:style>
  <w:style w:type="numbering" w:styleId="WWNum1" w:customStyle="1">
    <w:name w:val="WWNum1"/>
    <w:basedOn w:val="NoList"/>
  </w:style>
  <w:style w:type="numbering" w:styleId="WWNum2" w:customStyle="1">
    <w:name w:val="WWNum2"/>
    <w:basedOn w:val="NoList"/>
  </w:style>
  <w:style w:type="numbering" w:styleId="WWNum3" w:customStyle="1">
    <w:name w:val="WWNum3"/>
    <w:basedOn w:val="NoList"/>
  </w:style>
  <w:style w:type="numbering" w:styleId="WWNum4" w:customStyle="1">
    <w:name w:val="WWNum4"/>
    <w:basedOn w:val="NoList"/>
  </w:style>
  <w:style w:type="numbering" w:styleId="WWNum5" w:customStyle="1">
    <w:name w:val="WWNum5"/>
    <w:basedOn w:val="NoList"/>
  </w:style>
  <w:style w:type="numbering" w:styleId="WWNum6" w:customStyle="1">
    <w:name w:val="WWNum6"/>
    <w:basedOn w:val="NoList"/>
  </w:style>
  <w:style w:type="numbering" w:styleId="WWNum7" w:customStyle="1">
    <w:name w:val="WWNum7"/>
    <w:basedOn w:val="NoList"/>
  </w:style>
  <w:style w:type="numbering" w:styleId="WWNum8" w:customStyle="1">
    <w:name w:val="WWNum8"/>
    <w:basedOn w:val="NoList"/>
  </w:style>
  <w:style w:type="numbering" w:styleId="WWNum9" w:customStyle="1">
    <w:name w:val="WWNum9"/>
    <w:basedOn w:val="NoList"/>
  </w:style>
  <w:style w:type="numbering" w:styleId="WWNum10" w:customStyle="1">
    <w:name w:val="WWNum10"/>
    <w:basedOn w:val="NoList"/>
  </w:style>
  <w:style w:type="numbering" w:styleId="WWNum11" w:customStyle="1">
    <w:name w:val="WWNum11"/>
    <w:basedOn w:val="NoList"/>
  </w:style>
  <w:style w:type="numbering" w:styleId="WWNum12" w:customStyle="1">
    <w:name w:val="WWNum12"/>
    <w:basedOn w:val="NoList"/>
  </w:style>
  <w:style w:type="numbering" w:styleId="WWNum13" w:customStyle="1">
    <w:name w:val="WWNum13"/>
    <w:basedOn w:val="NoList"/>
  </w:style>
  <w:style w:type="table" w:styleId="TableGrid">
    <w:name w:val="Table Grid"/>
    <w:basedOn w:val="TableNormal"/>
    <w:uiPriority w:val="39"/>
    <w:rsid w:val="007A5C9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AMainHeading" w:customStyle="1">
    <w:name w:val="FA: Main Heading"/>
    <w:basedOn w:val="Heading1"/>
    <w:qFormat w:val="1"/>
    <w:rsid w:val="00532FDD"/>
    <w:pPr>
      <w:numPr>
        <w:numId w:val="6"/>
      </w:numPr>
      <w:tabs>
        <w:tab w:val="num" w:pos="360"/>
      </w:tabs>
      <w:spacing w:after="20" w:before="20"/>
      <w:ind w:left="0" w:firstLine="0"/>
    </w:pPr>
    <w:rPr>
      <w:rFonts w:ascii="Arial" w:cs="Arial" w:eastAsia="Calibri" w:hAnsi="Arial"/>
      <w:b w:val="1"/>
      <w:color w:val="auto"/>
      <w:sz w:val="22"/>
      <w:szCs w:val="36"/>
    </w:rPr>
  </w:style>
  <w:style w:type="paragraph" w:styleId="FALevel1" w:customStyle="1">
    <w:name w:val="FA: Level 1"/>
    <w:basedOn w:val="Normal"/>
    <w:link w:val="FALevel1Char"/>
    <w:qFormat w:val="1"/>
    <w:rsid w:val="00532FDD"/>
    <w:pPr>
      <w:widowControl w:val="1"/>
      <w:numPr>
        <w:ilvl w:val="1"/>
        <w:numId w:val="6"/>
      </w:numPr>
      <w:spacing w:after="280" w:before="120" w:line="259" w:lineRule="auto"/>
    </w:pPr>
    <w:rPr>
      <w:rFonts w:ascii="Arial" w:cs="Arial" w:hAnsi="Arial" w:eastAsiaTheme="minorHAnsi"/>
    </w:rPr>
  </w:style>
  <w:style w:type="character" w:styleId="FALevel1Char" w:customStyle="1">
    <w:name w:val="FA: Level 1 Char"/>
    <w:basedOn w:val="DefaultParagraphFont"/>
    <w:link w:val="FALevel1"/>
    <w:rsid w:val="00532FDD"/>
    <w:rPr>
      <w:rFonts w:ascii="Arial" w:cs="Arial" w:hAnsi="Arial" w:eastAsiaTheme="minorHAnsi"/>
    </w:rPr>
  </w:style>
  <w:style w:type="paragraph" w:styleId="FALevel2" w:customStyle="1">
    <w:name w:val="FA: Level 2"/>
    <w:basedOn w:val="Normal"/>
    <w:link w:val="FALevel2Char"/>
    <w:qFormat w:val="1"/>
    <w:rsid w:val="00532FDD"/>
    <w:pPr>
      <w:widowControl w:val="1"/>
      <w:numPr>
        <w:ilvl w:val="2"/>
        <w:numId w:val="6"/>
      </w:numPr>
      <w:spacing w:after="280" w:before="120" w:line="259" w:lineRule="auto"/>
    </w:pPr>
    <w:rPr>
      <w:rFonts w:ascii="Arial" w:cs="Arial" w:hAnsi="Arial" w:eastAsiaTheme="minorHAnsi"/>
    </w:rPr>
  </w:style>
  <w:style w:type="character" w:styleId="FALevel2Char" w:customStyle="1">
    <w:name w:val="FA: Level 2 Char"/>
    <w:basedOn w:val="DefaultParagraphFont"/>
    <w:link w:val="FALevel2"/>
    <w:rsid w:val="00532FDD"/>
    <w:rPr>
      <w:rFonts w:ascii="Arial" w:cs="Arial" w:hAnsi="Arial" w:eastAsiaTheme="minorHAnsi"/>
    </w:rPr>
  </w:style>
  <w:style w:type="character" w:styleId="Heading1Char" w:customStyle="1">
    <w:name w:val="Heading 1 Char"/>
    <w:basedOn w:val="DefaultParagraphFont"/>
    <w:link w:val="Heading1"/>
    <w:uiPriority w:val="9"/>
    <w:rsid w:val="00532FDD"/>
    <w:rPr>
      <w:rFonts w:asciiTheme="majorHAnsi" w:cstheme="majorBidi" w:eastAsiaTheme="majorEastAsia" w:hAnsiTheme="majorHAnsi"/>
      <w:color w:val="2f5496" w:themeColor="accent1" w:themeShade="0000BF"/>
      <w:sz w:val="32"/>
      <w:szCs w:val="32"/>
    </w:rPr>
  </w:style>
  <w:style w:type="paragraph" w:styleId="FABulletPoints" w:customStyle="1">
    <w:name w:val="FA: Bullet Points"/>
    <w:basedOn w:val="Normal"/>
    <w:link w:val="FABulletPointsChar"/>
    <w:qFormat w:val="1"/>
    <w:rsid w:val="00532FDD"/>
    <w:pPr>
      <w:widowControl w:val="1"/>
      <w:tabs>
        <w:tab w:val="num" w:pos="720"/>
      </w:tabs>
      <w:ind w:left="720" w:hanging="720"/>
    </w:pPr>
    <w:rPr>
      <w:rFonts w:ascii="Arial" w:cs="Arial" w:hAnsi="Arial" w:eastAsiaTheme="minorHAnsi"/>
    </w:rPr>
  </w:style>
  <w:style w:type="character" w:styleId="FABulletPointsChar" w:customStyle="1">
    <w:name w:val="FA: Bullet Points Char"/>
    <w:basedOn w:val="DefaultParagraphFont"/>
    <w:link w:val="FABulletPoints"/>
    <w:rsid w:val="00532FDD"/>
    <w:rPr>
      <w:rFonts w:ascii="Arial" w:cs="Arial" w:hAnsi="Arial" w:eastAsiaTheme="minorHAnsi"/>
    </w:rPr>
  </w:style>
  <w:style w:type="paragraph" w:styleId="Revision">
    <w:name w:val="Revision"/>
    <w:hidden w:val="1"/>
    <w:uiPriority w:val="99"/>
    <w:semiHidden w:val="1"/>
    <w:rsid w:val="00CE0EDB"/>
    <w:pPr>
      <w:widowControl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vUXnY6+59Bj+emrFx8MAA+edtg==">CgMxLjAyCWlkLmdqZGd4czIJaC40ZDM0b2c4MgloLjMwajB6bGwyCWguMWZvYjl0ZTIJaC4yNmluMXJnMgloLjN6bnlzaDcyCWguMmV0OTJwMDIIaC50eWpjd3QyCWguM2R5NnZrbTIJaC4xdDNoNXNmMgloLjNyZGNyam4yCGguZ2pkZ3hzOAByITFrVDV5THlMUWg3R3BBZkMwZzVPNWlIMzlYSWV2STRveg==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2024-05-17T09:12:00Z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lpwstr>0.0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y fmtid="{D5CDD505-2E9C-101B-9397-08002B2CF9AE}" pid="8" name="gCurrentVersion">
    <vt:lpwstr>15 November 2017 D1V4</vt:lpwstr>
  </property>
</Properties>
</file>