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248" w:rsidRDefault="005F3156">
      <w:pPr>
        <w:rPr>
          <w:rFonts w:ascii="Arial" w:eastAsia="Arial" w:hAnsi="Arial" w:cs="Arial"/>
          <w:b/>
          <w:sz w:val="36"/>
          <w:szCs w:val="36"/>
        </w:rPr>
      </w:pPr>
      <w:bookmarkStart w:id="0" w:name="_heading=h.2et92p0" w:colFirst="0" w:colLast="0"/>
      <w:bookmarkEnd w:id="0"/>
      <w:r>
        <w:rPr>
          <w:rFonts w:ascii="Arial" w:eastAsia="Arial" w:hAnsi="Arial" w:cs="Arial"/>
          <w:b/>
          <w:sz w:val="36"/>
          <w:szCs w:val="36"/>
        </w:rPr>
        <w:t>Joint Schedule 1 (Definitions)</w:t>
      </w:r>
      <w:bookmarkStart w:id="1" w:name="_GoBack"/>
      <w:bookmarkEnd w:id="1"/>
    </w:p>
    <w:p w:rsidR="00A84248" w:rsidRDefault="005F3156">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2" w:name="bookmark=id.gjdgxs" w:colFirst="0" w:colLast="0"/>
      <w:bookmarkEnd w:id="2"/>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A84248" w:rsidRDefault="005F3156">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3" w:name="_heading=h.30j0zll" w:colFirst="0" w:colLast="0"/>
      <w:bookmarkEnd w:id="3"/>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A84248" w:rsidRDefault="005F3156">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4" w:name="_heading=h.1fob9te" w:colFirst="0" w:colLast="0"/>
      <w:bookmarkEnd w:id="4"/>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rsidR="00A84248" w:rsidRDefault="005F3156">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A84248" w:rsidRDefault="005F3156">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A84248" w:rsidRDefault="005F3156">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A84248" w:rsidRDefault="005F3156">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rsidR="00A84248" w:rsidRDefault="00A84248">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9"/>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7929"/>
      </w:tblGrid>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bookmarkStart w:id="5" w:name="_heading=h.3znysh7" w:colFirst="0" w:colLast="0"/>
            <w:bookmarkEnd w:id="5"/>
            <w:r>
              <w:rPr>
                <w:rFonts w:ascii="Arial" w:eastAsia="Arial" w:hAnsi="Arial" w:cs="Arial"/>
                <w:b/>
                <w:color w:val="000000"/>
                <w:sz w:val="24"/>
                <w:szCs w:val="24"/>
              </w:rPr>
              <w:t>"Achieve"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"Approval"</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“Associates”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verify the Open Book Data;</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A84248" w:rsidRDefault="005F3156">
            <w:pPr>
              <w:numPr>
                <w:ilvl w:val="0"/>
                <w:numId w:val="6"/>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lastRenderedPageBreak/>
              <w:t>verify the accuracy and completeness of any Management Information delivered or required by the Framework Contract;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929" w:type="dxa"/>
          </w:tcPr>
          <w:p w:rsidR="00A84248" w:rsidRDefault="005F3156">
            <w:pPr>
              <w:numPr>
                <w:ilvl w:val="0"/>
                <w:numId w:val="14"/>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rsidR="00A84248" w:rsidRDefault="005F3156">
            <w:pPr>
              <w:numPr>
                <w:ilvl w:val="0"/>
                <w:numId w:val="14"/>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rsidR="00A84248" w:rsidRDefault="005F3156">
            <w:pPr>
              <w:numPr>
                <w:ilvl w:val="0"/>
                <w:numId w:val="14"/>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rsidR="00A84248" w:rsidRDefault="005F3156">
            <w:pPr>
              <w:numPr>
                <w:ilvl w:val="0"/>
                <w:numId w:val="14"/>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HM Treasury or the Cabinet Office;</w:t>
            </w:r>
          </w:p>
          <w:p w:rsidR="00A84248" w:rsidRDefault="005F3156">
            <w:pPr>
              <w:numPr>
                <w:ilvl w:val="0"/>
                <w:numId w:val="14"/>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rsidR="00A84248" w:rsidRDefault="005F3156">
            <w:pPr>
              <w:numPr>
                <w:ilvl w:val="0"/>
                <w:numId w:val="14"/>
              </w:numPr>
              <w:pBdr>
                <w:top w:val="nil"/>
                <w:left w:val="nil"/>
                <w:bottom w:val="nil"/>
                <w:right w:val="nil"/>
                <w:between w:val="nil"/>
              </w:pBdr>
              <w:tabs>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A84248">
        <w:trPr>
          <w:trHeight w:val="601"/>
        </w:trPr>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929" w:type="dxa"/>
          </w:tcPr>
          <w:p w:rsidR="00A84248" w:rsidRDefault="005F3156">
            <w:pPr>
              <w:tabs>
                <w:tab w:val="left" w:pos="679"/>
              </w:tabs>
              <w:ind w:left="112"/>
              <w:rPr>
                <w:rFonts w:ascii="Arial" w:eastAsia="Arial" w:hAnsi="Arial" w:cs="Arial"/>
                <w:sz w:val="24"/>
                <w:szCs w:val="24"/>
              </w:rPr>
            </w:pPr>
            <w:r>
              <w:rPr>
                <w:rFonts w:ascii="Arial" w:eastAsia="Arial" w:hAnsi="Arial" w:cs="Arial"/>
                <w:sz w:val="24"/>
                <w:szCs w:val="24"/>
              </w:rPr>
              <w:t xml:space="preserve">   CCS and each Buyer;</w:t>
            </w:r>
          </w:p>
        </w:tc>
      </w:tr>
      <w:tr w:rsidR="00A84248">
        <w:tc>
          <w:tcPr>
            <w:tcW w:w="2151" w:type="dxa"/>
          </w:tcPr>
          <w:p w:rsidR="00A84248" w:rsidRDefault="005F3156">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"Business Continuity Plan"</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sz w:val="24"/>
                <w:szCs w:val="24"/>
              </w:rPr>
              <w:t>has the meaning given to it in Paragraph 1.3.2 of Call-Off Schedule 8;</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A84248">
        <w:tc>
          <w:tcPr>
            <w:tcW w:w="2151" w:type="dxa"/>
          </w:tcPr>
          <w:p w:rsidR="00A84248" w:rsidRDefault="005F315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"Buyer Assets"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Call-Off Expiry Date the latter of: </w:t>
            </w:r>
          </w:p>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(a) the scheduled date of the end of a Call-Off Contract as stated in the Order Form; or </w:t>
            </w:r>
          </w:p>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(b) the date of completion of the last Deliverable due under the last Statement of Work under the Call-Off </w:t>
            </w:r>
            <w:proofErr w:type="gramStart"/>
            <w:r>
              <w:rPr>
                <w:rFonts w:ascii="Arial" w:eastAsia="Arial" w:hAnsi="Arial" w:cs="Arial"/>
                <w:color w:val="000000"/>
                <w:sz w:val="24"/>
                <w:szCs w:val="24"/>
              </w:rPr>
              <w:t>Contract;</w:t>
            </w:r>
            <w:r>
              <w:t xml:space="preserve">   </w:t>
            </w:r>
            <w:proofErr w:type="gramEnd"/>
            <w:r>
              <w:t xml:space="preserve">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"Call-Off Special Terms"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A84248">
        <w:tc>
          <w:tcPr>
            <w:tcW w:w="2151" w:type="dxa"/>
          </w:tcPr>
          <w:p w:rsidR="00A84248" w:rsidRDefault="005F3156">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“Cap”</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sz w:val="24"/>
                <w:szCs w:val="24"/>
              </w:rPr>
              <w:t xml:space="preserve">the maximum amount to be paid by the Buyer under a Time and Materials mechanism for the delivery of an agreed scope; and </w:t>
            </w:r>
            <w:r>
              <w:rPr>
                <w:rFonts w:ascii="Arial" w:eastAsia="Arial" w:hAnsi="Arial" w:cs="Arial"/>
                <w:b/>
                <w:sz w:val="24"/>
                <w:szCs w:val="24"/>
              </w:rPr>
              <w:t>“Capped”</w:t>
            </w:r>
            <w:r>
              <w:rPr>
                <w:rFonts w:ascii="Arial" w:eastAsia="Arial" w:hAnsi="Arial" w:cs="Arial"/>
                <w:sz w:val="24"/>
                <w:szCs w:val="24"/>
              </w:rPr>
              <w:t xml:space="preserve"> shall be construed accordingly;</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“Capped Time and Materials”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sz w:val="24"/>
                <w:szCs w:val="24"/>
              </w:rPr>
              <w:t>Time and Materials payable up to a specified Cap for delivery of the agreed scope of Deliverables;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A84248">
        <w:tc>
          <w:tcPr>
            <w:tcW w:w="2151" w:type="dxa"/>
          </w:tcPr>
          <w:p w:rsidR="00A84248" w:rsidRDefault="005F315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A84248" w:rsidRDefault="005F3156">
            <w:pPr>
              <w:numPr>
                <w:ilvl w:val="1"/>
                <w:numId w:val="7"/>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Government Department;</w:t>
            </w:r>
          </w:p>
          <w:p w:rsidR="00A84248" w:rsidRDefault="005F3156">
            <w:pPr>
              <w:numPr>
                <w:ilvl w:val="1"/>
                <w:numId w:val="7"/>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rsidR="00A84248" w:rsidRDefault="005F3156">
            <w:pPr>
              <w:numPr>
                <w:ilvl w:val="1"/>
                <w:numId w:val="7"/>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Non-Ministerial Department; or</w:t>
            </w:r>
          </w:p>
          <w:p w:rsidR="00A84248" w:rsidRDefault="005F3156">
            <w:pPr>
              <w:numPr>
                <w:ilvl w:val="1"/>
                <w:numId w:val="7"/>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Executive Agency;</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"Charges"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the prices (exclusive of any applicable VAT), payable to the Supplier by the Buyer under the Call-Off Contract, as set out in the Order Form and, if applicable, each Statement of Work, for the full and proper performance by the Supplier of its obligations under the Call-Off Contract less any </w:t>
            </w:r>
            <w:proofErr w:type="gramStart"/>
            <w:r>
              <w:rPr>
                <w:rFonts w:ascii="Arial" w:eastAsia="Arial" w:hAnsi="Arial" w:cs="Arial"/>
                <w:color w:val="000000"/>
                <w:sz w:val="24"/>
                <w:szCs w:val="24"/>
              </w:rPr>
              <w:t>Deductions;</w:t>
            </w:r>
            <w:r>
              <w:t xml:space="preserve">   </w:t>
            </w:r>
            <w:proofErr w:type="gramEnd"/>
            <w:r>
              <w:t xml:space="preserve">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A84248">
        <w:tc>
          <w:tcPr>
            <w:tcW w:w="2151" w:type="dxa"/>
          </w:tcPr>
          <w:p w:rsidR="00A84248" w:rsidRDefault="005F315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 applicable Start Date; or</w:t>
            </w:r>
          </w:p>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b) the Effective Date</w:t>
            </w:r>
          </w:p>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"Contract Value"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base salary paid to the Supplier Staff;</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pension contributions;</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 xml:space="preserve">car allowances; </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staff training;</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work place accommodation;</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rsidR="00A84248" w:rsidRDefault="005F3156">
            <w:pPr>
              <w:numPr>
                <w:ilvl w:val="2"/>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A84248" w:rsidRDefault="005F3156">
            <w:pPr>
              <w:pBdr>
                <w:top w:val="nil"/>
                <w:left w:val="nil"/>
                <w:bottom w:val="nil"/>
                <w:right w:val="nil"/>
                <w:between w:val="nil"/>
              </w:pBdr>
              <w:tabs>
                <w:tab w:val="left" w:pos="411"/>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b/>
              <w:t>but excluding:</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Overhead;</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financing or similar costs;</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taxation;</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fines and penalties;</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"Deductions"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“Dependent Parent Undertaking”</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A84248">
        <w:tc>
          <w:tcPr>
            <w:tcW w:w="2151" w:type="dxa"/>
          </w:tcPr>
          <w:p w:rsidR="00A84248" w:rsidRDefault="005F3156">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"Dispute"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929" w:type="dxa"/>
          </w:tcPr>
          <w:p w:rsidR="00A84248" w:rsidRDefault="005F3156">
            <w:pPr>
              <w:pBdr>
                <w:top w:val="nil"/>
                <w:left w:val="nil"/>
                <w:bottom w:val="nil"/>
                <w:right w:val="nil"/>
                <w:between w:val="nil"/>
              </w:pBdr>
              <w:tabs>
                <w:tab w:val="left" w:pos="-576"/>
                <w:tab w:val="left" w:pos="144"/>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rsidR="00A84248" w:rsidRDefault="005F3156">
            <w:pPr>
              <w:numPr>
                <w:ilvl w:val="1"/>
                <w:numId w:val="18"/>
              </w:numPr>
              <w:pBdr>
                <w:top w:val="nil"/>
                <w:left w:val="nil"/>
                <w:bottom w:val="nil"/>
                <w:right w:val="nil"/>
                <w:between w:val="nil"/>
              </w:pBdr>
              <w:tabs>
                <w:tab w:val="left" w:pos="-576"/>
                <w:tab w:val="left" w:pos="144"/>
                <w:tab w:val="left" w:pos="679"/>
              </w:tabs>
              <w:spacing w:after="120"/>
              <w:ind w:left="112" w:firstLine="0"/>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929" w:type="dxa"/>
          </w:tcPr>
          <w:p w:rsidR="00A84248" w:rsidRDefault="005F3156">
            <w:pPr>
              <w:pBdr>
                <w:top w:val="nil"/>
                <w:left w:val="nil"/>
                <w:bottom w:val="nil"/>
                <w:right w:val="nil"/>
                <w:between w:val="nil"/>
              </w:pBdr>
              <w:tabs>
                <w:tab w:val="left" w:pos="-576"/>
                <w:tab w:val="left" w:pos="144"/>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929" w:type="dxa"/>
          </w:tcPr>
          <w:p w:rsidR="00A84248" w:rsidRDefault="005F3156">
            <w:pPr>
              <w:pBdr>
                <w:top w:val="nil"/>
                <w:left w:val="nil"/>
                <w:bottom w:val="nil"/>
                <w:right w:val="nil"/>
                <w:between w:val="nil"/>
              </w:pBdr>
              <w:tabs>
                <w:tab w:val="left" w:pos="-576"/>
                <w:tab w:val="left" w:pos="144"/>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929" w:type="dxa"/>
          </w:tcPr>
          <w:p w:rsidR="00A84248" w:rsidRDefault="005F3156">
            <w:pPr>
              <w:pBdr>
                <w:top w:val="nil"/>
                <w:left w:val="nil"/>
                <w:bottom w:val="nil"/>
                <w:right w:val="nil"/>
                <w:between w:val="nil"/>
              </w:pBdr>
              <w:tabs>
                <w:tab w:val="left" w:pos="-576"/>
                <w:tab w:val="left" w:pos="144"/>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929" w:type="dxa"/>
          </w:tcPr>
          <w:p w:rsidR="00A84248" w:rsidRDefault="005F3156">
            <w:pPr>
              <w:pBdr>
                <w:top w:val="nil"/>
                <w:left w:val="nil"/>
                <w:bottom w:val="nil"/>
                <w:right w:val="nil"/>
                <w:between w:val="nil"/>
              </w:pBdr>
              <w:tabs>
                <w:tab w:val="left" w:pos="-576"/>
                <w:tab w:val="left" w:pos="144"/>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“Electronic Invoice”</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929" w:type="dxa"/>
          </w:tcPr>
          <w:p w:rsidR="00A84248" w:rsidRDefault="005F3156">
            <w:pPr>
              <w:pBdr>
                <w:top w:val="nil"/>
                <w:left w:val="nil"/>
                <w:bottom w:val="nil"/>
                <w:right w:val="nil"/>
                <w:between w:val="nil"/>
              </w:pBdr>
              <w:tabs>
                <w:tab w:val="left" w:pos="-576"/>
                <w:tab w:val="left" w:pos="144"/>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the earlier of: </w:t>
            </w:r>
          </w:p>
          <w:p w:rsidR="00A84248" w:rsidRDefault="005F3156">
            <w:pPr>
              <w:pBdr>
                <w:top w:val="nil"/>
                <w:left w:val="nil"/>
                <w:bottom w:val="nil"/>
                <w:right w:val="nil"/>
                <w:between w:val="nil"/>
              </w:pBdr>
              <w:tabs>
                <w:tab w:val="left" w:pos="-576"/>
                <w:tab w:val="left" w:pos="144"/>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 xml:space="preserve">(a) the Expiry Date (as extended by any Extension Period exercised by the Relevant Authority under Clause 10.1.2); or </w:t>
            </w:r>
          </w:p>
          <w:p w:rsidR="00A84248" w:rsidRDefault="005F3156">
            <w:pPr>
              <w:pBdr>
                <w:top w:val="nil"/>
                <w:left w:val="nil"/>
                <w:bottom w:val="nil"/>
                <w:right w:val="nil"/>
                <w:between w:val="nil"/>
              </w:pBdr>
              <w:tabs>
                <w:tab w:val="left" w:pos="-576"/>
                <w:tab w:val="left" w:pos="144"/>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(b) if a Contract or Statement of Work is terminated before the date specified in (a) above, the date of termination of the Contract or Statement of Work (as the context dictates</w:t>
            </w:r>
            <w:proofErr w:type="gramStart"/>
            <w:r>
              <w:rPr>
                <w:rFonts w:ascii="Arial" w:eastAsia="Arial" w:hAnsi="Arial" w:cs="Arial"/>
                <w:color w:val="000000"/>
                <w:sz w:val="24"/>
                <w:szCs w:val="24"/>
              </w:rPr>
              <w:t>);</w:t>
            </w:r>
            <w:r>
              <w:t xml:space="preserve">   </w:t>
            </w:r>
            <w:proofErr w:type="gramEnd"/>
            <w:r>
              <w:t xml:space="preserve">            </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84248">
        <w:tc>
          <w:tcPr>
            <w:tcW w:w="2151" w:type="dxa"/>
          </w:tcPr>
          <w:p w:rsidR="00A84248" w:rsidRDefault="005F315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929" w:type="dxa"/>
          </w:tcPr>
          <w:p w:rsidR="00A84248" w:rsidRDefault="005F3156">
            <w:pPr>
              <w:pBdr>
                <w:top w:val="nil"/>
                <w:left w:val="nil"/>
                <w:bottom w:val="nil"/>
                <w:right w:val="nil"/>
                <w:between w:val="nil"/>
              </w:pBdr>
              <w:tabs>
                <w:tab w:val="left" w:pos="679"/>
              </w:tabs>
              <w:spacing w:after="120"/>
              <w:ind w:left="112"/>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rsidR="00A84248" w:rsidRDefault="00A84248">
            <w:pPr>
              <w:pBdr>
                <w:top w:val="nil"/>
                <w:left w:val="nil"/>
                <w:bottom w:val="nil"/>
                <w:right w:val="nil"/>
                <w:between w:val="nil"/>
              </w:pBdr>
              <w:tabs>
                <w:tab w:val="left" w:pos="679"/>
              </w:tabs>
              <w:spacing w:after="120"/>
              <w:ind w:left="112"/>
              <w:rPr>
                <w:rFonts w:ascii="Arial" w:eastAsia="Arial" w:hAnsi="Arial" w:cs="Arial"/>
                <w:color w:val="000000"/>
                <w:sz w:val="24"/>
                <w:szCs w:val="24"/>
              </w:rPr>
            </w:pP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rsidR="00A84248" w:rsidRDefault="005F3156">
            <w:pPr>
              <w:pBdr>
                <w:top w:val="nil"/>
                <w:left w:val="nil"/>
                <w:bottom w:val="nil"/>
                <w:right w:val="nil"/>
                <w:between w:val="nil"/>
              </w:pBdr>
              <w:tabs>
                <w:tab w:val="left" w:pos="-179"/>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“Exempt Buyer”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200" w:line="276" w:lineRule="auto"/>
              <w:ind w:left="112" w:right="300"/>
              <w:rPr>
                <w:rFonts w:ascii="Arial" w:eastAsia="Arial" w:hAnsi="Arial" w:cs="Arial"/>
                <w:color w:val="000000"/>
                <w:sz w:val="24"/>
                <w:szCs w:val="24"/>
              </w:rPr>
            </w:pPr>
            <w:r>
              <w:rPr>
                <w:rFonts w:ascii="Arial" w:eastAsia="Arial" w:hAnsi="Arial" w:cs="Arial"/>
                <w:color w:val="000000"/>
                <w:sz w:val="24"/>
                <w:szCs w:val="24"/>
              </w:rPr>
              <w:t>a public sector purchaser that is:</w:t>
            </w:r>
          </w:p>
          <w:p w:rsidR="00A84248" w:rsidRDefault="005F3156">
            <w:pPr>
              <w:numPr>
                <w:ilvl w:val="0"/>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eligible to use the Framework Contract; and</w:t>
            </w:r>
          </w:p>
          <w:p w:rsidR="00A84248" w:rsidRDefault="005F3156">
            <w:pPr>
              <w:numPr>
                <w:ilvl w:val="0"/>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is entering into an Exempt Call-off Contract that is not subject to (as applicable) any of:</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lastRenderedPageBreak/>
              <w:t>the Regulations;</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the Concession Contracts Regulations 2016 (SI 2016/273);</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the Utilities Contracts Regulations 2016 (SI 2016/274);</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the Defence and Security Public Contracts Regulations 2011 (SI 2011/1848);</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the Remedies Directive (2007/66/EC);</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Directive 2014/23/EU of the European Parliament and Council;</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Directive 2014/24/EU of the European Parliament and Council;</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sz w:val="24"/>
                <w:szCs w:val="24"/>
              </w:rPr>
            </w:pPr>
            <w:r>
              <w:rPr>
                <w:rFonts w:ascii="Arial" w:eastAsia="Arial" w:hAnsi="Arial" w:cs="Arial"/>
                <w:color w:val="000000"/>
                <w:sz w:val="24"/>
                <w:szCs w:val="24"/>
              </w:rPr>
              <w:t>Directive 2014/25/EU of the European Parliament and Council; or</w:t>
            </w:r>
          </w:p>
          <w:p w:rsidR="00A84248" w:rsidRDefault="005F3156">
            <w:pPr>
              <w:numPr>
                <w:ilvl w:val="1"/>
                <w:numId w:val="8"/>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“Exempt Call-off Contract”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200" w:line="276" w:lineRule="auto"/>
              <w:ind w:left="112" w:right="300"/>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“Exempt Procurement Amendments”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200" w:line="276" w:lineRule="auto"/>
              <w:ind w:left="112" w:right="300"/>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"Existing IPR"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ind w:left="112" w:right="300"/>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“Exit Day”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"Expiry Date"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576"/>
                <w:tab w:val="left" w:pos="144"/>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“Fixed Price”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Pricing Mechanism where Charges are agreed at a set amount in relation to all work to be done under a Contract, Statement of Work, Deliverable(s) (or one or more element of the Deliverable(s)) including all materials and/or Milestones, no matter how much work is required to complete each Contract, Statement of Work, Deliverable(s) (or one or more element of the Deliverable(s)) within the agreed scope, and the total amount to be paid by the Buyer will not exceed the agreed fixed price;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"FOIA"</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A84248" w:rsidRDefault="005F3156">
            <w:pPr>
              <w:numPr>
                <w:ilvl w:val="1"/>
                <w:numId w:val="4"/>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rsidR="00A84248" w:rsidRDefault="005F3156">
            <w:pPr>
              <w:numPr>
                <w:ilvl w:val="1"/>
                <w:numId w:val="4"/>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acts of terrorism;</w:t>
            </w:r>
          </w:p>
          <w:p w:rsidR="00A84248" w:rsidRDefault="005F3156">
            <w:pPr>
              <w:numPr>
                <w:ilvl w:val="1"/>
                <w:numId w:val="4"/>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rsidR="00A84248" w:rsidRDefault="005F3156">
            <w:pPr>
              <w:numPr>
                <w:ilvl w:val="1"/>
                <w:numId w:val="4"/>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202124"/>
                <w:sz w:val="24"/>
                <w:szCs w:val="24"/>
                <w:highlight w:val="white"/>
              </w:rPr>
              <w:t>the initial term of the Framework Contract as specified in the Framework Award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"Framework Tender Response"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"UK GDPR"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929" w:type="dxa"/>
            <w:tcMar>
              <w:top w:w="0" w:type="dxa"/>
              <w:left w:w="0" w:type="dxa"/>
              <w:bottom w:w="0" w:type="dxa"/>
              <w:right w:w="0" w:type="dxa"/>
            </w:tcMar>
          </w:tcPr>
          <w:p w:rsidR="00A84248" w:rsidRDefault="005F3156">
            <w:pPr>
              <w:numPr>
                <w:ilvl w:val="1"/>
                <w:numId w:val="9"/>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929" w:type="dxa"/>
            <w:tcMar>
              <w:top w:w="0" w:type="dxa"/>
              <w:left w:w="0" w:type="dxa"/>
              <w:bottom w:w="0" w:type="dxa"/>
              <w:right w:w="0" w:type="dxa"/>
            </w:tcMar>
          </w:tcPr>
          <w:p w:rsidR="00A84248" w:rsidRDefault="005F3156">
            <w:pPr>
              <w:numPr>
                <w:ilvl w:val="1"/>
                <w:numId w:val="9"/>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"Goods"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"Government"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"Government Data"</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576"/>
                <w:tab w:val="left" w:pos="144"/>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A84248" w:rsidRDefault="005F3156">
            <w:pPr>
              <w:numPr>
                <w:ilvl w:val="2"/>
                <w:numId w:val="9"/>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sz w:val="24"/>
                <w:szCs w:val="24"/>
              </w:rPr>
            </w:pPr>
            <w:r>
              <w:rPr>
                <w:rFonts w:ascii="Arial" w:eastAsia="Arial" w:hAnsi="Arial" w:cs="Arial"/>
                <w:b/>
                <w:sz w:val="24"/>
                <w:szCs w:val="24"/>
              </w:rPr>
              <w:t>“Government Digital and Data”</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576"/>
                <w:tab w:val="left" w:pos="144"/>
                <w:tab w:val="left" w:pos="679"/>
              </w:tabs>
              <w:spacing w:after="120"/>
              <w:ind w:left="112" w:right="300"/>
              <w:rPr>
                <w:rFonts w:ascii="Arial" w:eastAsia="Arial" w:hAnsi="Arial" w:cs="Arial"/>
                <w:sz w:val="24"/>
                <w:szCs w:val="24"/>
              </w:rPr>
            </w:pPr>
            <w:r>
              <w:rPr>
                <w:rFonts w:ascii="Arial" w:eastAsia="Arial" w:hAnsi="Arial" w:cs="Arial"/>
                <w:sz w:val="24"/>
                <w:szCs w:val="24"/>
              </w:rPr>
              <w:t>Government Digital and Data replacing Digital Data and Technology Framework</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"Guarantor"</w:t>
            </w:r>
          </w:p>
        </w:tc>
        <w:tc>
          <w:tcPr>
            <w:tcW w:w="7929" w:type="dxa"/>
            <w:tcMar>
              <w:top w:w="0" w:type="dxa"/>
              <w:left w:w="0" w:type="dxa"/>
              <w:bottom w:w="0" w:type="dxa"/>
              <w:right w:w="0" w:type="dxa"/>
            </w:tcMar>
          </w:tcPr>
          <w:p w:rsidR="00A84248" w:rsidRDefault="005F3156">
            <w:pPr>
              <w:numPr>
                <w:ilvl w:val="2"/>
                <w:numId w:val="9"/>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"HMRC"</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His Majesty’s Revenue and Customs;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“Hourly Rate”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sz w:val="24"/>
                <w:szCs w:val="24"/>
              </w:rPr>
              <w:t>the Pricing Mechanism where the Supplier will invoice the Buyer for the work undertaken by Supplier Staff providing the Deliverables (or one or more of the elements of the Deliverables) under the Contract (and, if applicable, each SOW) based on the division of the applicable Supplier Staff Day Rate by no less than 7.5 being the applicable Work Day where the Supplier Staff grade is set out in Annex 1 of Framework Schedule 3 (Framework Prices);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"ICT Policy"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A84248" w:rsidRDefault="005F3156">
            <w:pPr>
              <w:numPr>
                <w:ilvl w:val="1"/>
                <w:numId w:val="10"/>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A84248" w:rsidRDefault="005F3156">
            <w:pPr>
              <w:numPr>
                <w:ilvl w:val="1"/>
                <w:numId w:val="10"/>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rsidR="00A84248" w:rsidRDefault="005F3156">
            <w:pPr>
              <w:numPr>
                <w:ilvl w:val="1"/>
                <w:numId w:val="10"/>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A84248" w:rsidRDefault="005F3156">
            <w:pPr>
              <w:numPr>
                <w:ilvl w:val="1"/>
                <w:numId w:val="10"/>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929" w:type="dxa"/>
            <w:tcMar>
              <w:top w:w="0" w:type="dxa"/>
              <w:left w:w="0" w:type="dxa"/>
              <w:bottom w:w="0" w:type="dxa"/>
              <w:right w:w="0" w:type="dxa"/>
            </w:tcMar>
          </w:tcPr>
          <w:p w:rsidR="00A84248" w:rsidRDefault="005F3156">
            <w:pPr>
              <w:numPr>
                <w:ilvl w:val="1"/>
                <w:numId w:val="10"/>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"Indemnifier"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"Indexation"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"Information"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"Initial Period"</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with respect to any person, means:</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929" w:type="dxa"/>
            <w:tcMar>
              <w:top w:w="0" w:type="dxa"/>
              <w:left w:w="0" w:type="dxa"/>
              <w:bottom w:w="0" w:type="dxa"/>
              <w:right w:w="0" w:type="dxa"/>
            </w:tcMar>
          </w:tcPr>
          <w:p w:rsidR="00A84248" w:rsidRDefault="005F3156">
            <w:pPr>
              <w:numPr>
                <w:ilvl w:val="1"/>
                <w:numId w:val="11"/>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A84248" w:rsidRDefault="005F3156">
            <w:pPr>
              <w:numPr>
                <w:ilvl w:val="1"/>
                <w:numId w:val="11"/>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929" w:type="dxa"/>
            <w:tcMar>
              <w:top w:w="0" w:type="dxa"/>
              <w:left w:w="0" w:type="dxa"/>
              <w:bottom w:w="0" w:type="dxa"/>
              <w:right w:w="0" w:type="dxa"/>
            </w:tcMar>
          </w:tcPr>
          <w:p w:rsidR="00A84248" w:rsidRDefault="005F3156">
            <w:pPr>
              <w:numPr>
                <w:ilvl w:val="1"/>
                <w:numId w:val="11"/>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"IPR Claim"</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"IR35"</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"Key Staff"</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 and any Statement of Work;</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"Key Sub-Contract"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A84248">
        <w:trPr>
          <w:trHeight w:val="357"/>
        </w:trPr>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Subcontractor:</w:t>
            </w:r>
          </w:p>
          <w:p w:rsidR="00A84248" w:rsidRDefault="005F3156">
            <w:pPr>
              <w:numPr>
                <w:ilvl w:val="1"/>
                <w:numId w:val="1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rsidR="00A84248" w:rsidRDefault="005F3156">
            <w:pPr>
              <w:numPr>
                <w:ilvl w:val="1"/>
                <w:numId w:val="1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lastRenderedPageBreak/>
              <w:t>which, in the opinion of CCS or the Buyer performs (or would perform if appointed) a critical role in the provision of all or any part of the Deliverables; and/or</w:t>
            </w:r>
          </w:p>
          <w:p w:rsidR="00A84248" w:rsidRDefault="005F3156">
            <w:pPr>
              <w:numPr>
                <w:ilvl w:val="1"/>
                <w:numId w:val="1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84248">
        <w:trPr>
          <w:trHeight w:val="426"/>
        </w:trPr>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576"/>
                <w:tab w:val="left" w:pos="144"/>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"Law"</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"Losses"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"Lots"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“MI Default”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"MI Failure"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means when an MI report:</w:t>
            </w:r>
          </w:p>
          <w:p w:rsidR="00A84248" w:rsidRDefault="005F3156">
            <w:pPr>
              <w:numPr>
                <w:ilvl w:val="1"/>
                <w:numId w:val="1"/>
              </w:numPr>
              <w:pBdr>
                <w:top w:val="nil"/>
                <w:left w:val="nil"/>
                <w:bottom w:val="nil"/>
                <w:right w:val="nil"/>
                <w:between w:val="nil"/>
              </w:pBdr>
              <w:tabs>
                <w:tab w:val="left" w:pos="-576"/>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rsidR="00A84248" w:rsidRDefault="005F3156">
            <w:pPr>
              <w:numPr>
                <w:ilvl w:val="1"/>
                <w:numId w:val="1"/>
              </w:numPr>
              <w:pBdr>
                <w:top w:val="nil"/>
                <w:left w:val="nil"/>
                <w:bottom w:val="nil"/>
                <w:right w:val="nil"/>
                <w:between w:val="nil"/>
              </w:pBdr>
              <w:tabs>
                <w:tab w:val="left" w:pos="-576"/>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"MI Report"</w:t>
            </w:r>
          </w:p>
        </w:tc>
        <w:tc>
          <w:tcPr>
            <w:tcW w:w="7929" w:type="dxa"/>
            <w:tcMar>
              <w:top w:w="0" w:type="dxa"/>
              <w:left w:w="0" w:type="dxa"/>
              <w:bottom w:w="0" w:type="dxa"/>
              <w:right w:w="0" w:type="dxa"/>
            </w:tcMar>
          </w:tcPr>
          <w:p w:rsidR="00A84248" w:rsidRDefault="005F3156">
            <w:pPr>
              <w:numPr>
                <w:ilvl w:val="1"/>
                <w:numId w:val="1"/>
              </w:numPr>
              <w:pBdr>
                <w:top w:val="nil"/>
                <w:left w:val="nil"/>
                <w:bottom w:val="nil"/>
                <w:right w:val="nil"/>
                <w:between w:val="nil"/>
              </w:pBdr>
              <w:tabs>
                <w:tab w:val="left" w:pos="-576"/>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"MI Reporting Template"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"Milestone"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 or Statement of Work;</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"Milestone Date"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"Month"</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"New IPR"</w:t>
            </w:r>
          </w:p>
        </w:tc>
        <w:tc>
          <w:tcPr>
            <w:tcW w:w="7929" w:type="dxa"/>
            <w:tcMar>
              <w:top w:w="0" w:type="dxa"/>
              <w:left w:w="0" w:type="dxa"/>
              <w:bottom w:w="0" w:type="dxa"/>
              <w:right w:w="0" w:type="dxa"/>
            </w:tcMar>
          </w:tcPr>
          <w:p w:rsidR="00A84248" w:rsidRDefault="005F3156">
            <w:pPr>
              <w:numPr>
                <w:ilvl w:val="1"/>
                <w:numId w:val="25"/>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A84248" w:rsidRDefault="005F3156">
            <w:pPr>
              <w:numPr>
                <w:ilvl w:val="1"/>
                <w:numId w:val="25"/>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where: </w:t>
            </w:r>
          </w:p>
          <w:p w:rsidR="00A84248" w:rsidRDefault="005F3156">
            <w:pPr>
              <w:numPr>
                <w:ilvl w:val="1"/>
                <w:numId w:val="26"/>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A84248" w:rsidRDefault="005F3156">
            <w:pPr>
              <w:numPr>
                <w:ilvl w:val="2"/>
                <w:numId w:val="26"/>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A84248" w:rsidRDefault="005F3156">
            <w:pPr>
              <w:numPr>
                <w:ilvl w:val="2"/>
                <w:numId w:val="26"/>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"Open Book Data "</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A84248" w:rsidRDefault="005F3156">
            <w:pPr>
              <w:numPr>
                <w:ilvl w:val="1"/>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the Supplier’s Costs broken down against each Good and/or Service and/or Deliverable, including actual capital expenditure </w:t>
            </w:r>
            <w:r>
              <w:rPr>
                <w:rFonts w:ascii="Arial" w:eastAsia="Arial" w:hAnsi="Arial" w:cs="Arial"/>
                <w:color w:val="000000"/>
                <w:sz w:val="24"/>
                <w:szCs w:val="24"/>
              </w:rPr>
              <w:lastRenderedPageBreak/>
              <w:t>(including capital replacement costs) and the unit cost and total actual costs of all Deliverables;</w:t>
            </w:r>
          </w:p>
          <w:p w:rsidR="00A84248" w:rsidRDefault="005F3156">
            <w:pPr>
              <w:numPr>
                <w:ilvl w:val="1"/>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rsidR="00A84248" w:rsidRDefault="005F3156">
            <w:pPr>
              <w:numPr>
                <w:ilvl w:val="2"/>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rsidR="00A84248" w:rsidRDefault="005F3156">
            <w:pPr>
              <w:numPr>
                <w:ilvl w:val="2"/>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A84248" w:rsidRDefault="005F3156">
            <w:pPr>
              <w:numPr>
                <w:ilvl w:val="2"/>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rsidR="00A84248" w:rsidRDefault="005F3156">
            <w:pPr>
              <w:numPr>
                <w:ilvl w:val="2"/>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rsidR="00A84248" w:rsidRDefault="005F3156">
            <w:pPr>
              <w:numPr>
                <w:ilvl w:val="1"/>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Overheads; </w:t>
            </w:r>
          </w:p>
          <w:p w:rsidR="00A84248" w:rsidRDefault="005F3156">
            <w:pPr>
              <w:numPr>
                <w:ilvl w:val="1"/>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rsidR="00A84248" w:rsidRDefault="005F3156">
            <w:pPr>
              <w:numPr>
                <w:ilvl w:val="1"/>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rsidR="00A84248" w:rsidRDefault="005F3156">
            <w:pPr>
              <w:numPr>
                <w:ilvl w:val="1"/>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A84248" w:rsidRDefault="005F3156">
            <w:pPr>
              <w:numPr>
                <w:ilvl w:val="1"/>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A84248" w:rsidRDefault="005F3156">
            <w:pPr>
              <w:numPr>
                <w:ilvl w:val="1"/>
                <w:numId w:val="26"/>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929" w:type="dxa"/>
            <w:tcMar>
              <w:top w:w="0" w:type="dxa"/>
              <w:left w:w="0" w:type="dxa"/>
              <w:bottom w:w="0" w:type="dxa"/>
              <w:right w:w="0" w:type="dxa"/>
            </w:tcMar>
          </w:tcPr>
          <w:p w:rsidR="00A84248" w:rsidRDefault="005F3156">
            <w:pPr>
              <w:numPr>
                <w:ilvl w:val="1"/>
                <w:numId w:val="27"/>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"Order Form"</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"Overhead"</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“Parent Undertaking”</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"Parliament"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"Party"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in the context of the Framework Contract, CCS or the Supplier, and </w:t>
            </w:r>
            <w:r>
              <w:rPr>
                <w:rFonts w:ascii="Arial" w:eastAsia="Arial" w:hAnsi="Arial" w:cs="Arial"/>
                <w:sz w:val="24"/>
                <w:szCs w:val="24"/>
              </w:rPr>
              <w:t>in the</w:t>
            </w:r>
            <w:r>
              <w:rPr>
                <w:rFonts w:ascii="Arial" w:eastAsia="Arial" w:hAnsi="Arial" w:cs="Arial"/>
                <w:color w:val="000000"/>
                <w:sz w:val="24"/>
                <w:szCs w:val="24"/>
              </w:rPr>
              <w:t xml:space="preserv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"Personal Data"</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event that results, or may result, in unauthorised access to Personal Data held under this Contract, and/or actual or potential loss and/or destruction of Personal Data in breach of this Contract, including any Personal Data Breach as defined by UK GDPR;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“Personnel”</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sz w:val="24"/>
                <w:szCs w:val="24"/>
              </w:rPr>
              <w:t>Pricing Mechanism</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sz w:val="24"/>
                <w:szCs w:val="24"/>
              </w:rPr>
              <w:t>the pricing mechanisms are (a) Capped Time and Materials, (b) Fixed Price, and (c) a combination of two or more of these as set out in Framework Schedule 3 (Framework Prices) and Framework Schedule 7 (Call-Off Award Procedure) and as may be refined in the Further Competition Procedure;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“Processing”</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“Processor”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“Progress Report”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“Prohibited Acts”</w:t>
            </w:r>
          </w:p>
        </w:tc>
        <w:tc>
          <w:tcPr>
            <w:tcW w:w="7929" w:type="dxa"/>
            <w:tcMar>
              <w:top w:w="0" w:type="dxa"/>
              <w:left w:w="0" w:type="dxa"/>
              <w:bottom w:w="0" w:type="dxa"/>
              <w:right w:w="0" w:type="dxa"/>
            </w:tcMar>
          </w:tcPr>
          <w:p w:rsidR="00A84248" w:rsidRDefault="005F3156">
            <w:pPr>
              <w:numPr>
                <w:ilvl w:val="1"/>
                <w:numId w:val="21"/>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A84248" w:rsidRDefault="005F3156">
            <w:pPr>
              <w:numPr>
                <w:ilvl w:val="2"/>
                <w:numId w:val="21"/>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lastRenderedPageBreak/>
              <w:t>induce that person to perform improperly a relevant function or activity; or</w:t>
            </w:r>
          </w:p>
          <w:p w:rsidR="00A84248" w:rsidRDefault="005F3156">
            <w:pPr>
              <w:numPr>
                <w:ilvl w:val="2"/>
                <w:numId w:val="21"/>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rsidR="00A84248" w:rsidRDefault="005F3156">
            <w:pPr>
              <w:numPr>
                <w:ilvl w:val="1"/>
                <w:numId w:val="21"/>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A84248" w:rsidRDefault="005F3156">
            <w:pPr>
              <w:numPr>
                <w:ilvl w:val="1"/>
                <w:numId w:val="21"/>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A84248" w:rsidRDefault="005F3156">
            <w:pPr>
              <w:numPr>
                <w:ilvl w:val="2"/>
                <w:numId w:val="21"/>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rsidR="00A84248" w:rsidRDefault="005F3156">
            <w:pPr>
              <w:numPr>
                <w:ilvl w:val="2"/>
                <w:numId w:val="21"/>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rsidR="00A84248" w:rsidRDefault="005F3156">
            <w:pPr>
              <w:numPr>
                <w:ilvl w:val="2"/>
                <w:numId w:val="21"/>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929" w:type="dxa"/>
            <w:tcMar>
              <w:top w:w="0" w:type="dxa"/>
              <w:left w:w="0" w:type="dxa"/>
              <w:bottom w:w="0" w:type="dxa"/>
              <w:right w:w="0" w:type="dxa"/>
            </w:tcMar>
          </w:tcPr>
          <w:p w:rsidR="00A84248" w:rsidRDefault="005F3156">
            <w:pPr>
              <w:numPr>
                <w:ilvl w:val="1"/>
                <w:numId w:val="21"/>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“Recall”</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"Recipient Party"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rsidR="00A84248" w:rsidRDefault="005F3156">
            <w:pPr>
              <w:numPr>
                <w:ilvl w:val="1"/>
                <w:numId w:val="2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rsidR="00A84248" w:rsidRDefault="005F3156">
            <w:pPr>
              <w:numPr>
                <w:ilvl w:val="1"/>
                <w:numId w:val="2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"Rectification Plan Process"</w:t>
            </w:r>
          </w:p>
        </w:tc>
        <w:tc>
          <w:tcPr>
            <w:tcW w:w="7929" w:type="dxa"/>
            <w:tcMar>
              <w:top w:w="0" w:type="dxa"/>
              <w:left w:w="0" w:type="dxa"/>
              <w:bottom w:w="0" w:type="dxa"/>
              <w:right w:w="0" w:type="dxa"/>
            </w:tcMar>
          </w:tcPr>
          <w:p w:rsidR="00A84248" w:rsidRDefault="005F3156">
            <w:pPr>
              <w:numPr>
                <w:ilvl w:val="1"/>
                <w:numId w:val="2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"Regulations"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A84248" w:rsidRDefault="005F3156">
            <w:pPr>
              <w:numPr>
                <w:ilvl w:val="1"/>
                <w:numId w:val="19"/>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929" w:type="dxa"/>
            <w:tcMar>
              <w:top w:w="0" w:type="dxa"/>
              <w:left w:w="0" w:type="dxa"/>
              <w:bottom w:w="0" w:type="dxa"/>
              <w:right w:w="0" w:type="dxa"/>
            </w:tcMar>
          </w:tcPr>
          <w:p w:rsidR="00A84248" w:rsidRDefault="005F3156">
            <w:pPr>
              <w:numPr>
                <w:ilvl w:val="1"/>
                <w:numId w:val="19"/>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929" w:type="dxa"/>
            <w:tcMar>
              <w:top w:w="0" w:type="dxa"/>
              <w:left w:w="0" w:type="dxa"/>
              <w:bottom w:w="0" w:type="dxa"/>
              <w:right w:w="0" w:type="dxa"/>
            </w:tcMar>
          </w:tcPr>
          <w:p w:rsidR="00A84248" w:rsidRDefault="005F3156">
            <w:pPr>
              <w:numPr>
                <w:ilvl w:val="1"/>
                <w:numId w:val="20"/>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A84248" w:rsidRDefault="005F3156">
            <w:pPr>
              <w:numPr>
                <w:ilvl w:val="1"/>
                <w:numId w:val="20"/>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"Reminder Notice"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 w:val="left" w:pos="1985"/>
                <w:tab w:val="left" w:pos="2127"/>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 w:val="left" w:pos="1985"/>
                <w:tab w:val="left" w:pos="2127"/>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"Replacement Supplier"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any </w:t>
            </w:r>
            <w:r w:rsidR="00804FDB">
              <w:rPr>
                <w:rFonts w:ascii="Arial" w:eastAsia="Arial" w:hAnsi="Arial" w:cs="Arial"/>
                <w:color w:val="000000"/>
                <w:sz w:val="24"/>
                <w:szCs w:val="24"/>
              </w:rPr>
              <w:t>third-party</w:t>
            </w:r>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 xml:space="preserve">"Request </w:t>
            </w:r>
            <w:proofErr w:type="gramStart"/>
            <w:r>
              <w:rPr>
                <w:rFonts w:ascii="Arial" w:eastAsia="Arial" w:hAnsi="Arial" w:cs="Arial"/>
                <w:b/>
                <w:color w:val="000000"/>
                <w:sz w:val="24"/>
                <w:szCs w:val="24"/>
              </w:rPr>
              <w:t>For</w:t>
            </w:r>
            <w:proofErr w:type="gramEnd"/>
            <w:r>
              <w:rPr>
                <w:rFonts w:ascii="Arial" w:eastAsia="Arial" w:hAnsi="Arial" w:cs="Arial"/>
                <w:b/>
                <w:color w:val="000000"/>
                <w:sz w:val="24"/>
                <w:szCs w:val="24"/>
              </w:rPr>
              <w:t xml:space="preserve"> Information"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"Security Policy"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“Service Levels”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"Service Period"</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"Services"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"Service Transfer Date"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sz w:val="24"/>
                <w:szCs w:val="24"/>
              </w:rPr>
            </w:pPr>
            <w:r>
              <w:rPr>
                <w:rFonts w:ascii="Arial" w:eastAsia="Arial" w:hAnsi="Arial" w:cs="Arial"/>
                <w:b/>
                <w:sz w:val="24"/>
                <w:szCs w:val="24"/>
              </w:rPr>
              <w:t>“SFIA”</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sz w:val="24"/>
                <w:szCs w:val="24"/>
              </w:rPr>
            </w:pPr>
            <w:r>
              <w:rPr>
                <w:rFonts w:ascii="Arial" w:eastAsia="Arial" w:hAnsi="Arial" w:cs="Arial"/>
                <w:sz w:val="24"/>
                <w:szCs w:val="24"/>
                <w:highlight w:val="white"/>
              </w:rPr>
              <w:t>Skills Framework for the Information Age.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"Sites"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r w:rsidR="00CA7AE5">
              <w:rPr>
                <w:rFonts w:ascii="Arial" w:eastAsia="Arial" w:hAnsi="Arial" w:cs="Arial"/>
                <w:color w:val="000000"/>
                <w:sz w:val="24"/>
                <w:szCs w:val="24"/>
              </w:rPr>
              <w:t>third-party</w:t>
            </w:r>
            <w:r>
              <w:rPr>
                <w:rFonts w:ascii="Arial" w:eastAsia="Arial" w:hAnsi="Arial" w:cs="Arial"/>
                <w:color w:val="000000"/>
                <w:sz w:val="24"/>
                <w:szCs w:val="24"/>
              </w:rPr>
              <w:t xml:space="preserve"> premises) from, to or at which:</w:t>
            </w:r>
          </w:p>
          <w:p w:rsidR="00A84248" w:rsidRDefault="005F3156">
            <w:pPr>
              <w:numPr>
                <w:ilvl w:val="1"/>
                <w:numId w:val="24"/>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lastRenderedPageBreak/>
              <w:t>the Supplier manages, organises or otherwise directs the provision or the use of the Deliverables;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"SME"</w:t>
            </w:r>
          </w:p>
        </w:tc>
        <w:tc>
          <w:tcPr>
            <w:tcW w:w="7929" w:type="dxa"/>
            <w:tcMar>
              <w:top w:w="0" w:type="dxa"/>
              <w:left w:w="0" w:type="dxa"/>
              <w:bottom w:w="0" w:type="dxa"/>
              <w:right w:w="0" w:type="dxa"/>
            </w:tcMar>
          </w:tcPr>
          <w:p w:rsidR="00A84248" w:rsidRDefault="005F3156">
            <w:pPr>
              <w:numPr>
                <w:ilvl w:val="1"/>
                <w:numId w:val="24"/>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“SOW End Date”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date up to and including this date when the supply of the Deliverables under the Statement of Work shall cease;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“SOW Start Date”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date of the start of the Statement of Works as stated in the SOW;</w:t>
            </w:r>
          </w:p>
        </w:tc>
      </w:tr>
      <w:tr w:rsidR="00A84248">
        <w:trPr>
          <w:trHeight w:val="945"/>
        </w:trPr>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"Special Terms"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84248">
        <w:trPr>
          <w:trHeight w:val="945"/>
        </w:trPr>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84248">
        <w:trPr>
          <w:trHeight w:val="945"/>
        </w:trPr>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"Specification"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84248">
        <w:trPr>
          <w:trHeight w:val="945"/>
        </w:trPr>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"Standards"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w:t>
            </w:r>
          </w:p>
          <w:p w:rsidR="00A84248" w:rsidRDefault="005F3156">
            <w:pPr>
              <w:numPr>
                <w:ilvl w:val="1"/>
                <w:numId w:val="23"/>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84248" w:rsidRDefault="005F3156">
            <w:pPr>
              <w:numPr>
                <w:ilvl w:val="1"/>
                <w:numId w:val="23"/>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rsidR="00A84248" w:rsidRDefault="005F3156">
            <w:pPr>
              <w:numPr>
                <w:ilvl w:val="1"/>
                <w:numId w:val="23"/>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"Start Date"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576"/>
                <w:tab w:val="left" w:pos="144"/>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in the case of the Framework Contract, the date specified on the Framework Award Form, and in the case of a Call-Off Contract, the date specified in the Order Form, and in the case of a Statement of Work, the date specified in that Statement of </w:t>
            </w:r>
            <w:proofErr w:type="gramStart"/>
            <w:r>
              <w:rPr>
                <w:rFonts w:ascii="Arial" w:eastAsia="Arial" w:hAnsi="Arial" w:cs="Arial"/>
                <w:color w:val="000000"/>
                <w:sz w:val="24"/>
                <w:szCs w:val="24"/>
              </w:rPr>
              <w:t>Work;</w:t>
            </w:r>
            <w:r>
              <w:t xml:space="preserve">   </w:t>
            </w:r>
            <w:proofErr w:type="gramEnd"/>
            <w:r>
              <w:t xml:space="preserve">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“Statement of Work or (SOW)”</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document which, upon its execution by the Buyer and Supplier, shall become incorporated into their Call-Off Contract and outlines the agreed body of works to be undertaken as part of the Call-Off Contract Deliverables. There may be any number of Statements of Work </w:t>
            </w:r>
            <w:r>
              <w:rPr>
                <w:rFonts w:ascii="Arial" w:eastAsia="Arial" w:hAnsi="Arial" w:cs="Arial"/>
                <w:color w:val="000000"/>
                <w:sz w:val="24"/>
                <w:szCs w:val="24"/>
              </w:rPr>
              <w:lastRenderedPageBreak/>
              <w:t>incorporated into a Call-Off Contract and each Statement of Work may include (but is not limited to) the Statement of Requirements, identified output(s), completion date(s) and charging method(s);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sz w:val="24"/>
                <w:szCs w:val="24"/>
              </w:rPr>
            </w:pPr>
            <w:r>
              <w:rPr>
                <w:rFonts w:ascii="Arial" w:eastAsia="Arial" w:hAnsi="Arial" w:cs="Arial"/>
                <w:b/>
                <w:sz w:val="24"/>
                <w:szCs w:val="24"/>
              </w:rPr>
              <w:lastRenderedPageBreak/>
              <w:t>“Status Determination Statement or (SDS)”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sz w:val="24"/>
                <w:szCs w:val="24"/>
              </w:rPr>
            </w:pPr>
            <w:r>
              <w:rPr>
                <w:rFonts w:ascii="Arial" w:eastAsia="Arial" w:hAnsi="Arial" w:cs="Arial"/>
                <w:sz w:val="24"/>
                <w:szCs w:val="24"/>
              </w:rP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"Storage Media"</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"Sub-Contract"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A84248" w:rsidRDefault="005F3156">
            <w:pPr>
              <w:numPr>
                <w:ilvl w:val="1"/>
                <w:numId w:val="15"/>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rsidR="00A84248" w:rsidRDefault="005F3156">
            <w:pPr>
              <w:numPr>
                <w:ilvl w:val="1"/>
                <w:numId w:val="15"/>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"Subcontractor"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"Subprocessor"</w:t>
            </w:r>
          </w:p>
        </w:tc>
        <w:tc>
          <w:tcPr>
            <w:tcW w:w="7929" w:type="dxa"/>
            <w:tcMar>
              <w:top w:w="0" w:type="dxa"/>
              <w:left w:w="0" w:type="dxa"/>
              <w:bottom w:w="0" w:type="dxa"/>
              <w:right w:w="0" w:type="dxa"/>
            </w:tcMar>
          </w:tcPr>
          <w:p w:rsidR="00A84248" w:rsidRDefault="005F3156">
            <w:pPr>
              <w:numPr>
                <w:ilvl w:val="1"/>
                <w:numId w:val="15"/>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“Subsidiary Undertaking”</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Group”</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 and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Assets"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929" w:type="dxa"/>
            <w:tcMar>
              <w:top w:w="0" w:type="dxa"/>
              <w:left w:w="0" w:type="dxa"/>
              <w:bottom w:w="0" w:type="dxa"/>
              <w:right w:w="0" w:type="dxa"/>
            </w:tcMar>
          </w:tcPr>
          <w:p w:rsidR="00A84248" w:rsidRDefault="005F3156">
            <w:pPr>
              <w:numPr>
                <w:ilvl w:val="1"/>
                <w:numId w:val="16"/>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A84248" w:rsidRDefault="005F3156">
            <w:pPr>
              <w:numPr>
                <w:ilvl w:val="1"/>
                <w:numId w:val="16"/>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w:t>
            </w:r>
            <w:r>
              <w:rPr>
                <w:rFonts w:ascii="Arial" w:eastAsia="Arial" w:hAnsi="Arial" w:cs="Arial"/>
                <w:color w:val="000000"/>
                <w:sz w:val="24"/>
                <w:szCs w:val="24"/>
              </w:rPr>
              <w:lastRenderedPageBreak/>
              <w:t>has come) to the Supplier’s attention or into the Supplier’s possession in connection with a Contract;</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929" w:type="dxa"/>
            <w:tcMar>
              <w:top w:w="0" w:type="dxa"/>
              <w:left w:w="0" w:type="dxa"/>
              <w:bottom w:w="0" w:type="dxa"/>
              <w:right w:w="0" w:type="dxa"/>
            </w:tcMar>
          </w:tcPr>
          <w:p w:rsidR="00A84248" w:rsidRDefault="005F3156">
            <w:pPr>
              <w:numPr>
                <w:ilvl w:val="1"/>
                <w:numId w:val="16"/>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 w:val="left" w:pos="1134"/>
              </w:tabs>
              <w:spacing w:before="120" w:after="120"/>
              <w:ind w:left="112" w:right="300"/>
              <w:rPr>
                <w:rFonts w:ascii="Arial" w:eastAsia="Arial" w:hAnsi="Arial" w:cs="Arial"/>
                <w:b/>
                <w:color w:val="000000"/>
                <w:sz w:val="24"/>
                <w:szCs w:val="24"/>
              </w:rPr>
            </w:pPr>
            <w:r>
              <w:rPr>
                <w:rFonts w:ascii="Arial" w:eastAsia="Arial" w:hAnsi="Arial" w:cs="Arial"/>
                <w:color w:val="000000"/>
                <w:sz w:val="24"/>
                <w:szCs w:val="24"/>
              </w:rPr>
              <w:t>shall be the person identified in the Framework Award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where the Supplier has failed to:</w:t>
            </w:r>
          </w:p>
          <w:p w:rsidR="00A84248" w:rsidRDefault="005F3156">
            <w:pPr>
              <w:numPr>
                <w:ilvl w:val="1"/>
                <w:numId w:val="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rsidR="00A84248" w:rsidRDefault="005F3156">
            <w:pPr>
              <w:numPr>
                <w:ilvl w:val="1"/>
                <w:numId w:val="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Profit"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929" w:type="dxa"/>
            <w:tcMar>
              <w:top w:w="0" w:type="dxa"/>
              <w:left w:w="0" w:type="dxa"/>
              <w:bottom w:w="0" w:type="dxa"/>
              <w:right w:w="0" w:type="dxa"/>
            </w:tcMar>
          </w:tcPr>
          <w:p w:rsidR="00A84248" w:rsidRDefault="005F3156">
            <w:pPr>
              <w:numPr>
                <w:ilvl w:val="1"/>
                <w:numId w:val="2"/>
              </w:numPr>
              <w:pBdr>
                <w:top w:val="nil"/>
                <w:left w:val="nil"/>
                <w:bottom w:val="nil"/>
                <w:right w:val="nil"/>
                <w:between w:val="nil"/>
              </w:pBdr>
              <w:tabs>
                <w:tab w:val="left" w:pos="-576"/>
                <w:tab w:val="left" w:pos="144"/>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"Supplier Staff"</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“Tax”</w:t>
            </w:r>
          </w:p>
        </w:tc>
        <w:tc>
          <w:tcPr>
            <w:tcW w:w="7929" w:type="dxa"/>
            <w:tcMar>
              <w:top w:w="0" w:type="dxa"/>
              <w:left w:w="0" w:type="dxa"/>
              <w:bottom w:w="0" w:type="dxa"/>
              <w:right w:w="0" w:type="dxa"/>
            </w:tcMar>
          </w:tcPr>
          <w:p w:rsidR="00A84248" w:rsidRDefault="005F3156">
            <w:pPr>
              <w:numPr>
                <w:ilvl w:val="0"/>
                <w:numId w:val="13"/>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rsidR="00A84248" w:rsidRDefault="005F3156">
            <w:pPr>
              <w:numPr>
                <w:ilvl w:val="0"/>
                <w:numId w:val="13"/>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rsidR="00A84248" w:rsidRDefault="005F3156">
            <w:pPr>
              <w:numPr>
                <w:ilvl w:val="0"/>
                <w:numId w:val="13"/>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rsidR="00A84248" w:rsidRDefault="005F3156">
            <w:pPr>
              <w:numPr>
                <w:ilvl w:val="0"/>
                <w:numId w:val="13"/>
              </w:numPr>
              <w:pBdr>
                <w:top w:val="nil"/>
                <w:left w:val="nil"/>
                <w:bottom w:val="nil"/>
                <w:right w:val="nil"/>
                <w:between w:val="nil"/>
              </w:pBdr>
              <w:tabs>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lastRenderedPageBreak/>
              <w:t>any penalty, fine, surcharge, interest, charges or costs relating to any of the above,</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"Test Issue"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"Test Plan"</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plan:</w:t>
            </w:r>
          </w:p>
          <w:p w:rsidR="00A84248" w:rsidRDefault="005F3156">
            <w:pPr>
              <w:numPr>
                <w:ilvl w:val="1"/>
                <w:numId w:val="5"/>
              </w:numPr>
              <w:pBdr>
                <w:top w:val="nil"/>
                <w:left w:val="nil"/>
                <w:bottom w:val="nil"/>
                <w:right w:val="nil"/>
                <w:between w:val="nil"/>
              </w:pBdr>
              <w:tabs>
                <w:tab w:val="left" w:pos="-576"/>
                <w:tab w:val="left" w:pos="141"/>
                <w:tab w:val="left" w:pos="679"/>
              </w:tabs>
              <w:spacing w:after="120"/>
              <w:ind w:left="112" w:right="300" w:firstLine="0"/>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bookmarkStart w:id="6" w:name="_heading=h.3dy6vkm" w:colFirst="0" w:colLast="0"/>
            <w:bookmarkEnd w:id="6"/>
            <w:r>
              <w:rPr>
                <w:rFonts w:ascii="Arial" w:eastAsia="Arial" w:hAnsi="Arial" w:cs="Arial"/>
                <w:b/>
                <w:color w:val="000000"/>
                <w:sz w:val="24"/>
                <w:szCs w:val="24"/>
              </w:rPr>
              <w:t>"Tests "</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"Third Party IPR"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576"/>
                <w:tab w:val="left" w:pos="144"/>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84248">
        <w:tc>
          <w:tcPr>
            <w:tcW w:w="2151" w:type="dxa"/>
            <w:shd w:val="clear" w:color="auto" w:fill="auto"/>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sz w:val="24"/>
                <w:szCs w:val="24"/>
              </w:rPr>
              <w:t>“Time and Materials”</w:t>
            </w:r>
          </w:p>
        </w:tc>
        <w:tc>
          <w:tcPr>
            <w:tcW w:w="7929" w:type="dxa"/>
            <w:shd w:val="clear" w:color="auto" w:fill="auto"/>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sz w:val="24"/>
                <w:szCs w:val="24"/>
              </w:rPr>
              <w:t>a Pricing Mechanism whereby the Buyer agrees to pay the Supplier for the work performed by the Supplier Staff and for the material used in the project, no matter how much work is required to complete the project, based on no more than the pro rata division of the Day Rates by 7.5 to provide an Hourly Rate for the Supplier Staff who undertook the work and for the materials used in the project based on pre-agreed material disclosures and subject to time approval by the Buyer;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929" w:type="dxa"/>
            <w:tcMar>
              <w:top w:w="0" w:type="dxa"/>
              <w:left w:w="0" w:type="dxa"/>
              <w:bottom w:w="0" w:type="dxa"/>
              <w:right w:w="0" w:type="dxa"/>
            </w:tcMar>
          </w:tcPr>
          <w:p w:rsidR="00A84248" w:rsidRDefault="005F3156">
            <w:pPr>
              <w:keepNext/>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A84248" w:rsidRDefault="005F3156">
            <w:pPr>
              <w:keepNext/>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rsidR="00A84248" w:rsidRDefault="005F3156">
            <w:pPr>
              <w:keepNext/>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rsidR="00A84248" w:rsidRDefault="00A84248">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"Variation"</w:t>
            </w:r>
          </w:p>
        </w:tc>
        <w:tc>
          <w:tcPr>
            <w:tcW w:w="7929" w:type="dxa"/>
            <w:tcMar>
              <w:top w:w="0" w:type="dxa"/>
              <w:left w:w="0" w:type="dxa"/>
              <w:bottom w:w="0" w:type="dxa"/>
              <w:right w:w="0" w:type="dxa"/>
            </w:tcMar>
          </w:tcPr>
          <w:p w:rsidR="00A84248" w:rsidRDefault="005F3156">
            <w:pPr>
              <w:keepNext/>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"Variation Form"</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lastRenderedPageBreak/>
              <w:t>"Variation Procedure"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"VAT"</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"VCSE"</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"Worker"</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“Worker Engagement Route”</w:t>
            </w:r>
          </w:p>
        </w:tc>
        <w:tc>
          <w:tcPr>
            <w:tcW w:w="7929" w:type="dxa"/>
            <w:tcMar>
              <w:top w:w="0" w:type="dxa"/>
              <w:left w:w="0" w:type="dxa"/>
              <w:bottom w:w="0" w:type="dxa"/>
              <w:right w:w="0" w:type="dxa"/>
            </w:tcMar>
          </w:tcPr>
          <w:p w:rsidR="00A84248" w:rsidRDefault="005F3156">
            <w:pPr>
              <w:rPr>
                <w:rFonts w:ascii="Arial" w:eastAsia="Arial" w:hAnsi="Arial" w:cs="Arial"/>
                <w:sz w:val="24"/>
                <w:szCs w:val="24"/>
              </w:rPr>
            </w:pPr>
            <w:r>
              <w:rPr>
                <w:rFonts w:ascii="Arial" w:eastAsia="Arial" w:hAnsi="Arial" w:cs="Arial"/>
                <w:sz w:val="24"/>
                <w:szCs w:val="24"/>
              </w:rPr>
              <w:t>the details of the labour supply chain through which the worker is engaged as Supplier Staff. For example, the worker could be:</w:t>
            </w:r>
          </w:p>
          <w:p w:rsidR="00A84248" w:rsidRDefault="005F3156">
            <w:pPr>
              <w:numPr>
                <w:ilvl w:val="0"/>
                <w:numId w:val="17"/>
              </w:numPr>
              <w:pBdr>
                <w:top w:val="nil"/>
                <w:left w:val="nil"/>
                <w:bottom w:val="nil"/>
                <w:right w:val="nil"/>
                <w:between w:val="nil"/>
              </w:pBdr>
              <w:spacing w:after="120" w:line="276" w:lineRule="auto"/>
              <w:rPr>
                <w:rFonts w:ascii="Arial" w:eastAsia="Arial" w:hAnsi="Arial" w:cs="Arial"/>
                <w:color w:val="000000"/>
                <w:sz w:val="24"/>
                <w:szCs w:val="24"/>
              </w:rPr>
            </w:pPr>
            <w:r>
              <w:rPr>
                <w:rFonts w:ascii="Arial" w:eastAsia="Arial" w:hAnsi="Arial" w:cs="Arial"/>
                <w:color w:val="000000"/>
                <w:sz w:val="24"/>
                <w:szCs w:val="24"/>
              </w:rPr>
              <w:t>employed by the Supplier the Buyer contracts with,</w:t>
            </w:r>
          </w:p>
          <w:p w:rsidR="00A84248" w:rsidRDefault="005F3156">
            <w:pPr>
              <w:numPr>
                <w:ilvl w:val="0"/>
                <w:numId w:val="17"/>
              </w:numPr>
              <w:pBdr>
                <w:top w:val="nil"/>
                <w:left w:val="nil"/>
                <w:bottom w:val="nil"/>
                <w:right w:val="nil"/>
                <w:between w:val="nil"/>
              </w:pBdr>
              <w:spacing w:after="120" w:line="276" w:lineRule="auto"/>
              <w:rPr>
                <w:rFonts w:ascii="Arial" w:eastAsia="Arial" w:hAnsi="Arial" w:cs="Arial"/>
                <w:color w:val="000000"/>
                <w:sz w:val="24"/>
                <w:szCs w:val="24"/>
              </w:rPr>
            </w:pPr>
            <w:r>
              <w:rPr>
                <w:rFonts w:ascii="Arial" w:eastAsia="Arial" w:hAnsi="Arial" w:cs="Arial"/>
                <w:color w:val="000000"/>
                <w:sz w:val="24"/>
                <w:szCs w:val="24"/>
              </w:rPr>
              <w:t>employed by another organisation within the supply chain, e.g. an agency or umbrella company,</w:t>
            </w:r>
          </w:p>
          <w:p w:rsidR="00A84248" w:rsidRDefault="005F3156">
            <w:pPr>
              <w:numPr>
                <w:ilvl w:val="0"/>
                <w:numId w:val="17"/>
              </w:numPr>
              <w:pBdr>
                <w:top w:val="nil"/>
                <w:left w:val="nil"/>
                <w:bottom w:val="nil"/>
                <w:right w:val="nil"/>
                <w:between w:val="nil"/>
              </w:pBdr>
              <w:spacing w:after="120" w:line="276" w:lineRule="auto"/>
              <w:rPr>
                <w:rFonts w:ascii="Arial" w:eastAsia="Arial" w:hAnsi="Arial" w:cs="Arial"/>
                <w:color w:val="000000"/>
                <w:sz w:val="24"/>
                <w:szCs w:val="24"/>
              </w:rPr>
            </w:pPr>
            <w:r>
              <w:rPr>
                <w:rFonts w:ascii="Arial" w:eastAsia="Arial" w:hAnsi="Arial" w:cs="Arial"/>
                <w:color w:val="000000"/>
                <w:sz w:val="24"/>
                <w:szCs w:val="24"/>
              </w:rPr>
              <w:t>an off-payroll worker engaged via an intermediary e.g. the worker’s own personal service company, or</w:t>
            </w:r>
          </w:p>
          <w:p w:rsidR="00A84248" w:rsidRDefault="005F3156">
            <w:pPr>
              <w:numPr>
                <w:ilvl w:val="0"/>
                <w:numId w:val="17"/>
              </w:numPr>
              <w:pBdr>
                <w:top w:val="nil"/>
                <w:left w:val="nil"/>
                <w:bottom w:val="nil"/>
                <w:right w:val="nil"/>
                <w:between w:val="nil"/>
              </w:pBdr>
              <w:spacing w:after="120" w:line="276" w:lineRule="auto"/>
              <w:rPr>
                <w:rFonts w:ascii="Arial" w:eastAsia="Arial" w:hAnsi="Arial" w:cs="Arial"/>
                <w:color w:val="000000"/>
                <w:sz w:val="24"/>
                <w:szCs w:val="24"/>
              </w:rPr>
            </w:pPr>
            <w:r>
              <w:rPr>
                <w:rFonts w:ascii="Arial" w:eastAsia="Arial" w:hAnsi="Arial" w:cs="Arial"/>
                <w:color w:val="000000"/>
                <w:sz w:val="24"/>
                <w:szCs w:val="24"/>
              </w:rPr>
              <w:t>an independent sole trader;</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"Working Day"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"Work Day"</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A84248">
        <w:tc>
          <w:tcPr>
            <w:tcW w:w="2151" w:type="dxa"/>
            <w:tcMar>
              <w:top w:w="0" w:type="dxa"/>
              <w:left w:w="0" w:type="dxa"/>
              <w:bottom w:w="0" w:type="dxa"/>
              <w:right w:w="0" w:type="dxa"/>
            </w:tcMar>
          </w:tcPr>
          <w:p w:rsidR="00A84248" w:rsidRDefault="005F3156">
            <w:pPr>
              <w:pBdr>
                <w:top w:val="nil"/>
                <w:left w:val="nil"/>
                <w:bottom w:val="nil"/>
                <w:right w:val="nil"/>
                <w:between w:val="nil"/>
              </w:pBdr>
              <w:spacing w:after="120"/>
              <w:ind w:right="171"/>
              <w:rPr>
                <w:rFonts w:ascii="Arial" w:eastAsia="Arial" w:hAnsi="Arial" w:cs="Arial"/>
                <w:b/>
                <w:color w:val="000000"/>
                <w:sz w:val="24"/>
                <w:szCs w:val="24"/>
              </w:rPr>
            </w:pPr>
            <w:r>
              <w:rPr>
                <w:rFonts w:ascii="Arial" w:eastAsia="Arial" w:hAnsi="Arial" w:cs="Arial"/>
                <w:b/>
                <w:color w:val="000000"/>
                <w:sz w:val="24"/>
                <w:szCs w:val="24"/>
              </w:rPr>
              <w:t>"Work Hours"</w:t>
            </w:r>
          </w:p>
        </w:tc>
        <w:tc>
          <w:tcPr>
            <w:tcW w:w="7929" w:type="dxa"/>
            <w:tcMar>
              <w:top w:w="0" w:type="dxa"/>
              <w:left w:w="0" w:type="dxa"/>
              <w:bottom w:w="0" w:type="dxa"/>
              <w:right w:w="0" w:type="dxa"/>
            </w:tcMar>
          </w:tcPr>
          <w:p w:rsidR="00A84248" w:rsidRDefault="005F3156">
            <w:pPr>
              <w:pBdr>
                <w:top w:val="nil"/>
                <w:left w:val="nil"/>
                <w:bottom w:val="nil"/>
                <w:right w:val="nil"/>
                <w:between w:val="nil"/>
              </w:pBdr>
              <w:tabs>
                <w:tab w:val="left" w:pos="679"/>
              </w:tabs>
              <w:spacing w:after="120"/>
              <w:ind w:left="112" w:right="300"/>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A84248" w:rsidRDefault="00A84248">
      <w:pPr>
        <w:widowControl w:val="0"/>
        <w:pBdr>
          <w:top w:val="nil"/>
          <w:left w:val="nil"/>
          <w:bottom w:val="nil"/>
          <w:right w:val="nil"/>
          <w:between w:val="nil"/>
        </w:pBdr>
        <w:spacing w:after="0"/>
        <w:rPr>
          <w:rFonts w:ascii="Arial" w:eastAsia="Arial" w:hAnsi="Arial" w:cs="Arial"/>
          <w:color w:val="000000"/>
          <w:sz w:val="24"/>
          <w:szCs w:val="24"/>
        </w:rPr>
      </w:pPr>
    </w:p>
    <w:p w:rsidR="00A84248" w:rsidRDefault="00A84248">
      <w:pPr>
        <w:widowControl w:val="0"/>
        <w:pBdr>
          <w:top w:val="nil"/>
          <w:left w:val="nil"/>
          <w:bottom w:val="nil"/>
          <w:right w:val="nil"/>
          <w:between w:val="nil"/>
        </w:pBdr>
        <w:spacing w:after="0"/>
        <w:rPr>
          <w:rFonts w:ascii="Arial" w:eastAsia="Arial" w:hAnsi="Arial" w:cs="Arial"/>
          <w:color w:val="000000"/>
        </w:rPr>
      </w:pPr>
    </w:p>
    <w:p w:rsidR="00A84248" w:rsidRDefault="00A84248">
      <w:pPr>
        <w:spacing w:after="0" w:line="240" w:lineRule="auto"/>
        <w:rPr>
          <w:rFonts w:ascii="Arial" w:eastAsia="Arial" w:hAnsi="Arial" w:cs="Arial"/>
          <w:sz w:val="24"/>
          <w:szCs w:val="24"/>
        </w:rPr>
      </w:pPr>
      <w:bookmarkStart w:id="7" w:name="_heading=h.gjdgxs" w:colFirst="0" w:colLast="0"/>
      <w:bookmarkEnd w:id="7"/>
    </w:p>
    <w:sectPr w:rsidR="00A84248">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2BB" w:rsidRDefault="007472BB">
      <w:pPr>
        <w:spacing w:after="0" w:line="240" w:lineRule="auto"/>
      </w:pPr>
      <w:r>
        <w:separator/>
      </w:r>
    </w:p>
  </w:endnote>
  <w:endnote w:type="continuationSeparator" w:id="0">
    <w:p w:rsidR="007472BB" w:rsidRDefault="0074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auto"/>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248" w:rsidRDefault="005F315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RM6345</w:t>
    </w:r>
    <w:r>
      <w:rPr>
        <w:rFonts w:ascii="Arial" w:eastAsia="Arial" w:hAnsi="Arial" w:cs="Arial"/>
        <w:sz w:val="20"/>
        <w:szCs w:val="20"/>
      </w:rPr>
      <w:tab/>
      <w:t xml:space="preserve">                                           </w:t>
    </w:r>
  </w:p>
  <w:p w:rsidR="00A84248" w:rsidRDefault="005F31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C705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A84248" w:rsidRDefault="005F3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v3.12</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248" w:rsidRDefault="005F315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A84248" w:rsidRDefault="005F315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A84248" w:rsidRDefault="005F3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2BB" w:rsidRDefault="007472BB">
      <w:pPr>
        <w:spacing w:after="0" w:line="240" w:lineRule="auto"/>
      </w:pPr>
      <w:r>
        <w:separator/>
      </w:r>
    </w:p>
  </w:footnote>
  <w:footnote w:type="continuationSeparator" w:id="0">
    <w:p w:rsidR="007472BB" w:rsidRDefault="00747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248" w:rsidRDefault="005F315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A84248" w:rsidRDefault="005F3156">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2024</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248" w:rsidRDefault="005F315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A84248" w:rsidRDefault="005F315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541"/>
    <w:multiLevelType w:val="multilevel"/>
    <w:tmpl w:val="4842768A"/>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74781"/>
    <w:multiLevelType w:val="multilevel"/>
    <w:tmpl w:val="D0644C80"/>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4812E6"/>
    <w:multiLevelType w:val="multilevel"/>
    <w:tmpl w:val="4B5219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6C36E0"/>
    <w:multiLevelType w:val="multilevel"/>
    <w:tmpl w:val="DA7A36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2C4253"/>
    <w:multiLevelType w:val="multilevel"/>
    <w:tmpl w:val="78D6202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022299"/>
    <w:multiLevelType w:val="multilevel"/>
    <w:tmpl w:val="F482B26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840838"/>
    <w:multiLevelType w:val="multilevel"/>
    <w:tmpl w:val="E7E86F8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2B77AE"/>
    <w:multiLevelType w:val="multilevel"/>
    <w:tmpl w:val="2140DC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8E73C2"/>
    <w:multiLevelType w:val="multilevel"/>
    <w:tmpl w:val="66621E96"/>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1C5067"/>
    <w:multiLevelType w:val="multilevel"/>
    <w:tmpl w:val="A0E63AC2"/>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54433E"/>
    <w:multiLevelType w:val="multilevel"/>
    <w:tmpl w:val="D1DC6E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8619F4"/>
    <w:multiLevelType w:val="multilevel"/>
    <w:tmpl w:val="9C4CAB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7B171E"/>
    <w:multiLevelType w:val="multilevel"/>
    <w:tmpl w:val="2C2017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B37B78"/>
    <w:multiLevelType w:val="multilevel"/>
    <w:tmpl w:val="D8D299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9D18C3"/>
    <w:multiLevelType w:val="multilevel"/>
    <w:tmpl w:val="4FEEF4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3324B1"/>
    <w:multiLevelType w:val="multilevel"/>
    <w:tmpl w:val="C7E8AB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6D19B6"/>
    <w:multiLevelType w:val="multilevel"/>
    <w:tmpl w:val="07964E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776AFA"/>
    <w:multiLevelType w:val="multilevel"/>
    <w:tmpl w:val="85769F3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233265"/>
    <w:multiLevelType w:val="multilevel"/>
    <w:tmpl w:val="169A6D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4A0876"/>
    <w:multiLevelType w:val="multilevel"/>
    <w:tmpl w:val="951867A8"/>
    <w:lvl w:ilvl="0">
      <w:start w:val="1"/>
      <w:numFmt w:val="lowerLetter"/>
      <w:lvlText w:val="(%1)"/>
      <w:lvlJc w:val="left"/>
      <w:pPr>
        <w:ind w:left="360" w:hanging="360"/>
      </w:pPr>
    </w:lvl>
    <w:lvl w:ilvl="1">
      <w:start w:val="1"/>
      <w:numFmt w:val="lowerRoman"/>
      <w:lvlText w:val="(%2)"/>
      <w:lvlJc w:val="left"/>
      <w:pPr>
        <w:ind w:left="648" w:hanging="360"/>
      </w:pPr>
    </w:lvl>
    <w:lvl w:ilvl="2">
      <w:start w:val="1"/>
      <w:numFmt w:val="lowerRoman"/>
      <w:lvlText w:val="(%3)."/>
      <w:lvlJc w:val="right"/>
      <w:pPr>
        <w:ind w:left="1368" w:hanging="180"/>
      </w:pPr>
    </w:lvl>
    <w:lvl w:ilvl="3">
      <w:start w:val="1"/>
      <w:numFmt w:val="decimal"/>
      <w:lvlText w:val="%4."/>
      <w:lvlJc w:val="left"/>
      <w:pPr>
        <w:ind w:left="2088" w:hanging="360"/>
      </w:pPr>
    </w:lvl>
    <w:lvl w:ilvl="4">
      <w:start w:val="1"/>
      <w:numFmt w:val="lowerLetter"/>
      <w:lvlText w:val="%5."/>
      <w:lvlJc w:val="left"/>
      <w:pPr>
        <w:ind w:left="2808" w:hanging="360"/>
      </w:pPr>
    </w:lvl>
    <w:lvl w:ilvl="5">
      <w:start w:val="1"/>
      <w:numFmt w:val="lowerRoman"/>
      <w:lvlText w:val="%6."/>
      <w:lvlJc w:val="right"/>
      <w:pPr>
        <w:ind w:left="3528" w:hanging="180"/>
      </w:pPr>
    </w:lvl>
    <w:lvl w:ilvl="6">
      <w:start w:val="1"/>
      <w:numFmt w:val="decimal"/>
      <w:lvlText w:val="%7."/>
      <w:lvlJc w:val="left"/>
      <w:pPr>
        <w:ind w:left="4248" w:hanging="360"/>
      </w:pPr>
    </w:lvl>
    <w:lvl w:ilvl="7">
      <w:start w:val="1"/>
      <w:numFmt w:val="lowerLetter"/>
      <w:lvlText w:val="%8."/>
      <w:lvlJc w:val="left"/>
      <w:pPr>
        <w:ind w:left="4968" w:hanging="360"/>
      </w:pPr>
    </w:lvl>
    <w:lvl w:ilvl="8">
      <w:start w:val="1"/>
      <w:numFmt w:val="lowerRoman"/>
      <w:lvlText w:val="%9."/>
      <w:lvlJc w:val="right"/>
      <w:pPr>
        <w:ind w:left="5688" w:hanging="180"/>
      </w:pPr>
    </w:lvl>
  </w:abstractNum>
  <w:abstractNum w:abstractNumId="20" w15:restartNumberingAfterBreak="0">
    <w:nsid w:val="619F6D39"/>
    <w:multiLevelType w:val="multilevel"/>
    <w:tmpl w:val="E01C39AE"/>
    <w:lvl w:ilvl="0">
      <w:start w:val="1"/>
      <w:numFmt w:val="lowerLetter"/>
      <w:pStyle w:val="GPSL1CLAUSEHEADING"/>
      <w:lvlText w:val="%1)"/>
      <w:lvlJc w:val="left"/>
      <w:pPr>
        <w:ind w:left="432" w:hanging="262"/>
      </w:pPr>
      <w:rPr>
        <w:sz w:val="22"/>
        <w:szCs w:val="22"/>
      </w:rPr>
    </w:lvl>
    <w:lvl w:ilvl="1">
      <w:start w:val="1"/>
      <w:numFmt w:val="lowerLetter"/>
      <w:pStyle w:val="GPSL2numberedclaus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eastAsia="Arial" w:hAnsi="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70F23C40"/>
    <w:multiLevelType w:val="multilevel"/>
    <w:tmpl w:val="60E81EE4"/>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2" w15:restartNumberingAfterBreak="0">
    <w:nsid w:val="73EA2477"/>
    <w:multiLevelType w:val="multilevel"/>
    <w:tmpl w:val="4BB60EB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2E238D"/>
    <w:multiLevelType w:val="multilevel"/>
    <w:tmpl w:val="0FF447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9BD23C9"/>
    <w:multiLevelType w:val="multilevel"/>
    <w:tmpl w:val="1110D86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5" w15:restartNumberingAfterBreak="0">
    <w:nsid w:val="7FAC4643"/>
    <w:multiLevelType w:val="multilevel"/>
    <w:tmpl w:val="98CA22D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FE07CB"/>
    <w:multiLevelType w:val="multilevel"/>
    <w:tmpl w:val="523E652A"/>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5"/>
  </w:num>
  <w:num w:numId="3">
    <w:abstractNumId w:val="26"/>
  </w:num>
  <w:num w:numId="4">
    <w:abstractNumId w:val="9"/>
  </w:num>
  <w:num w:numId="5">
    <w:abstractNumId w:val="16"/>
  </w:num>
  <w:num w:numId="6">
    <w:abstractNumId w:val="20"/>
  </w:num>
  <w:num w:numId="7">
    <w:abstractNumId w:val="8"/>
  </w:num>
  <w:num w:numId="8">
    <w:abstractNumId w:val="21"/>
  </w:num>
  <w:num w:numId="9">
    <w:abstractNumId w:val="10"/>
  </w:num>
  <w:num w:numId="10">
    <w:abstractNumId w:val="7"/>
  </w:num>
  <w:num w:numId="11">
    <w:abstractNumId w:val="18"/>
  </w:num>
  <w:num w:numId="12">
    <w:abstractNumId w:val="11"/>
  </w:num>
  <w:num w:numId="13">
    <w:abstractNumId w:val="0"/>
  </w:num>
  <w:num w:numId="14">
    <w:abstractNumId w:val="24"/>
  </w:num>
  <w:num w:numId="15">
    <w:abstractNumId w:val="14"/>
  </w:num>
  <w:num w:numId="16">
    <w:abstractNumId w:val="12"/>
  </w:num>
  <w:num w:numId="17">
    <w:abstractNumId w:val="19"/>
  </w:num>
  <w:num w:numId="18">
    <w:abstractNumId w:val="25"/>
  </w:num>
  <w:num w:numId="19">
    <w:abstractNumId w:val="2"/>
  </w:num>
  <w:num w:numId="20">
    <w:abstractNumId w:val="22"/>
  </w:num>
  <w:num w:numId="21">
    <w:abstractNumId w:val="6"/>
  </w:num>
  <w:num w:numId="22">
    <w:abstractNumId w:val="17"/>
  </w:num>
  <w:num w:numId="23">
    <w:abstractNumId w:val="15"/>
  </w:num>
  <w:num w:numId="24">
    <w:abstractNumId w:val="3"/>
  </w:num>
  <w:num w:numId="25">
    <w:abstractNumId w:val="13"/>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48"/>
    <w:rsid w:val="001C705C"/>
    <w:rsid w:val="0028377B"/>
    <w:rsid w:val="005F3156"/>
    <w:rsid w:val="007472BB"/>
    <w:rsid w:val="00804FDB"/>
    <w:rsid w:val="00A84248"/>
    <w:rsid w:val="00CA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57885-059B-428B-BA0A-CEBB5972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8">
    <w:basedOn w:val="TableNormal"/>
    <w:pPr>
      <w:spacing w:after="0" w:line="240" w:lineRule="auto"/>
    </w:pPr>
    <w:rPr>
      <w:sz w:val="20"/>
      <w:szCs w:val="20"/>
    </w:rPr>
    <w:tblPr>
      <w:tblStyleRowBandSize w:val="1"/>
      <w:tblStyleColBandSize w:val="1"/>
      <w:tblCellMar>
        <w:top w:w="142" w:type="dxa"/>
        <w:left w:w="142" w:type="dxa"/>
        <w:bottom w:w="142" w:type="dxa"/>
        <w:right w:w="142" w:type="dxa"/>
      </w:tblCellMar>
    </w:tblPr>
  </w:style>
  <w:style w:type="table" w:customStyle="1" w:styleId="a9">
    <w:basedOn w:val="TableNormal"/>
    <w:pPr>
      <w:spacing w:after="0" w:line="240" w:lineRule="auto"/>
    </w:pPr>
    <w:rPr>
      <w:sz w:val="20"/>
      <w:szCs w:val="20"/>
    </w:rPr>
    <w:tblPr>
      <w:tblStyleRowBandSize w:val="1"/>
      <w:tblStyleColBandSize w:val="1"/>
      <w:tblCellMar>
        <w:top w:w="142" w:type="dxa"/>
        <w:left w:w="142" w:type="dxa"/>
        <w:bottom w:w="142" w:type="dxa"/>
        <w:right w:w="14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rpJL3Iz/bHa9onp0PhaNGJ3yA==">CgMxLjAyCWguMmV0OTJwMDIJaWQuZ2pkZ3hzMgloLjMwajB6bGwyCWguMWZvYjl0ZTIJaC4zem55c2g3MgloLjNkeTZ2a20yCGguZ2pkZ3hzOAByITFtTkJwSGlyZ2JFTUpfLUtWTlpUY0FPZHEwQmYySy1rYw==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10211</Words>
  <Characters>58203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Baljinder Sall</cp:lastModifiedBy>
  <cp:revision>2</cp:revision>
  <dcterms:created xsi:type="dcterms:W3CDTF">2024-05-17T09:41:00Z</dcterms:created>
  <dcterms:modified xsi:type="dcterms:W3CDTF">2024-05-17T09:41:00Z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