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D2441" w:rsidRDefault="00D842E1">
      <w:pPr>
        <w:pBdr>
          <w:top w:val="nil"/>
          <w:left w:val="nil"/>
          <w:bottom w:val="nil"/>
          <w:right w:val="nil"/>
          <w:between w:val="nil"/>
        </w:pBdr>
        <w:tabs>
          <w:tab w:val="center" w:pos="4513"/>
          <w:tab w:val="right" w:pos="9026"/>
        </w:tabs>
        <w:spacing w:after="0"/>
        <w:jc w:val="left"/>
        <w:rPr>
          <w:rFonts w:ascii="Arial" w:eastAsia="Arial" w:hAnsi="Arial"/>
          <w:color w:val="000000"/>
          <w:sz w:val="36"/>
          <w:szCs w:val="36"/>
        </w:rPr>
      </w:pPr>
      <w:r>
        <w:rPr>
          <w:rFonts w:ascii="Arial" w:eastAsia="Arial" w:hAnsi="Arial"/>
          <w:b/>
          <w:color w:val="000000"/>
          <w:sz w:val="36"/>
          <w:szCs w:val="36"/>
        </w:rPr>
        <w:t>Joint Schedule 7 (Financial Difficulties)</w:t>
      </w:r>
    </w:p>
    <w:p w14:paraId="00000002" w14:textId="77777777" w:rsidR="00AD2441" w:rsidRDefault="00AD2441">
      <w:pPr>
        <w:pBdr>
          <w:top w:val="nil"/>
          <w:left w:val="nil"/>
          <w:bottom w:val="nil"/>
          <w:right w:val="nil"/>
          <w:between w:val="nil"/>
        </w:pBdr>
        <w:tabs>
          <w:tab w:val="left" w:pos="1985"/>
        </w:tabs>
        <w:spacing w:before="120" w:after="120"/>
        <w:ind w:left="-142" w:hanging="720"/>
        <w:jc w:val="left"/>
        <w:rPr>
          <w:rFonts w:ascii="Arial" w:eastAsia="Arial" w:hAnsi="Arial"/>
          <w:color w:val="000000"/>
          <w:sz w:val="24"/>
          <w:szCs w:val="24"/>
        </w:rPr>
      </w:pPr>
    </w:p>
    <w:p w14:paraId="00000003" w14:textId="77777777" w:rsidR="00AD2441" w:rsidRDefault="00D842E1">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000004" w14:textId="77777777" w:rsidR="00AD2441" w:rsidRDefault="00D842E1">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In this Schedule, the following definitions shall apply:</w:t>
      </w:r>
    </w:p>
    <w:p w14:paraId="00000005" w14:textId="77777777" w:rsidR="00AD2441" w:rsidRDefault="00AD2441">
      <w:pPr>
        <w:pBdr>
          <w:top w:val="nil"/>
          <w:left w:val="nil"/>
          <w:bottom w:val="nil"/>
          <w:right w:val="nil"/>
          <w:between w:val="nil"/>
        </w:pBdr>
        <w:tabs>
          <w:tab w:val="left" w:pos="1134"/>
        </w:tabs>
        <w:spacing w:before="120" w:after="120"/>
        <w:ind w:left="360" w:hanging="1004"/>
        <w:jc w:val="left"/>
        <w:rPr>
          <w:rFonts w:ascii="Arial" w:eastAsia="Arial" w:hAnsi="Arial"/>
          <w:color w:val="000000"/>
          <w:sz w:val="24"/>
          <w:szCs w:val="24"/>
        </w:rPr>
      </w:pPr>
    </w:p>
    <w:tbl>
      <w:tblPr>
        <w:tblStyle w:val="a4"/>
        <w:tblW w:w="8656"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2704"/>
        <w:gridCol w:w="5952"/>
      </w:tblGrid>
      <w:tr w:rsidR="00AD2441" w14:paraId="12C1EF3A" w14:textId="77777777">
        <w:tc>
          <w:tcPr>
            <w:tcW w:w="2704" w:type="dxa"/>
          </w:tcPr>
          <w:p w14:paraId="00000006"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r>
              <w:rPr>
                <w:rFonts w:ascii="Arial" w:eastAsia="Arial" w:hAnsi="Arial"/>
                <w:b/>
                <w:sz w:val="24"/>
                <w:szCs w:val="24"/>
              </w:rPr>
              <w:t xml:space="preserve">   </w:t>
            </w:r>
            <w:r>
              <w:rPr>
                <w:rFonts w:ascii="Arial" w:eastAsia="Arial" w:hAnsi="Arial"/>
                <w:b/>
                <w:color w:val="000000"/>
                <w:sz w:val="24"/>
                <w:szCs w:val="24"/>
              </w:rPr>
              <w:t>“Applicable Financial Indicators”</w:t>
            </w:r>
          </w:p>
        </w:tc>
        <w:tc>
          <w:tcPr>
            <w:tcW w:w="5952" w:type="dxa"/>
          </w:tcPr>
          <w:p w14:paraId="00000007" w14:textId="77777777" w:rsidR="00AD2441" w:rsidRDefault="00D842E1">
            <w:pPr>
              <w:keepNext/>
              <w:pBdr>
                <w:top w:val="nil"/>
                <w:left w:val="nil"/>
                <w:bottom w:val="nil"/>
                <w:right w:val="nil"/>
                <w:between w:val="nil"/>
              </w:pBdr>
              <w:jc w:val="left"/>
              <w:rPr>
                <w:rFonts w:ascii="Arial" w:eastAsia="Arial" w:hAnsi="Arial"/>
                <w:smallCaps/>
                <w:color w:val="000000"/>
                <w:sz w:val="24"/>
                <w:szCs w:val="24"/>
              </w:rPr>
            </w:pPr>
            <w:r>
              <w:rPr>
                <w:rFonts w:ascii="Arial" w:eastAsia="Arial" w:hAnsi="Arial"/>
                <w:color w:val="000000"/>
                <w:sz w:val="24"/>
                <w:szCs w:val="24"/>
              </w:rPr>
              <w:t xml:space="preserve">means the financial indicators from Paragraph </w:t>
            </w:r>
            <w:r>
              <w:rPr>
                <w:rFonts w:ascii="Arial" w:eastAsia="Arial" w:hAnsi="Arial"/>
                <w:smallCaps/>
                <w:color w:val="000000"/>
                <w:sz w:val="24"/>
                <w:szCs w:val="24"/>
              </w:rPr>
              <w:t xml:space="preserve">5.1 </w:t>
            </w:r>
            <w:r>
              <w:rPr>
                <w:rFonts w:ascii="Arial" w:eastAsia="Arial" w:hAnsi="Arial"/>
                <w:color w:val="000000"/>
                <w:sz w:val="24"/>
                <w:szCs w:val="24"/>
              </w:rPr>
              <w:t>of this Schedule which are to apply to the Monitored Suppliers as set out in Paragraph 5.2 of this Schedule;</w:t>
            </w:r>
          </w:p>
        </w:tc>
      </w:tr>
      <w:tr w:rsidR="00AD2441" w14:paraId="350351D9" w14:textId="77777777">
        <w:tc>
          <w:tcPr>
            <w:tcW w:w="2704" w:type="dxa"/>
          </w:tcPr>
          <w:p w14:paraId="00000008"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r>
              <w:rPr>
                <w:rFonts w:ascii="Arial" w:eastAsia="Arial" w:hAnsi="Arial"/>
                <w:b/>
                <w:sz w:val="24"/>
                <w:szCs w:val="24"/>
              </w:rPr>
              <w:t xml:space="preserve">    </w:t>
            </w:r>
            <w:r>
              <w:rPr>
                <w:rFonts w:ascii="Arial" w:eastAsia="Arial" w:hAnsi="Arial"/>
                <w:b/>
                <w:color w:val="000000"/>
                <w:sz w:val="24"/>
                <w:szCs w:val="24"/>
              </w:rPr>
              <w:t>“Board”</w:t>
            </w:r>
          </w:p>
        </w:tc>
        <w:tc>
          <w:tcPr>
            <w:tcW w:w="5952" w:type="dxa"/>
          </w:tcPr>
          <w:p w14:paraId="00000009"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r>
              <w:rPr>
                <w:rFonts w:ascii="Arial" w:eastAsia="Arial" w:hAnsi="Arial"/>
                <w:sz w:val="24"/>
                <w:szCs w:val="24"/>
              </w:rPr>
              <w:t xml:space="preserve">     </w:t>
            </w:r>
            <w:r>
              <w:rPr>
                <w:rFonts w:ascii="Arial" w:eastAsia="Arial" w:hAnsi="Arial"/>
                <w:color w:val="000000"/>
                <w:sz w:val="24"/>
                <w:szCs w:val="24"/>
              </w:rPr>
              <w:t>means the Supplier’s board of directors;</w:t>
            </w:r>
          </w:p>
        </w:tc>
      </w:tr>
      <w:tr w:rsidR="00AD2441" w14:paraId="5B67BA23" w14:textId="77777777">
        <w:tc>
          <w:tcPr>
            <w:tcW w:w="2704" w:type="dxa"/>
          </w:tcPr>
          <w:p w14:paraId="0000000A"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r>
              <w:rPr>
                <w:rFonts w:ascii="Arial" w:eastAsia="Arial" w:hAnsi="Arial"/>
                <w:b/>
                <w:sz w:val="24"/>
                <w:szCs w:val="24"/>
              </w:rPr>
              <w:t xml:space="preserve">    </w:t>
            </w:r>
            <w:r>
              <w:rPr>
                <w:rFonts w:ascii="Arial" w:eastAsia="Arial" w:hAnsi="Arial"/>
                <w:b/>
                <w:color w:val="000000"/>
                <w:sz w:val="24"/>
                <w:szCs w:val="24"/>
              </w:rPr>
              <w:t>“Board Confirmation”</w:t>
            </w:r>
          </w:p>
        </w:tc>
        <w:tc>
          <w:tcPr>
            <w:tcW w:w="5952" w:type="dxa"/>
          </w:tcPr>
          <w:p w14:paraId="0000000B"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r>
              <w:rPr>
                <w:rFonts w:ascii="Arial" w:eastAsia="Arial" w:hAnsi="Arial"/>
                <w:sz w:val="24"/>
                <w:szCs w:val="24"/>
              </w:rPr>
              <w:t xml:space="preserve">     </w:t>
            </w:r>
            <w:r>
              <w:rPr>
                <w:rFonts w:ascii="Arial" w:eastAsia="Arial" w:hAnsi="Arial"/>
                <w:color w:val="000000"/>
                <w:sz w:val="24"/>
                <w:szCs w:val="24"/>
              </w:rPr>
              <w:t>means written confirmation from the Board in accordance with Paragraph 8 of this Schedule;</w:t>
            </w:r>
          </w:p>
        </w:tc>
      </w:tr>
      <w:tr w:rsidR="00AD2441" w14:paraId="355CB56B" w14:textId="77777777">
        <w:tc>
          <w:tcPr>
            <w:tcW w:w="2704" w:type="dxa"/>
          </w:tcPr>
          <w:p w14:paraId="0000000C" w14:textId="77777777" w:rsidR="00AD2441" w:rsidRDefault="00AD2441" w:rsidP="00E11415">
            <w:pPr>
              <w:pBdr>
                <w:top w:val="nil"/>
                <w:left w:val="nil"/>
                <w:bottom w:val="nil"/>
                <w:right w:val="nil"/>
                <w:between w:val="nil"/>
              </w:pBdr>
              <w:tabs>
                <w:tab w:val="left" w:pos="1134"/>
              </w:tabs>
              <w:spacing w:before="120" w:after="120"/>
              <w:jc w:val="left"/>
              <w:rPr>
                <w:rFonts w:ascii="Arial" w:eastAsia="Arial" w:hAnsi="Arial"/>
                <w:b/>
                <w:color w:val="000000"/>
                <w:sz w:val="24"/>
                <w:szCs w:val="24"/>
              </w:rPr>
            </w:pPr>
          </w:p>
        </w:tc>
        <w:tc>
          <w:tcPr>
            <w:tcW w:w="5952" w:type="dxa"/>
          </w:tcPr>
          <w:p w14:paraId="0000000D" w14:textId="77777777" w:rsidR="00AD2441" w:rsidRDefault="00AD2441">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p>
        </w:tc>
      </w:tr>
      <w:tr w:rsidR="00AD2441" w14:paraId="40A8A881" w14:textId="77777777">
        <w:tc>
          <w:tcPr>
            <w:tcW w:w="2704" w:type="dxa"/>
          </w:tcPr>
          <w:p w14:paraId="0000000E"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r>
              <w:rPr>
                <w:rFonts w:ascii="Arial" w:eastAsia="Arial" w:hAnsi="Arial"/>
                <w:b/>
                <w:sz w:val="24"/>
                <w:szCs w:val="24"/>
              </w:rPr>
              <w:t xml:space="preserve">    </w:t>
            </w:r>
            <w:r>
              <w:rPr>
                <w:rFonts w:ascii="Arial" w:eastAsia="Arial" w:hAnsi="Arial"/>
                <w:b/>
                <w:color w:val="000000"/>
                <w:sz w:val="24"/>
                <w:szCs w:val="24"/>
              </w:rPr>
              <w:t>“Cabinet Office Markets and Suppliers Team”</w:t>
            </w:r>
          </w:p>
        </w:tc>
        <w:tc>
          <w:tcPr>
            <w:tcW w:w="5952" w:type="dxa"/>
          </w:tcPr>
          <w:p w14:paraId="0000000F"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r>
              <w:rPr>
                <w:rFonts w:ascii="Arial" w:eastAsia="Arial" w:hAnsi="Arial"/>
                <w:sz w:val="24"/>
                <w:szCs w:val="24"/>
              </w:rPr>
              <w:t xml:space="preserve">     </w:t>
            </w:r>
            <w:r>
              <w:rPr>
                <w:rFonts w:ascii="Arial" w:eastAsia="Arial" w:hAnsi="Arial"/>
                <w:color w:val="000000"/>
                <w:sz w:val="24"/>
                <w:szCs w:val="24"/>
              </w:rPr>
              <w:t>means the UK Government’s team responsible for managing the relationship between government and its Strategic Suppliers, or any replacement or successor body carrying out the same function;</w:t>
            </w:r>
          </w:p>
        </w:tc>
      </w:tr>
      <w:tr w:rsidR="00AD2441" w14:paraId="21554684" w14:textId="77777777">
        <w:tc>
          <w:tcPr>
            <w:tcW w:w="2704" w:type="dxa"/>
          </w:tcPr>
          <w:p w14:paraId="00000010"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r>
              <w:rPr>
                <w:rFonts w:ascii="Arial" w:eastAsia="Arial" w:hAnsi="Arial"/>
                <w:b/>
                <w:sz w:val="24"/>
                <w:szCs w:val="24"/>
              </w:rPr>
              <w:t xml:space="preserve">    </w:t>
            </w:r>
            <w:r>
              <w:rPr>
                <w:rFonts w:ascii="Arial" w:eastAsia="Arial" w:hAnsi="Arial"/>
                <w:b/>
                <w:color w:val="000000"/>
                <w:sz w:val="24"/>
                <w:szCs w:val="24"/>
              </w:rPr>
              <w:t>“Credit Rating Threshold”</w:t>
            </w:r>
          </w:p>
        </w:tc>
        <w:tc>
          <w:tcPr>
            <w:tcW w:w="5952" w:type="dxa"/>
          </w:tcPr>
          <w:p w14:paraId="00000011"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r>
              <w:rPr>
                <w:rFonts w:ascii="Arial" w:eastAsia="Arial" w:hAnsi="Arial"/>
                <w:sz w:val="24"/>
                <w:szCs w:val="24"/>
              </w:rPr>
              <w:t xml:space="preserve">     </w:t>
            </w:r>
            <w:r>
              <w:rPr>
                <w:rFonts w:ascii="Arial" w:eastAsia="Arial" w:hAnsi="Arial"/>
                <w:color w:val="000000"/>
                <w:sz w:val="24"/>
                <w:szCs w:val="24"/>
              </w:rPr>
              <w:t>the minimum credit rating level for each entity in the FDE Group as set out in Annex 1 to this Schedule;</w:t>
            </w:r>
          </w:p>
        </w:tc>
      </w:tr>
      <w:tr w:rsidR="00AD2441" w14:paraId="5F7EEDC6" w14:textId="77777777">
        <w:tc>
          <w:tcPr>
            <w:tcW w:w="2704" w:type="dxa"/>
          </w:tcPr>
          <w:p w14:paraId="00000012"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r>
              <w:rPr>
                <w:rFonts w:ascii="Arial" w:eastAsia="Arial" w:hAnsi="Arial"/>
                <w:b/>
                <w:sz w:val="24"/>
                <w:szCs w:val="24"/>
              </w:rPr>
              <w:t xml:space="preserve">    </w:t>
            </w:r>
            <w:r>
              <w:rPr>
                <w:rFonts w:ascii="Arial" w:eastAsia="Arial" w:hAnsi="Arial"/>
                <w:b/>
                <w:color w:val="000000"/>
                <w:sz w:val="24"/>
                <w:szCs w:val="24"/>
              </w:rPr>
              <w:t>“FDE Group”</w:t>
            </w:r>
          </w:p>
        </w:tc>
        <w:tc>
          <w:tcPr>
            <w:tcW w:w="5952" w:type="dxa"/>
          </w:tcPr>
          <w:p w14:paraId="00000013" w14:textId="4F0860CC"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r>
              <w:rPr>
                <w:rFonts w:ascii="Arial" w:eastAsia="Arial" w:hAnsi="Arial"/>
                <w:sz w:val="24"/>
                <w:szCs w:val="24"/>
              </w:rPr>
              <w:t xml:space="preserve">     </w:t>
            </w:r>
            <w:r>
              <w:rPr>
                <w:rFonts w:ascii="Arial" w:eastAsia="Arial" w:hAnsi="Arial"/>
                <w:color w:val="000000"/>
                <w:sz w:val="24"/>
                <w:szCs w:val="24"/>
              </w:rPr>
              <w:t xml:space="preserve">means </w:t>
            </w:r>
            <w:r w:rsidRPr="00E11415">
              <w:rPr>
                <w:rFonts w:ascii="Arial" w:eastAsia="Arial" w:hAnsi="Arial"/>
                <w:color w:val="000000"/>
                <w:sz w:val="24"/>
                <w:szCs w:val="24"/>
              </w:rPr>
              <w:t>the Supplier, Key Sub-contractors, [the Guarantor] and the Monitored Suppliers;</w:t>
            </w:r>
          </w:p>
        </w:tc>
      </w:tr>
      <w:tr w:rsidR="00AD2441" w14:paraId="2374AB22" w14:textId="77777777">
        <w:tc>
          <w:tcPr>
            <w:tcW w:w="2704" w:type="dxa"/>
          </w:tcPr>
          <w:p w14:paraId="00000014"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r>
              <w:rPr>
                <w:rFonts w:ascii="Arial" w:eastAsia="Arial" w:hAnsi="Arial"/>
                <w:b/>
                <w:sz w:val="24"/>
                <w:szCs w:val="24"/>
              </w:rPr>
              <w:t xml:space="preserve">    </w:t>
            </w:r>
            <w:r>
              <w:rPr>
                <w:rFonts w:ascii="Arial" w:eastAsia="Arial" w:hAnsi="Arial"/>
                <w:b/>
                <w:color w:val="000000"/>
                <w:sz w:val="24"/>
                <w:szCs w:val="24"/>
              </w:rPr>
              <w:t>“Financial Distress Event”</w:t>
            </w:r>
          </w:p>
        </w:tc>
        <w:tc>
          <w:tcPr>
            <w:tcW w:w="5952" w:type="dxa"/>
          </w:tcPr>
          <w:p w14:paraId="00000015"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r>
              <w:rPr>
                <w:rFonts w:ascii="Arial" w:eastAsia="Arial" w:hAnsi="Arial"/>
                <w:sz w:val="24"/>
                <w:szCs w:val="24"/>
              </w:rPr>
              <w:t xml:space="preserve">     </w:t>
            </w:r>
            <w:r>
              <w:rPr>
                <w:rFonts w:ascii="Arial" w:eastAsia="Arial" w:hAnsi="Arial"/>
                <w:color w:val="000000"/>
                <w:sz w:val="24"/>
                <w:szCs w:val="24"/>
              </w:rPr>
              <w:t>Any of the events listed in Paragraph 3.1 of this Schedule;</w:t>
            </w:r>
          </w:p>
        </w:tc>
      </w:tr>
      <w:tr w:rsidR="00AD2441" w14:paraId="4DD607E6" w14:textId="77777777">
        <w:tc>
          <w:tcPr>
            <w:tcW w:w="2704" w:type="dxa"/>
          </w:tcPr>
          <w:p w14:paraId="00000016"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r>
              <w:rPr>
                <w:rFonts w:ascii="Arial" w:eastAsia="Arial" w:hAnsi="Arial"/>
                <w:b/>
                <w:sz w:val="24"/>
                <w:szCs w:val="24"/>
              </w:rPr>
              <w:t xml:space="preserve">    </w:t>
            </w:r>
            <w:r>
              <w:rPr>
                <w:rFonts w:ascii="Arial" w:eastAsia="Arial" w:hAnsi="Arial"/>
                <w:b/>
                <w:color w:val="000000"/>
                <w:sz w:val="24"/>
                <w:szCs w:val="24"/>
              </w:rPr>
              <w:t>“Financial Distress Remediation Plan”</w:t>
            </w:r>
          </w:p>
        </w:tc>
        <w:tc>
          <w:tcPr>
            <w:tcW w:w="5952" w:type="dxa"/>
          </w:tcPr>
          <w:p w14:paraId="00000017"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r>
              <w:rPr>
                <w:rFonts w:ascii="Arial" w:eastAsia="Arial" w:hAnsi="Arial"/>
                <w:color w:val="000000"/>
                <w:sz w:val="24"/>
                <w:szCs w:val="24"/>
              </w:rPr>
              <w:t>a   plan setting out how the Supplier will ensure the continued performance and delivery of the Deliverables in accordance with the Contract in the event that a Financial Distress Event occurs;</w:t>
            </w:r>
          </w:p>
        </w:tc>
      </w:tr>
      <w:tr w:rsidR="00AD2441" w14:paraId="26F9E683" w14:textId="77777777">
        <w:tc>
          <w:tcPr>
            <w:tcW w:w="2704" w:type="dxa"/>
          </w:tcPr>
          <w:p w14:paraId="00000018"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bookmarkStart w:id="1" w:name="_heading=h.3dy6vkm" w:colFirst="0" w:colLast="0"/>
            <w:bookmarkEnd w:id="1"/>
            <w:r>
              <w:rPr>
                <w:rFonts w:ascii="Arial" w:eastAsia="Arial" w:hAnsi="Arial"/>
                <w:b/>
                <w:sz w:val="24"/>
                <w:szCs w:val="24"/>
              </w:rPr>
              <w:t xml:space="preserve">    </w:t>
            </w:r>
            <w:r>
              <w:rPr>
                <w:rFonts w:ascii="Arial" w:eastAsia="Arial" w:hAnsi="Arial"/>
                <w:b/>
                <w:color w:val="000000"/>
                <w:sz w:val="24"/>
                <w:szCs w:val="24"/>
              </w:rPr>
              <w:t>“Financial Indicators”</w:t>
            </w:r>
          </w:p>
        </w:tc>
        <w:tc>
          <w:tcPr>
            <w:tcW w:w="5952" w:type="dxa"/>
          </w:tcPr>
          <w:p w14:paraId="00000019"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r>
              <w:rPr>
                <w:rFonts w:ascii="Arial" w:eastAsia="Arial" w:hAnsi="Arial"/>
                <w:sz w:val="24"/>
                <w:szCs w:val="24"/>
              </w:rPr>
              <w:t xml:space="preserve">       </w:t>
            </w:r>
            <w:r>
              <w:rPr>
                <w:rFonts w:ascii="Arial" w:eastAsia="Arial" w:hAnsi="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AD2441" w14:paraId="5C0CEEE7" w14:textId="77777777">
        <w:tc>
          <w:tcPr>
            <w:tcW w:w="2704" w:type="dxa"/>
          </w:tcPr>
          <w:p w14:paraId="0000001A"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r>
              <w:rPr>
                <w:rFonts w:ascii="Arial" w:eastAsia="Arial" w:hAnsi="Arial"/>
                <w:b/>
                <w:sz w:val="24"/>
                <w:szCs w:val="24"/>
              </w:rPr>
              <w:lastRenderedPageBreak/>
              <w:t xml:space="preserve">    </w:t>
            </w:r>
            <w:r>
              <w:rPr>
                <w:rFonts w:ascii="Arial" w:eastAsia="Arial" w:hAnsi="Arial"/>
                <w:b/>
                <w:color w:val="000000"/>
                <w:sz w:val="24"/>
                <w:szCs w:val="24"/>
              </w:rPr>
              <w:t>“Financial Target Thresholds”</w:t>
            </w:r>
          </w:p>
        </w:tc>
        <w:tc>
          <w:tcPr>
            <w:tcW w:w="5952" w:type="dxa"/>
          </w:tcPr>
          <w:p w14:paraId="0000001B"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r>
              <w:rPr>
                <w:rFonts w:ascii="Arial" w:eastAsia="Arial" w:hAnsi="Arial"/>
                <w:sz w:val="24"/>
                <w:szCs w:val="24"/>
              </w:rPr>
              <w:t xml:space="preserve">    </w:t>
            </w:r>
            <w:r>
              <w:rPr>
                <w:rFonts w:ascii="Arial" w:eastAsia="Arial" w:hAnsi="Arial"/>
                <w:color w:val="000000"/>
                <w:sz w:val="24"/>
                <w:szCs w:val="24"/>
              </w:rPr>
              <w:t>means the target thresholds for each of the Financial Indicators set out at paragraph 5.1 of this Schedule;</w:t>
            </w:r>
          </w:p>
        </w:tc>
      </w:tr>
      <w:tr w:rsidR="00AD2441" w14:paraId="77360069" w14:textId="77777777">
        <w:tc>
          <w:tcPr>
            <w:tcW w:w="2704" w:type="dxa"/>
          </w:tcPr>
          <w:p w14:paraId="0000001C"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r>
              <w:rPr>
                <w:rFonts w:ascii="Arial" w:eastAsia="Arial" w:hAnsi="Arial"/>
                <w:b/>
                <w:sz w:val="24"/>
                <w:szCs w:val="24"/>
              </w:rPr>
              <w:t xml:space="preserve">    </w:t>
            </w:r>
            <w:r>
              <w:rPr>
                <w:rFonts w:ascii="Arial" w:eastAsia="Arial" w:hAnsi="Arial"/>
                <w:b/>
                <w:color w:val="000000"/>
                <w:sz w:val="24"/>
                <w:szCs w:val="24"/>
              </w:rPr>
              <w:t>“Monitored Suppliers”</w:t>
            </w:r>
          </w:p>
        </w:tc>
        <w:tc>
          <w:tcPr>
            <w:tcW w:w="5952" w:type="dxa"/>
          </w:tcPr>
          <w:p w14:paraId="0000001D"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r>
              <w:rPr>
                <w:rFonts w:ascii="Arial" w:eastAsia="Arial" w:hAnsi="Arial"/>
                <w:sz w:val="24"/>
                <w:szCs w:val="24"/>
              </w:rPr>
              <w:t xml:space="preserve">    </w:t>
            </w:r>
            <w:r>
              <w:rPr>
                <w:rFonts w:ascii="Arial" w:eastAsia="Arial" w:hAnsi="Arial"/>
                <w:color w:val="000000"/>
                <w:sz w:val="24"/>
                <w:szCs w:val="24"/>
              </w:rPr>
              <w:t>means those entities specified at paragraph 5.2 of this Schedule;</w:t>
            </w:r>
          </w:p>
        </w:tc>
      </w:tr>
      <w:tr w:rsidR="00AD2441" w14:paraId="6DBABCF2" w14:textId="77777777">
        <w:tc>
          <w:tcPr>
            <w:tcW w:w="2704" w:type="dxa"/>
          </w:tcPr>
          <w:p w14:paraId="0000001E"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r>
              <w:rPr>
                <w:rFonts w:ascii="Arial" w:eastAsia="Arial" w:hAnsi="Arial"/>
                <w:b/>
                <w:sz w:val="24"/>
                <w:szCs w:val="24"/>
              </w:rPr>
              <w:t xml:space="preserve">    </w:t>
            </w:r>
            <w:r>
              <w:rPr>
                <w:rFonts w:ascii="Arial" w:eastAsia="Arial" w:hAnsi="Arial"/>
                <w:b/>
                <w:color w:val="000000"/>
                <w:sz w:val="24"/>
                <w:szCs w:val="24"/>
              </w:rPr>
              <w:t>“Rating Agencies”</w:t>
            </w:r>
          </w:p>
        </w:tc>
        <w:tc>
          <w:tcPr>
            <w:tcW w:w="5952" w:type="dxa"/>
          </w:tcPr>
          <w:p w14:paraId="0000001F"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r>
              <w:rPr>
                <w:rFonts w:ascii="Arial" w:eastAsia="Arial" w:hAnsi="Arial"/>
                <w:sz w:val="24"/>
                <w:szCs w:val="24"/>
              </w:rPr>
              <w:t xml:space="preserve">    </w:t>
            </w:r>
            <w:r>
              <w:rPr>
                <w:rFonts w:ascii="Arial" w:eastAsia="Arial" w:hAnsi="Arial"/>
                <w:color w:val="000000"/>
                <w:sz w:val="24"/>
                <w:szCs w:val="24"/>
              </w:rPr>
              <w:t>The rating agencies listed in Annex 1 of this Schedule;</w:t>
            </w:r>
          </w:p>
        </w:tc>
      </w:tr>
      <w:tr w:rsidR="00AD2441" w14:paraId="2FEF730C" w14:textId="77777777">
        <w:tc>
          <w:tcPr>
            <w:tcW w:w="2704" w:type="dxa"/>
          </w:tcPr>
          <w:p w14:paraId="00000020" w14:textId="77777777"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b/>
                <w:color w:val="000000"/>
                <w:sz w:val="24"/>
                <w:szCs w:val="24"/>
              </w:rPr>
            </w:pPr>
            <w:r>
              <w:rPr>
                <w:rFonts w:ascii="Arial" w:eastAsia="Arial" w:hAnsi="Arial"/>
                <w:b/>
                <w:sz w:val="24"/>
                <w:szCs w:val="24"/>
              </w:rPr>
              <w:t xml:space="preserve">    </w:t>
            </w:r>
            <w:r>
              <w:rPr>
                <w:rFonts w:ascii="Arial" w:eastAsia="Arial" w:hAnsi="Arial"/>
                <w:b/>
                <w:color w:val="000000"/>
                <w:sz w:val="24"/>
                <w:szCs w:val="24"/>
              </w:rPr>
              <w:t>“Strategic Supplier”</w:t>
            </w:r>
          </w:p>
        </w:tc>
        <w:tc>
          <w:tcPr>
            <w:tcW w:w="5952" w:type="dxa"/>
          </w:tcPr>
          <w:p w14:paraId="00000021" w14:textId="31129A2B" w:rsidR="00AD2441" w:rsidRDefault="00D842E1">
            <w:pPr>
              <w:pBdr>
                <w:top w:val="nil"/>
                <w:left w:val="nil"/>
                <w:bottom w:val="nil"/>
                <w:right w:val="nil"/>
                <w:between w:val="nil"/>
              </w:pBdr>
              <w:tabs>
                <w:tab w:val="left" w:pos="1134"/>
              </w:tabs>
              <w:spacing w:before="120" w:after="120"/>
              <w:ind w:left="644" w:hanging="1004"/>
              <w:jc w:val="left"/>
              <w:rPr>
                <w:rFonts w:ascii="Arial" w:eastAsia="Arial" w:hAnsi="Arial"/>
                <w:color w:val="000000"/>
                <w:sz w:val="24"/>
                <w:szCs w:val="24"/>
              </w:rPr>
            </w:pPr>
            <w:r>
              <w:rPr>
                <w:rFonts w:ascii="Arial" w:eastAsia="Arial" w:hAnsi="Arial"/>
                <w:sz w:val="24"/>
                <w:szCs w:val="24"/>
              </w:rPr>
              <w:t xml:space="preserve">    </w:t>
            </w:r>
            <w:r>
              <w:rPr>
                <w:rFonts w:ascii="Arial" w:eastAsia="Arial" w:hAnsi="Arial"/>
                <w:color w:val="000000"/>
                <w:sz w:val="24"/>
                <w:szCs w:val="24"/>
              </w:rPr>
              <w:t>means those suppliers to government listed at</w:t>
            </w:r>
            <w:r w:rsidR="00AD2C4C">
              <w:rPr>
                <w:rFonts w:ascii="Arial" w:eastAsia="Arial" w:hAnsi="Arial"/>
                <w:color w:val="000000"/>
                <w:sz w:val="24"/>
                <w:szCs w:val="24"/>
              </w:rPr>
              <w:t xml:space="preserve"> </w:t>
            </w:r>
            <w:hyperlink r:id="rId8" w:history="1">
              <w:r w:rsidR="00AD2C4C" w:rsidRPr="002575C5">
                <w:rPr>
                  <w:rStyle w:val="Hyperlink"/>
                  <w:rFonts w:ascii="Arial" w:eastAsia="Arial" w:hAnsi="Arial"/>
                  <w:sz w:val="24"/>
                  <w:szCs w:val="24"/>
                </w:rPr>
                <w:t>https://www.gov.uk/government/publications/strategic-suppliers</w:t>
              </w:r>
            </w:hyperlink>
            <w:r>
              <w:rPr>
                <w:rFonts w:ascii="Arial" w:eastAsia="Arial" w:hAnsi="Arial"/>
                <w:color w:val="000000"/>
                <w:sz w:val="24"/>
                <w:szCs w:val="24"/>
              </w:rPr>
              <w:t>.</w:t>
            </w:r>
          </w:p>
        </w:tc>
      </w:tr>
    </w:tbl>
    <w:p w14:paraId="00000022" w14:textId="77777777" w:rsidR="00AD2441" w:rsidRDefault="00D842E1">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r>
        <w:rPr>
          <w:rFonts w:ascii="Arial" w:eastAsia="Arial" w:hAnsi="Arial"/>
          <w:color w:val="000000"/>
          <w:sz w:val="24"/>
          <w:szCs w:val="24"/>
        </w:rPr>
        <w:t>The Parties shall comply with the provisions of this Schedule in relation to the assessment of the financial standing of the FDE Group and the consequences of a change to that financial standing.</w:t>
      </w:r>
    </w:p>
    <w:p w14:paraId="00000023" w14:textId="77777777" w:rsidR="00AD2441" w:rsidRDefault="00D842E1">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r>
        <w:rPr>
          <w:rFonts w:ascii="Arial" w:eastAsia="Arial" w:hAnsi="Arial"/>
          <w:color w:val="000000"/>
          <w:sz w:val="24"/>
          <w:szCs w:val="24"/>
        </w:rPr>
        <w:t>The terms of this Schedule shall survive: </w:t>
      </w:r>
    </w:p>
    <w:p w14:paraId="00000024"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00000025"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under the Call-Off Contract until the termination or expiry of the Call-Off Contract.</w:t>
      </w:r>
    </w:p>
    <w:p w14:paraId="00000026" w14:textId="77777777" w:rsidR="00AD2441" w:rsidRDefault="00AD2441">
      <w:pPr>
        <w:pBdr>
          <w:top w:val="nil"/>
          <w:left w:val="nil"/>
          <w:bottom w:val="nil"/>
          <w:right w:val="nil"/>
          <w:between w:val="nil"/>
        </w:pBdr>
        <w:tabs>
          <w:tab w:val="left" w:pos="1134"/>
        </w:tabs>
        <w:spacing w:before="120" w:after="120"/>
        <w:ind w:left="936" w:hanging="1004"/>
        <w:jc w:val="left"/>
        <w:rPr>
          <w:rFonts w:ascii="Arial Bold" w:eastAsia="Arial Bold" w:hAnsi="Arial Bold" w:cs="Arial Bold"/>
          <w:color w:val="000000"/>
          <w:sz w:val="24"/>
          <w:szCs w:val="24"/>
        </w:rPr>
      </w:pPr>
    </w:p>
    <w:p w14:paraId="00000027" w14:textId="77777777" w:rsidR="00AD2441" w:rsidRDefault="00D842E1">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Warranties and duty to notify</w:t>
      </w:r>
    </w:p>
    <w:p w14:paraId="00000028" w14:textId="77777777" w:rsidR="00AD2441" w:rsidRDefault="00D842E1" w:rsidP="00AD2C4C">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warrants and represents to the Relevant Authority for the benefit of the Relevant Authority that as at the Effective Date:</w:t>
      </w:r>
    </w:p>
    <w:p w14:paraId="00000029" w14:textId="41583920"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the long term credit ratings issued for each entity in the FDE Group by each of the Rating Agencies are as set out in Annex 2 to this Schedule; </w:t>
      </w:r>
      <w:sdt>
        <w:sdtPr>
          <w:tag w:val="goog_rdk_0"/>
          <w:id w:val="1907409755"/>
        </w:sdtPr>
        <w:sdtEndPr/>
        <w:sdtContent/>
      </w:sdt>
      <w:sdt>
        <w:sdtPr>
          <w:tag w:val="goog_rdk_1"/>
          <w:id w:val="-617913825"/>
        </w:sdtPr>
        <w:sdtEndPr/>
        <w:sdtContent/>
      </w:sdt>
      <w:r>
        <w:rPr>
          <w:rFonts w:ascii="Arial" w:eastAsia="Arial" w:hAnsi="Arial"/>
          <w:color w:val="000000"/>
          <w:sz w:val="24"/>
          <w:szCs w:val="24"/>
        </w:rPr>
        <w:t>an</w:t>
      </w:r>
    </w:p>
    <w:p w14:paraId="0000002A"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financial position or, as appropriate, the financial performance of each of the Supplier, Guarantor and Key Sub-contractors satisfies the Financial Target Thresholds.</w:t>
      </w:r>
    </w:p>
    <w:p w14:paraId="0000002B"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0000002C"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w:t>
      </w:r>
    </w:p>
    <w:p w14:paraId="0000002D"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regularly monitor the credit ratings of each entity in the FDE Group with the Rating Agencies;</w:t>
      </w:r>
    </w:p>
    <w:p w14:paraId="0000002E"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monitor and report on the Financial Indicators for each entity in the FDE Group against the Financial Target Thresholds at least at the frequency set out for each at Paragraph 5.1 (where </w:t>
      </w:r>
      <w:r>
        <w:rPr>
          <w:rFonts w:ascii="Arial" w:eastAsia="Arial" w:hAnsi="Arial"/>
          <w:color w:val="000000"/>
          <w:sz w:val="24"/>
          <w:szCs w:val="24"/>
        </w:rPr>
        <w:lastRenderedPageBreak/>
        <w:t>specified) and in any event, on a regular basis and no less than once a year within ninety (90) days after the Accounting Reference Date; and</w:t>
      </w:r>
    </w:p>
    <w:p w14:paraId="0000002F"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00000030"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00000031"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Each report submitted by the Supplier pursuant to paragraph 2.3.2 shall:</w:t>
      </w:r>
    </w:p>
    <w:p w14:paraId="00000032"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be a single report with separate sections for each of the FDE Group entities;</w:t>
      </w:r>
    </w:p>
    <w:p w14:paraId="00000033"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contain a sufficient level of information to enable the Relevant Authority to verify the calculations that have been made in respect of the Financial Indicators;</w:t>
      </w:r>
    </w:p>
    <w:p w14:paraId="00000034"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include key financial and other supporting information (including any accounts data that has been relied on) as separate annexes;</w:t>
      </w:r>
    </w:p>
    <w:p w14:paraId="00000035"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00000036"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include a history of the Financial Indicators reported by the Supplier in graph form to enable the Relevant Authority to easily analyse and assess the trends in financial performance.</w:t>
      </w:r>
    </w:p>
    <w:p w14:paraId="00000037" w14:textId="77777777" w:rsidR="00AD2441" w:rsidRDefault="00D842E1">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Distress events</w:t>
      </w:r>
    </w:p>
    <w:p w14:paraId="00000038"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following shall be Financial Distress Events:</w:t>
      </w:r>
    </w:p>
    <w:p w14:paraId="00000039"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credit rating of an FDE Group entity dropping below the applicable Credit Rating Threshold;</w:t>
      </w:r>
    </w:p>
    <w:p w14:paraId="0000003A"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 FDE Group entity issuing a profits warning to a stock exchange or making any other public announcement, in each case about a material deterioration in its financial position or prospects;</w:t>
      </w:r>
    </w:p>
    <w:p w14:paraId="0000003B"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lastRenderedPageBreak/>
        <w:t>there being a public investigation into improper financial accounting and reporting, suspected fraud or any other impropriety of an FDE Group entity;</w:t>
      </w:r>
    </w:p>
    <w:p w14:paraId="0000003C"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 FDE Group entity committing a material breach of covenant to its lenders;</w:t>
      </w:r>
    </w:p>
    <w:p w14:paraId="0000003D"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 Key Sub-contractor notifying CCS or the Buyer that the Supplier has not satisfied any material sums properly due under a specified invoice and not subject to a genuine dispute;</w:t>
      </w:r>
    </w:p>
    <w:p w14:paraId="0000003E"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any of the following:</w:t>
      </w:r>
    </w:p>
    <w:p w14:paraId="0000003F" w14:textId="77777777" w:rsidR="00AD2441" w:rsidRDefault="00D842E1">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00000040" w14:textId="77777777" w:rsidR="00AD2441" w:rsidRDefault="00D842E1">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non-payment by an FDE Group entity of any financial indebtedness;</w:t>
      </w:r>
    </w:p>
    <w:p w14:paraId="00000041" w14:textId="77777777" w:rsidR="00AD2441" w:rsidRDefault="00D842E1">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any financial indebtedness of an FDE Group entity becoming due as a result of an event of default;</w:t>
      </w:r>
    </w:p>
    <w:p w14:paraId="00000042" w14:textId="77777777" w:rsidR="00AD2441" w:rsidRDefault="00D842E1">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the cancellation or suspension of any financial indebtedness in respect of an FDE Group entity; or</w:t>
      </w:r>
    </w:p>
    <w:p w14:paraId="00000043" w14:textId="77777777" w:rsidR="00AD2441" w:rsidRDefault="00D842E1">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the external auditor of an FDE Group entity expressing a qualified opinion on, or including an emphasis of matter in, its opinion on the statutory accounts of that FDE entity;</w:t>
      </w:r>
    </w:p>
    <w:p w14:paraId="00000044" w14:textId="77777777" w:rsidR="00AD2441" w:rsidRDefault="00D842E1">
      <w:pPr>
        <w:pBdr>
          <w:top w:val="nil"/>
          <w:left w:val="nil"/>
          <w:bottom w:val="nil"/>
          <w:right w:val="nil"/>
          <w:between w:val="nil"/>
        </w:pBdr>
        <w:tabs>
          <w:tab w:val="left" w:pos="1985"/>
        </w:tabs>
        <w:spacing w:before="120" w:after="120"/>
        <w:ind w:left="2466" w:hanging="720"/>
        <w:rPr>
          <w:rFonts w:ascii="Arial" w:eastAsia="Arial" w:hAnsi="Arial"/>
          <w:color w:val="000000"/>
          <w:sz w:val="24"/>
          <w:szCs w:val="24"/>
        </w:rPr>
      </w:pPr>
      <w:r>
        <w:rPr>
          <w:rFonts w:ascii="Arial" w:eastAsia="Arial" w:hAnsi="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00000045" w14:textId="77777777" w:rsidR="00AD2441" w:rsidRDefault="00D842E1">
      <w:pPr>
        <w:numPr>
          <w:ilvl w:val="2"/>
          <w:numId w:val="2"/>
        </w:numPr>
        <w:pBdr>
          <w:top w:val="nil"/>
          <w:left w:val="nil"/>
          <w:bottom w:val="nil"/>
          <w:right w:val="nil"/>
          <w:between w:val="nil"/>
        </w:pBdr>
        <w:tabs>
          <w:tab w:val="left" w:pos="1985"/>
        </w:tabs>
        <w:spacing w:before="120" w:after="120"/>
        <w:rPr>
          <w:b/>
          <w:color w:val="000000"/>
        </w:rPr>
      </w:pPr>
      <w:r>
        <w:rPr>
          <w:rFonts w:ascii="Arial" w:eastAsia="Arial" w:hAnsi="Arial"/>
          <w:color w:val="000000"/>
          <w:sz w:val="24"/>
          <w:szCs w:val="24"/>
        </w:rPr>
        <w:t>any [one] of the Financial Indicators set out at Paragraph 5 for any of the FDE Group entities failing to meet the required Financial Target Threshold.</w:t>
      </w:r>
    </w:p>
    <w:p w14:paraId="00000046" w14:textId="77777777" w:rsidR="00AD2441" w:rsidRDefault="00D842E1">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smallCaps/>
          <w:color w:val="000000"/>
          <w:sz w:val="24"/>
          <w:szCs w:val="24"/>
        </w:rPr>
      </w:pPr>
      <w:r>
        <w:rPr>
          <w:rFonts w:ascii="Arial Bold" w:eastAsia="Arial Bold" w:hAnsi="Arial Bold" w:cs="Arial Bold"/>
          <w:b/>
          <w:color w:val="000000"/>
          <w:sz w:val="24"/>
          <w:szCs w:val="24"/>
        </w:rPr>
        <w:t>Consequences</w:t>
      </w:r>
      <w:r>
        <w:rPr>
          <w:rFonts w:ascii="Arial Bold" w:eastAsia="Arial Bold" w:hAnsi="Arial Bold" w:cs="Arial Bold"/>
          <w:color w:val="000000"/>
          <w:sz w:val="24"/>
          <w:szCs w:val="24"/>
        </w:rPr>
        <w:t xml:space="preserve"> of Financial Distress Events</w:t>
      </w:r>
    </w:p>
    <w:p w14:paraId="00000047"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00000048"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00000049"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rectify such late or non-payment; or</w:t>
      </w:r>
    </w:p>
    <w:p w14:paraId="0000004A"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demonstrate to the Relevant Authority’s reasonable satisfaction that there is a valid reason for late or non-payment.</w:t>
      </w:r>
    </w:p>
    <w:p w14:paraId="0000004B"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lastRenderedPageBreak/>
        <w:t>The Supplier shall (and shall procure that any Monitored Supplier, the Guarantor and/or any relevant Key Sub-contractor shall):</w:t>
      </w:r>
    </w:p>
    <w:p w14:paraId="0000004C"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0000004D"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0000004E" w14:textId="77777777" w:rsidR="00AD2441" w:rsidRDefault="00D842E1">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0000004F" w14:textId="77777777" w:rsidR="00AD2441" w:rsidRDefault="00D842E1">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00000050"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00000051"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 xml:space="preserve">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w:t>
      </w:r>
      <w:r>
        <w:rPr>
          <w:rFonts w:ascii="Arial" w:eastAsia="Arial" w:hAnsi="Arial"/>
          <w:color w:val="000000"/>
          <w:sz w:val="24"/>
          <w:szCs w:val="24"/>
        </w:rPr>
        <w:lastRenderedPageBreak/>
        <w:t>Remediation Plan using the Dispute Resolution Procedure in Clause 34 of the Core Terms.</w:t>
      </w:r>
    </w:p>
    <w:p w14:paraId="00000052"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Following approval of the Financial Distress Remediation Plan by the Relevant Authority, the Supplier shall:</w:t>
      </w:r>
    </w:p>
    <w:p w14:paraId="00000053"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on a regular basis (which shall not be less than fortnightly):</w:t>
      </w:r>
    </w:p>
    <w:p w14:paraId="00000054" w14:textId="77777777" w:rsidR="00AD2441" w:rsidRDefault="00D842E1">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00000055" w14:textId="77777777" w:rsidR="00AD2441" w:rsidRDefault="00D842E1">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00000056"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00000057"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00000058"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00000059"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0000005A"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obtaining in advance written authority from Key Sub-contractors, the </w:t>
      </w:r>
      <w:bookmarkStart w:id="2" w:name="_GoBack"/>
      <w:r>
        <w:rPr>
          <w:rFonts w:ascii="Arial" w:eastAsia="Arial" w:hAnsi="Arial"/>
          <w:color w:val="000000"/>
          <w:sz w:val="24"/>
          <w:szCs w:val="24"/>
        </w:rPr>
        <w:t>Guar</w:t>
      </w:r>
      <w:bookmarkEnd w:id="2"/>
      <w:r>
        <w:rPr>
          <w:rFonts w:ascii="Arial" w:eastAsia="Arial" w:hAnsi="Arial"/>
          <w:color w:val="000000"/>
          <w:sz w:val="24"/>
          <w:szCs w:val="24"/>
        </w:rPr>
        <w:t>antor and/or Monitored Suppliers authorising the disclosure of the information to the Buyer and/or entering into confidentiality agreements which permit disclosure;</w:t>
      </w:r>
    </w:p>
    <w:p w14:paraId="0000005B"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agreeing in advance with the Relevant Authority, Key Sub-contractors, the Guarantor and/or Monitored Suppliers a form of confidentiality agreement to be entered by the relevant </w:t>
      </w:r>
      <w:r>
        <w:rPr>
          <w:rFonts w:ascii="Arial" w:eastAsia="Arial" w:hAnsi="Arial"/>
          <w:color w:val="000000"/>
          <w:sz w:val="24"/>
          <w:szCs w:val="24"/>
        </w:rPr>
        <w:lastRenderedPageBreak/>
        <w:t>parties to enable the disclosure of the information to the Relevant Authority;</w:t>
      </w:r>
    </w:p>
    <w:p w14:paraId="0000005C"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0000005D"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0000005E" w14:textId="77777777" w:rsidR="00AD2441" w:rsidRDefault="00D842E1">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Indicators</w:t>
      </w:r>
    </w:p>
    <w:p w14:paraId="0000005F" w14:textId="1BC67959" w:rsidR="00AD2441" w:rsidRDefault="00D842E1">
      <w:pPr>
        <w:rPr>
          <w:rFonts w:ascii="Arial" w:eastAsia="Arial" w:hAnsi="Arial"/>
          <w:sz w:val="24"/>
          <w:szCs w:val="24"/>
          <w:highlight w:val="yellow"/>
        </w:rPr>
      </w:pPr>
      <w:r>
        <w:rPr>
          <w:rFonts w:ascii="Arial" w:eastAsia="Arial" w:hAnsi="Arial"/>
          <w:sz w:val="24"/>
          <w:szCs w:val="24"/>
          <w:highlight w:val="yellow"/>
        </w:rPr>
        <w:t>[</w:t>
      </w:r>
      <w:r>
        <w:rPr>
          <w:rFonts w:ascii="Arial" w:eastAsia="Arial" w:hAnsi="Arial"/>
          <w:b/>
          <w:sz w:val="24"/>
          <w:szCs w:val="24"/>
          <w:highlight w:val="yellow"/>
        </w:rPr>
        <w:t>Buyer Guidance</w:t>
      </w:r>
      <w:r>
        <w:rPr>
          <w:rFonts w:ascii="Arial" w:eastAsia="Arial" w:hAnsi="Arial"/>
          <w:sz w:val="24"/>
          <w:szCs w:val="24"/>
          <w:highlight w:val="yellow"/>
        </w:rPr>
        <w:t>: The Financial Indicators set out in the table at paragraph 5.1 are established at Framework level to satisfy Cabinet Office Contract Tiering Tool requirements. For the purposes of your call off activity you may check that the original assessment of the indicators remains valid, but you may not re-run those assessments. You may also opt to ask the Supplier to monitor themselves according to some, rather than all, of the indicators in accordance with your internal procedures but you should not introduce new indicators or amend those set out below. Please take your own legal advice if you are uncertain how to proceed.]</w:t>
      </w:r>
    </w:p>
    <w:p w14:paraId="00000060"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AD2441" w14:paraId="3BACBF1A" w14:textId="77777777">
        <w:tc>
          <w:tcPr>
            <w:tcW w:w="2253" w:type="dxa"/>
            <w:shd w:val="clear" w:color="auto" w:fill="D9D9D9"/>
            <w:vAlign w:val="center"/>
          </w:tcPr>
          <w:p w14:paraId="00000061" w14:textId="77777777" w:rsidR="00AD2441" w:rsidRDefault="00D842E1">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Financial Indicator</w:t>
            </w:r>
          </w:p>
        </w:tc>
        <w:tc>
          <w:tcPr>
            <w:tcW w:w="1977" w:type="dxa"/>
            <w:shd w:val="clear" w:color="auto" w:fill="D9D9D9"/>
            <w:vAlign w:val="center"/>
          </w:tcPr>
          <w:p w14:paraId="00000062" w14:textId="77777777" w:rsidR="00AD2441" w:rsidRDefault="00D842E1">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Calculation</w:t>
            </w:r>
            <w:r>
              <w:rPr>
                <w:rFonts w:ascii="Arial" w:eastAsia="Arial" w:hAnsi="Arial"/>
                <w:b/>
                <w:color w:val="000000"/>
                <w:sz w:val="24"/>
                <w:szCs w:val="24"/>
                <w:vertAlign w:val="superscript"/>
              </w:rPr>
              <w:t>1</w:t>
            </w:r>
          </w:p>
        </w:tc>
        <w:tc>
          <w:tcPr>
            <w:tcW w:w="1697" w:type="dxa"/>
            <w:shd w:val="clear" w:color="auto" w:fill="D9D9D9"/>
            <w:vAlign w:val="center"/>
          </w:tcPr>
          <w:p w14:paraId="00000063" w14:textId="77777777" w:rsidR="00AD2441" w:rsidRDefault="00D842E1">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Financial Target Threshold:</w:t>
            </w:r>
          </w:p>
        </w:tc>
        <w:tc>
          <w:tcPr>
            <w:tcW w:w="3089" w:type="dxa"/>
            <w:shd w:val="clear" w:color="auto" w:fill="D9D9D9"/>
            <w:vAlign w:val="center"/>
          </w:tcPr>
          <w:p w14:paraId="00000064" w14:textId="77777777" w:rsidR="00AD2441" w:rsidRDefault="00D842E1">
            <w:pPr>
              <w:pBdr>
                <w:top w:val="nil"/>
                <w:left w:val="nil"/>
                <w:bottom w:val="nil"/>
                <w:right w:val="nil"/>
                <w:between w:val="nil"/>
              </w:pBdr>
              <w:spacing w:before="100" w:after="200"/>
              <w:jc w:val="center"/>
              <w:rPr>
                <w:rFonts w:ascii="Arial" w:eastAsia="Arial" w:hAnsi="Arial"/>
                <w:b/>
                <w:color w:val="000000"/>
                <w:sz w:val="24"/>
                <w:szCs w:val="24"/>
              </w:rPr>
            </w:pPr>
            <w:bookmarkStart w:id="3" w:name="_heading=h.1ci93xb" w:colFirst="0" w:colLast="0"/>
            <w:bookmarkEnd w:id="3"/>
            <w:r>
              <w:rPr>
                <w:rFonts w:ascii="Arial" w:eastAsia="Arial" w:hAnsi="Arial"/>
                <w:b/>
                <w:color w:val="000000"/>
                <w:sz w:val="24"/>
                <w:szCs w:val="24"/>
              </w:rPr>
              <w:t>Monitoring and Reporting Frequency</w:t>
            </w:r>
          </w:p>
        </w:tc>
      </w:tr>
      <w:tr w:rsidR="006C3FBD" w14:paraId="6D2C0F40" w14:textId="77777777">
        <w:tc>
          <w:tcPr>
            <w:tcW w:w="2253" w:type="dxa"/>
            <w:vAlign w:val="center"/>
          </w:tcPr>
          <w:p w14:paraId="638A28F4" w14:textId="77777777" w:rsidR="006C3FBD" w:rsidRPr="0017561C" w:rsidRDefault="006C3FBD" w:rsidP="006C3FBD">
            <w:pPr>
              <w:pStyle w:val="StdBodyTextBold"/>
              <w:rPr>
                <w:color w:val="000000" w:themeColor="text1"/>
              </w:rPr>
            </w:pPr>
            <w:r w:rsidRPr="0017561C">
              <w:rPr>
                <w:color w:val="000000" w:themeColor="text1"/>
              </w:rPr>
              <w:t>1</w:t>
            </w:r>
          </w:p>
          <w:p w14:paraId="46520EF4" w14:textId="77777777" w:rsidR="006C3FBD" w:rsidRPr="0017561C" w:rsidRDefault="006C3FBD" w:rsidP="006C3FBD">
            <w:pPr>
              <w:pStyle w:val="StdBodyText"/>
              <w:rPr>
                <w:b/>
              </w:rPr>
            </w:pPr>
            <w:r w:rsidRPr="0017561C">
              <w:rPr>
                <w:b/>
              </w:rPr>
              <w:t>Turnover ratio</w:t>
            </w:r>
          </w:p>
          <w:p w14:paraId="00000067" w14:textId="77777777" w:rsidR="006C3FBD"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p>
        </w:tc>
        <w:tc>
          <w:tcPr>
            <w:tcW w:w="1977" w:type="dxa"/>
            <w:vAlign w:val="center"/>
          </w:tcPr>
          <w:p w14:paraId="00000068" w14:textId="0D7AECE7"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6C3FBD">
              <w:rPr>
                <w:rFonts w:ascii="Arial" w:eastAsia="Arial" w:hAnsi="Arial"/>
                <w:i/>
                <w:color w:val="000000"/>
                <w:sz w:val="24"/>
                <w:szCs w:val="24"/>
              </w:rPr>
              <w:t xml:space="preserve">[Turnover Ratio = Total </w:t>
            </w:r>
            <w:r w:rsidRPr="006C3FBD">
              <w:rPr>
                <w:rFonts w:ascii="Arial" w:eastAsia="Arial" w:hAnsi="Arial"/>
                <w:color w:val="000000"/>
                <w:sz w:val="24"/>
                <w:szCs w:val="24"/>
              </w:rPr>
              <w:t>Income/</w:t>
            </w:r>
            <w:r w:rsidRPr="006C3FBD">
              <w:rPr>
                <w:rFonts w:ascii="Arial" w:eastAsia="Arial" w:hAnsi="Arial"/>
                <w:i/>
                <w:color w:val="000000"/>
                <w:sz w:val="24"/>
                <w:szCs w:val="24"/>
              </w:rPr>
              <w:t>Annual Contract Value]</w:t>
            </w:r>
          </w:p>
        </w:tc>
        <w:tc>
          <w:tcPr>
            <w:tcW w:w="1697" w:type="dxa"/>
            <w:vAlign w:val="center"/>
          </w:tcPr>
          <w:p w14:paraId="00000069" w14:textId="3AA41864"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6C3FBD">
              <w:rPr>
                <w:rFonts w:ascii="Arial" w:eastAsia="Arial" w:hAnsi="Arial"/>
                <w:i/>
                <w:color w:val="000000"/>
                <w:sz w:val="24"/>
                <w:szCs w:val="24"/>
              </w:rPr>
              <w:t>&gt; 1.5 times</w:t>
            </w:r>
          </w:p>
        </w:tc>
        <w:tc>
          <w:tcPr>
            <w:tcW w:w="3089" w:type="dxa"/>
            <w:vAlign w:val="center"/>
          </w:tcPr>
          <w:p w14:paraId="0000006A" w14:textId="4F8BE11A"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6C3FBD">
              <w:rPr>
                <w:rFonts w:ascii="Arial" w:eastAsia="Arial" w:hAnsi="Arial"/>
                <w:i/>
                <w:color w:val="000000"/>
                <w:sz w:val="24"/>
                <w:szCs w:val="24"/>
              </w:rPr>
              <w:t>Tested and reported [yearly] in arrears within [90] days of each [accounting reference date] based upon figures for the 12 months ending on the relevant [accounting reference date]</w:t>
            </w:r>
          </w:p>
        </w:tc>
      </w:tr>
      <w:tr w:rsidR="006C3FBD" w14:paraId="4E51FD0A" w14:textId="77777777">
        <w:tc>
          <w:tcPr>
            <w:tcW w:w="2253" w:type="dxa"/>
            <w:vAlign w:val="center"/>
          </w:tcPr>
          <w:p w14:paraId="0460FABD" w14:textId="77777777" w:rsidR="006C3FBD" w:rsidRPr="00F42E5A"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r w:rsidRPr="00F42E5A">
              <w:rPr>
                <w:rFonts w:ascii="Arial" w:eastAsia="Arial" w:hAnsi="Arial"/>
                <w:b/>
                <w:color w:val="000000"/>
                <w:sz w:val="24"/>
                <w:szCs w:val="24"/>
              </w:rPr>
              <w:t>2</w:t>
            </w:r>
          </w:p>
          <w:p w14:paraId="177FE7CC" w14:textId="77777777" w:rsidR="006C3FBD" w:rsidRPr="00F42E5A"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r w:rsidRPr="00F42E5A">
              <w:rPr>
                <w:rFonts w:ascii="Arial" w:eastAsia="Arial" w:hAnsi="Arial"/>
                <w:b/>
                <w:color w:val="000000"/>
                <w:sz w:val="24"/>
                <w:szCs w:val="24"/>
              </w:rPr>
              <w:t>[Operating Margin]</w:t>
            </w:r>
          </w:p>
          <w:p w14:paraId="0000006B" w14:textId="44477504" w:rsidR="006C3FBD"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p>
        </w:tc>
        <w:tc>
          <w:tcPr>
            <w:tcW w:w="1977" w:type="dxa"/>
            <w:vAlign w:val="center"/>
          </w:tcPr>
          <w:p w14:paraId="0000006C" w14:textId="24608A81"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[Operating Margin = Operating Profit / Revenue]</w:t>
            </w:r>
          </w:p>
        </w:tc>
        <w:tc>
          <w:tcPr>
            <w:tcW w:w="1697" w:type="dxa"/>
            <w:vAlign w:val="center"/>
          </w:tcPr>
          <w:p w14:paraId="0000006E" w14:textId="5F27B8DD"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&gt; 5%</w:t>
            </w:r>
          </w:p>
        </w:tc>
        <w:tc>
          <w:tcPr>
            <w:tcW w:w="3089" w:type="dxa"/>
            <w:vAlign w:val="center"/>
          </w:tcPr>
          <w:p w14:paraId="0000006F" w14:textId="010B73F3"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 xml:space="preserve">Tested and reported [yearly] in arrears within [90] days of each [accounting reference date] based upon figures for the 12 months ending on the relevant </w:t>
            </w:r>
            <w:r w:rsidRPr="00F42E5A">
              <w:rPr>
                <w:rFonts w:ascii="Arial" w:eastAsia="Arial" w:hAnsi="Arial"/>
                <w:i/>
                <w:color w:val="000000"/>
                <w:sz w:val="24"/>
                <w:szCs w:val="24"/>
              </w:rPr>
              <w:lastRenderedPageBreak/>
              <w:t>[accounting reference date]</w:t>
            </w:r>
          </w:p>
        </w:tc>
      </w:tr>
      <w:tr w:rsidR="006C3FBD" w14:paraId="3A654CF6" w14:textId="77777777">
        <w:tc>
          <w:tcPr>
            <w:tcW w:w="2253" w:type="dxa"/>
            <w:vAlign w:val="center"/>
          </w:tcPr>
          <w:p w14:paraId="58D1D62F" w14:textId="77777777" w:rsidR="006C3FBD" w:rsidRPr="00F42E5A"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r w:rsidRPr="00F42E5A">
              <w:rPr>
                <w:rFonts w:ascii="Arial" w:eastAsia="Arial" w:hAnsi="Arial"/>
                <w:b/>
                <w:color w:val="000000"/>
                <w:sz w:val="24"/>
                <w:szCs w:val="24"/>
              </w:rPr>
              <w:lastRenderedPageBreak/>
              <w:t>3</w:t>
            </w:r>
          </w:p>
          <w:p w14:paraId="00000071" w14:textId="0512A0A2" w:rsidR="006C3FBD"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r w:rsidRPr="00F42E5A">
              <w:rPr>
                <w:rFonts w:ascii="Arial" w:eastAsia="Arial" w:hAnsi="Arial"/>
                <w:b/>
                <w:color w:val="000000"/>
                <w:sz w:val="24"/>
                <w:szCs w:val="24"/>
              </w:rPr>
              <w:t>[Net Debt to EBITDA Ratio]</w:t>
            </w:r>
          </w:p>
        </w:tc>
        <w:tc>
          <w:tcPr>
            <w:tcW w:w="1977" w:type="dxa"/>
            <w:vAlign w:val="center"/>
          </w:tcPr>
          <w:p w14:paraId="00000072" w14:textId="0EF10AE0"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 xml:space="preserve"> [Net Debt to EBITDA ratio = Net Debt / EBITDA]</w:t>
            </w:r>
          </w:p>
        </w:tc>
        <w:tc>
          <w:tcPr>
            <w:tcW w:w="1697" w:type="dxa"/>
            <w:vAlign w:val="center"/>
          </w:tcPr>
          <w:p w14:paraId="00000073" w14:textId="5F2EA76A"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 xml:space="preserve"> &lt; 3.5 times</w:t>
            </w:r>
          </w:p>
        </w:tc>
        <w:tc>
          <w:tcPr>
            <w:tcW w:w="3089" w:type="dxa"/>
            <w:vAlign w:val="center"/>
          </w:tcPr>
          <w:p w14:paraId="00000074" w14:textId="64CF4DFD"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Tested and reported [yearly</w:t>
            </w:r>
            <w:r w:rsidRPr="00F42E5A">
              <w:rPr>
                <w:rFonts w:ascii="Arial" w:eastAsia="Arial" w:hAnsi="Arial"/>
                <w:i/>
                <w:color w:val="7030A0"/>
                <w:sz w:val="24"/>
                <w:szCs w:val="24"/>
              </w:rPr>
              <w:t xml:space="preserve">] </w:t>
            </w:r>
            <w:r w:rsidRPr="00F42E5A">
              <w:rPr>
                <w:rFonts w:ascii="Arial" w:eastAsia="Arial" w:hAnsi="Arial"/>
                <w:i/>
                <w:color w:val="000000"/>
                <w:sz w:val="24"/>
                <w:szCs w:val="24"/>
              </w:rPr>
              <w:t xml:space="preserve">in arrears within </w:t>
            </w:r>
            <w:r w:rsidRPr="00F42E5A">
              <w:rPr>
                <w:rFonts w:ascii="Arial" w:eastAsia="Arial" w:hAnsi="Arial"/>
                <w:i/>
                <w:color w:val="7030A0"/>
                <w:sz w:val="24"/>
                <w:szCs w:val="24"/>
              </w:rPr>
              <w:t>[</w:t>
            </w:r>
            <w:r w:rsidRPr="00F42E5A">
              <w:rPr>
                <w:rFonts w:ascii="Arial" w:eastAsia="Arial" w:hAnsi="Arial"/>
                <w:i/>
                <w:color w:val="000000"/>
                <w:sz w:val="24"/>
                <w:szCs w:val="24"/>
              </w:rPr>
              <w:t>90] days of each [accounting reference date</w:t>
            </w:r>
            <w:r w:rsidRPr="00F42E5A">
              <w:rPr>
                <w:rFonts w:ascii="Arial" w:eastAsia="Arial" w:hAnsi="Arial"/>
                <w:i/>
                <w:color w:val="7030A0"/>
                <w:sz w:val="24"/>
                <w:szCs w:val="24"/>
              </w:rPr>
              <w:t>]</w:t>
            </w:r>
            <w:r w:rsidRPr="00F42E5A">
              <w:rPr>
                <w:rFonts w:ascii="Arial" w:eastAsia="Arial" w:hAnsi="Arial"/>
                <w:i/>
                <w:color w:val="000000"/>
                <w:sz w:val="24"/>
                <w:szCs w:val="24"/>
              </w:rPr>
              <w:t xml:space="preserve"> based upon </w:t>
            </w:r>
            <w:r w:rsidRPr="00F42E5A">
              <w:rPr>
                <w:rFonts w:ascii="Arial" w:eastAsia="Arial" w:hAnsi="Arial"/>
                <w:i/>
                <w:color w:val="7030A0"/>
                <w:sz w:val="24"/>
                <w:szCs w:val="24"/>
              </w:rPr>
              <w:t>[</w:t>
            </w:r>
            <w:r w:rsidRPr="00F42E5A">
              <w:rPr>
                <w:rFonts w:ascii="Arial" w:eastAsia="Arial" w:hAnsi="Arial"/>
                <w:i/>
                <w:color w:val="000000"/>
                <w:sz w:val="24"/>
                <w:szCs w:val="24"/>
              </w:rPr>
              <w:t>EBITDA] for the 12 months ending on, and Net Debt at, the relevant [accounting reference date]</w:t>
            </w:r>
          </w:p>
        </w:tc>
      </w:tr>
      <w:tr w:rsidR="006C3FBD" w14:paraId="5B465B86" w14:textId="77777777">
        <w:tc>
          <w:tcPr>
            <w:tcW w:w="2253" w:type="dxa"/>
            <w:vAlign w:val="center"/>
          </w:tcPr>
          <w:p w14:paraId="2C95F300" w14:textId="77777777" w:rsidR="006C3FBD" w:rsidRPr="00F42E5A"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r w:rsidRPr="00F42E5A">
              <w:rPr>
                <w:rFonts w:ascii="Arial" w:eastAsia="Arial" w:hAnsi="Arial"/>
                <w:b/>
                <w:color w:val="000000"/>
                <w:sz w:val="24"/>
                <w:szCs w:val="24"/>
              </w:rPr>
              <w:t>4</w:t>
            </w:r>
          </w:p>
          <w:p w14:paraId="00000076" w14:textId="0F9807D1" w:rsidR="006C3FBD"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r w:rsidRPr="00F42E5A">
              <w:rPr>
                <w:rFonts w:ascii="Arial" w:eastAsia="Arial" w:hAnsi="Arial"/>
                <w:b/>
                <w:color w:val="000000"/>
                <w:sz w:val="24"/>
                <w:szCs w:val="24"/>
              </w:rPr>
              <w:t>[Net Debt + Net Pension Deficit to EBITDA ratio]</w:t>
            </w:r>
          </w:p>
        </w:tc>
        <w:tc>
          <w:tcPr>
            <w:tcW w:w="1977" w:type="dxa"/>
            <w:vAlign w:val="center"/>
          </w:tcPr>
          <w:p w14:paraId="00000077" w14:textId="380FE934"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[Net Debt + Net Pension Deficit to EBITDA Ratio = (Net Debt + Net Pension Deficit) / EBITDA]</w:t>
            </w:r>
          </w:p>
        </w:tc>
        <w:tc>
          <w:tcPr>
            <w:tcW w:w="1697" w:type="dxa"/>
            <w:vAlign w:val="center"/>
          </w:tcPr>
          <w:p w14:paraId="00000078" w14:textId="142E5704"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&lt; 5 times</w:t>
            </w:r>
          </w:p>
        </w:tc>
        <w:tc>
          <w:tcPr>
            <w:tcW w:w="3089" w:type="dxa"/>
            <w:vAlign w:val="center"/>
          </w:tcPr>
          <w:p w14:paraId="00000079" w14:textId="1AFD39A8"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 xml:space="preserve">Tested and reported yearly in arrears within </w:t>
            </w:r>
            <w:r w:rsidRPr="00F42E5A">
              <w:rPr>
                <w:rFonts w:ascii="Arial" w:eastAsia="Arial" w:hAnsi="Arial"/>
                <w:i/>
                <w:color w:val="000000"/>
                <w:sz w:val="24"/>
                <w:szCs w:val="24"/>
              </w:rPr>
              <w:t xml:space="preserve">90 </w:t>
            </w:r>
            <w:r>
              <w:rPr>
                <w:rFonts w:ascii="Arial" w:eastAsia="Arial" w:hAnsi="Arial"/>
                <w:i/>
                <w:color w:val="000000"/>
                <w:sz w:val="24"/>
                <w:szCs w:val="24"/>
              </w:rPr>
              <w:t>days of each accounting reference date based upon EBITDA for the 12 months ending on, and the Net Debt and Net Pension Deficit at, the relevant accounting reference date</w:t>
            </w:r>
          </w:p>
        </w:tc>
      </w:tr>
      <w:tr w:rsidR="006C3FBD" w14:paraId="3531FB92" w14:textId="77777777">
        <w:tc>
          <w:tcPr>
            <w:tcW w:w="2253" w:type="dxa"/>
            <w:vAlign w:val="center"/>
          </w:tcPr>
          <w:p w14:paraId="42FAE309" w14:textId="77777777" w:rsidR="006C3FBD" w:rsidRPr="00F42E5A"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r w:rsidRPr="00F42E5A">
              <w:rPr>
                <w:rFonts w:ascii="Arial" w:eastAsia="Arial" w:hAnsi="Arial"/>
                <w:b/>
                <w:color w:val="000000"/>
                <w:sz w:val="24"/>
                <w:szCs w:val="24"/>
              </w:rPr>
              <w:t>5</w:t>
            </w:r>
          </w:p>
          <w:p w14:paraId="0000007B" w14:textId="2DE4A8E9" w:rsidR="006C3FBD"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r w:rsidRPr="00F42E5A">
              <w:rPr>
                <w:rFonts w:ascii="Arial" w:eastAsia="Arial" w:hAnsi="Arial"/>
                <w:b/>
                <w:color w:val="000000"/>
                <w:sz w:val="24"/>
                <w:szCs w:val="24"/>
              </w:rPr>
              <w:t>[Net Interest Paid Cover]</w:t>
            </w:r>
          </w:p>
        </w:tc>
        <w:tc>
          <w:tcPr>
            <w:tcW w:w="1977" w:type="dxa"/>
            <w:vAlign w:val="center"/>
          </w:tcPr>
          <w:p w14:paraId="0000007C" w14:textId="42722A9C"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[Net Interest Paid Cover = Earnings Before Interest and Tax / Net Interest Paid]</w:t>
            </w:r>
          </w:p>
        </w:tc>
        <w:tc>
          <w:tcPr>
            <w:tcW w:w="1697" w:type="dxa"/>
            <w:vAlign w:val="center"/>
          </w:tcPr>
          <w:p w14:paraId="0000007D" w14:textId="5F70631E"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&gt; 3 times</w:t>
            </w:r>
          </w:p>
        </w:tc>
        <w:tc>
          <w:tcPr>
            <w:tcW w:w="3089" w:type="dxa"/>
            <w:vAlign w:val="center"/>
          </w:tcPr>
          <w:p w14:paraId="0000007E" w14:textId="709E6282"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Tested and reported [yearly</w:t>
            </w:r>
            <w:r w:rsidRPr="00F42E5A">
              <w:rPr>
                <w:rFonts w:ascii="Arial" w:eastAsia="Arial" w:hAnsi="Arial"/>
                <w:i/>
                <w:color w:val="8064A2"/>
                <w:sz w:val="24"/>
                <w:szCs w:val="24"/>
              </w:rPr>
              <w:t xml:space="preserve">] </w:t>
            </w:r>
            <w:r w:rsidRPr="00F42E5A">
              <w:rPr>
                <w:rFonts w:ascii="Arial" w:eastAsia="Arial" w:hAnsi="Arial"/>
                <w:i/>
                <w:color w:val="000000"/>
                <w:sz w:val="24"/>
                <w:szCs w:val="24"/>
              </w:rPr>
              <w:t>in arrears within [90] days of each [accounting reference date] based upon figures for the 12 months ending on the relevant [accounting reference date]</w:t>
            </w:r>
          </w:p>
        </w:tc>
      </w:tr>
      <w:tr w:rsidR="006C3FBD" w14:paraId="598CEC59" w14:textId="77777777">
        <w:tc>
          <w:tcPr>
            <w:tcW w:w="2253" w:type="dxa"/>
            <w:vAlign w:val="center"/>
          </w:tcPr>
          <w:p w14:paraId="3C51E337" w14:textId="77777777" w:rsidR="006C3FBD" w:rsidRPr="00F42E5A"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r w:rsidRPr="00F42E5A">
              <w:rPr>
                <w:rFonts w:ascii="Arial" w:eastAsia="Arial" w:hAnsi="Arial"/>
                <w:b/>
                <w:color w:val="000000"/>
                <w:sz w:val="24"/>
                <w:szCs w:val="24"/>
              </w:rPr>
              <w:t>6</w:t>
            </w:r>
          </w:p>
          <w:p w14:paraId="00000080" w14:textId="2C868681" w:rsidR="006C3FBD"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r w:rsidRPr="00F42E5A">
              <w:rPr>
                <w:rFonts w:ascii="Arial" w:eastAsia="Arial" w:hAnsi="Arial"/>
                <w:b/>
                <w:color w:val="000000"/>
                <w:sz w:val="24"/>
                <w:szCs w:val="24"/>
              </w:rPr>
              <w:t>[Acid Ratio]</w:t>
            </w:r>
          </w:p>
        </w:tc>
        <w:tc>
          <w:tcPr>
            <w:tcW w:w="1977" w:type="dxa"/>
            <w:vAlign w:val="center"/>
          </w:tcPr>
          <w:p w14:paraId="00000081" w14:textId="7B11CFE4"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[Acid Ratio = (Current Assets – Inventories) / Current Liabilities]</w:t>
            </w:r>
          </w:p>
        </w:tc>
        <w:tc>
          <w:tcPr>
            <w:tcW w:w="1697" w:type="dxa"/>
            <w:vAlign w:val="center"/>
          </w:tcPr>
          <w:p w14:paraId="00000082" w14:textId="2AED7CA7"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 xml:space="preserve">&gt; 1 </w:t>
            </w:r>
            <w:proofErr w:type="gramStart"/>
            <w:r w:rsidRPr="00F42E5A">
              <w:rPr>
                <w:rFonts w:ascii="Arial" w:eastAsia="Arial" w:hAnsi="Arial"/>
                <w:i/>
                <w:color w:val="000000"/>
                <w:sz w:val="24"/>
                <w:szCs w:val="24"/>
              </w:rPr>
              <w:t>times</w:t>
            </w:r>
            <w:proofErr w:type="gramEnd"/>
          </w:p>
        </w:tc>
        <w:tc>
          <w:tcPr>
            <w:tcW w:w="3089" w:type="dxa"/>
            <w:vAlign w:val="center"/>
          </w:tcPr>
          <w:p w14:paraId="00000083" w14:textId="7465935E"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Tested and reported [yearly] in arrears within [90] days of each [accounting reference date] based upon figures at the relevant [accounting reference date]</w:t>
            </w:r>
          </w:p>
        </w:tc>
      </w:tr>
      <w:tr w:rsidR="006C3FBD" w14:paraId="0E540A25" w14:textId="77777777">
        <w:tc>
          <w:tcPr>
            <w:tcW w:w="2253" w:type="dxa"/>
            <w:vAlign w:val="center"/>
          </w:tcPr>
          <w:p w14:paraId="05D34A96" w14:textId="77777777" w:rsidR="006C3FBD" w:rsidRPr="00F42E5A"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r w:rsidRPr="00F42E5A">
              <w:rPr>
                <w:rFonts w:ascii="Arial" w:eastAsia="Arial" w:hAnsi="Arial"/>
                <w:b/>
                <w:color w:val="000000"/>
                <w:sz w:val="24"/>
                <w:szCs w:val="24"/>
              </w:rPr>
              <w:t>7</w:t>
            </w:r>
          </w:p>
          <w:p w14:paraId="55DDB3E3" w14:textId="77777777" w:rsidR="006C3FBD" w:rsidRDefault="006C3FBD" w:rsidP="006C3FBD">
            <w:pPr>
              <w:pBdr>
                <w:top w:val="nil"/>
                <w:left w:val="nil"/>
                <w:bottom w:val="nil"/>
                <w:right w:val="nil"/>
                <w:between w:val="nil"/>
              </w:pBdr>
              <w:spacing w:before="100" w:after="200"/>
              <w:jc w:val="left"/>
              <w:rPr>
                <w:rFonts w:ascii="Arial" w:eastAsia="Arial" w:hAnsi="Arial"/>
                <w:b/>
                <w:color w:val="000000"/>
                <w:sz w:val="24"/>
                <w:szCs w:val="24"/>
              </w:rPr>
            </w:pPr>
            <w:r w:rsidRPr="00F42E5A">
              <w:rPr>
                <w:rFonts w:ascii="Arial" w:eastAsia="Arial" w:hAnsi="Arial"/>
                <w:b/>
                <w:color w:val="000000"/>
                <w:sz w:val="24"/>
                <w:szCs w:val="24"/>
              </w:rPr>
              <w:t>[Net Asset value]</w:t>
            </w:r>
          </w:p>
          <w:p w14:paraId="00000085" w14:textId="07E0CB23" w:rsidR="00924428" w:rsidRDefault="00924428" w:rsidP="006C3FBD">
            <w:pPr>
              <w:pBdr>
                <w:top w:val="nil"/>
                <w:left w:val="nil"/>
                <w:bottom w:val="nil"/>
                <w:right w:val="nil"/>
                <w:between w:val="nil"/>
              </w:pBdr>
              <w:spacing w:before="100" w:after="200"/>
              <w:jc w:val="left"/>
              <w:rPr>
                <w:rFonts w:ascii="Arial" w:eastAsia="Arial" w:hAnsi="Arial"/>
                <w:b/>
                <w:color w:val="000000"/>
                <w:sz w:val="24"/>
                <w:szCs w:val="24"/>
              </w:rPr>
            </w:pPr>
          </w:p>
        </w:tc>
        <w:tc>
          <w:tcPr>
            <w:tcW w:w="1977" w:type="dxa"/>
            <w:vAlign w:val="center"/>
          </w:tcPr>
          <w:p w14:paraId="00000086" w14:textId="704312A7"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[Net Asset Value = Net Assets]</w:t>
            </w:r>
          </w:p>
        </w:tc>
        <w:tc>
          <w:tcPr>
            <w:tcW w:w="1697" w:type="dxa"/>
            <w:vAlign w:val="center"/>
          </w:tcPr>
          <w:p w14:paraId="00000087" w14:textId="220E60F5"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&gt; £0</w:t>
            </w:r>
          </w:p>
        </w:tc>
        <w:tc>
          <w:tcPr>
            <w:tcW w:w="3089" w:type="dxa"/>
            <w:vAlign w:val="center"/>
          </w:tcPr>
          <w:p w14:paraId="00000088" w14:textId="581CD71E" w:rsidR="006C3FBD" w:rsidRDefault="006C3FBD" w:rsidP="006C3FBD">
            <w:pPr>
              <w:pBdr>
                <w:top w:val="nil"/>
                <w:left w:val="nil"/>
                <w:bottom w:val="nil"/>
                <w:right w:val="nil"/>
                <w:between w:val="nil"/>
              </w:pBdr>
              <w:spacing w:before="100" w:after="200"/>
              <w:jc w:val="center"/>
              <w:rPr>
                <w:rFonts w:ascii="Arial" w:eastAsia="Arial" w:hAnsi="Arial"/>
                <w:i/>
                <w:color w:val="000000"/>
                <w:sz w:val="24"/>
                <w:szCs w:val="24"/>
              </w:rPr>
            </w:pPr>
            <w:r w:rsidRPr="00F42E5A">
              <w:rPr>
                <w:rFonts w:ascii="Arial" w:eastAsia="Arial" w:hAnsi="Arial"/>
                <w:i/>
                <w:color w:val="000000"/>
                <w:sz w:val="24"/>
                <w:szCs w:val="24"/>
              </w:rPr>
              <w:t>Tested and reported [yearly] in arrears within [90] days of each [accounting reference date] based upon figures at the relevant [accounting reference date]</w:t>
            </w:r>
          </w:p>
        </w:tc>
      </w:tr>
      <w:tr w:rsidR="00CD59F7" w14:paraId="0ADE0060" w14:textId="77777777">
        <w:tc>
          <w:tcPr>
            <w:tcW w:w="2253" w:type="dxa"/>
            <w:vAlign w:val="center"/>
          </w:tcPr>
          <w:p w14:paraId="7663699A" w14:textId="6090DC61" w:rsidR="00CD59F7" w:rsidRDefault="008B6E1D" w:rsidP="00CD59F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8</w:t>
            </w:r>
          </w:p>
          <w:p w14:paraId="331CBB1A" w14:textId="5ED73A45" w:rsidR="00CD59F7" w:rsidRPr="00F42E5A" w:rsidRDefault="00CD59F7" w:rsidP="00CD59F7">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Group Exposure Ratio</w:t>
            </w:r>
          </w:p>
        </w:tc>
        <w:tc>
          <w:tcPr>
            <w:tcW w:w="1977" w:type="dxa"/>
            <w:vAlign w:val="center"/>
          </w:tcPr>
          <w:p w14:paraId="7042B04E" w14:textId="01E356B1" w:rsidR="00CD59F7" w:rsidRPr="00F42E5A" w:rsidRDefault="00CD59F7" w:rsidP="00CD59F7">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Group Exposure / Gross Assets</w:t>
            </w:r>
          </w:p>
        </w:tc>
        <w:tc>
          <w:tcPr>
            <w:tcW w:w="1697" w:type="dxa"/>
            <w:vAlign w:val="center"/>
          </w:tcPr>
          <w:p w14:paraId="497294B3" w14:textId="51202901" w:rsidR="00CD59F7" w:rsidRPr="00F42E5A" w:rsidRDefault="00CD59F7" w:rsidP="00CD59F7">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&lt;50%</w:t>
            </w:r>
          </w:p>
        </w:tc>
        <w:tc>
          <w:tcPr>
            <w:tcW w:w="3089" w:type="dxa"/>
            <w:vAlign w:val="center"/>
          </w:tcPr>
          <w:p w14:paraId="4BBF7450" w14:textId="455E902B" w:rsidR="00CD59F7" w:rsidRPr="00F42E5A" w:rsidRDefault="00CD59F7" w:rsidP="00CD59F7">
            <w:pPr>
              <w:pBdr>
                <w:top w:val="nil"/>
                <w:left w:val="nil"/>
                <w:bottom w:val="nil"/>
                <w:right w:val="nil"/>
                <w:between w:val="nil"/>
              </w:pBdr>
              <w:spacing w:before="100" w:after="200"/>
              <w:jc w:val="center"/>
              <w:rPr>
                <w:rFonts w:ascii="Arial" w:eastAsia="Arial" w:hAnsi="Arial"/>
                <w:i/>
                <w:color w:val="000000"/>
                <w:sz w:val="24"/>
                <w:szCs w:val="24"/>
              </w:rPr>
            </w:pPr>
            <w:r>
              <w:rPr>
                <w:rFonts w:ascii="Arial" w:eastAsia="Arial" w:hAnsi="Arial"/>
                <w:i/>
                <w:color w:val="000000"/>
                <w:sz w:val="24"/>
                <w:szCs w:val="24"/>
              </w:rPr>
              <w:t>Tested and reported yearly in arrears within 90 days of each accounting reference date based upon figures at the relevant accounting reference date</w:t>
            </w:r>
          </w:p>
        </w:tc>
      </w:tr>
    </w:tbl>
    <w:p w14:paraId="00000089" w14:textId="77777777" w:rsidR="00AD2441" w:rsidRDefault="00D842E1">
      <w:pPr>
        <w:pBdr>
          <w:top w:val="nil"/>
          <w:left w:val="nil"/>
          <w:bottom w:val="nil"/>
          <w:right w:val="nil"/>
          <w:between w:val="nil"/>
        </w:pBdr>
        <w:tabs>
          <w:tab w:val="left" w:pos="142"/>
        </w:tabs>
        <w:spacing w:before="120"/>
        <w:ind w:left="360" w:hanging="360"/>
        <w:rPr>
          <w:rFonts w:ascii="Arial" w:eastAsia="Arial" w:hAnsi="Arial"/>
          <w:smallCaps/>
          <w:color w:val="000000"/>
          <w:sz w:val="24"/>
          <w:szCs w:val="24"/>
        </w:rPr>
      </w:pPr>
      <w:r>
        <w:rPr>
          <w:rFonts w:ascii="Arial" w:eastAsia="Arial" w:hAnsi="Arial"/>
          <w:color w:val="000000"/>
          <w:sz w:val="24"/>
          <w:szCs w:val="24"/>
        </w:rPr>
        <w:t>Key: 1 – see Annex 3 to this Schedule which sets out the calculation methodology to be used in the calculation of each financial indicator.</w:t>
      </w:r>
    </w:p>
    <w:p w14:paraId="0000008A"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pPr>
      <w:r>
        <w:rPr>
          <w:rFonts w:ascii="Arial" w:eastAsia="Arial" w:hAnsi="Arial"/>
          <w:color w:val="000000"/>
          <w:sz w:val="24"/>
          <w:szCs w:val="24"/>
        </w:rPr>
        <w:t>Monitored Suppliers</w:t>
      </w:r>
      <w:r>
        <w:rPr>
          <w:color w:val="000000"/>
        </w:rPr>
        <w:t xml:space="preserve"> </w:t>
      </w:r>
    </w:p>
    <w:p w14:paraId="0000008B" w14:textId="77777777" w:rsidR="00AD2441" w:rsidRDefault="00D842E1">
      <w:pPr>
        <w:pBdr>
          <w:top w:val="nil"/>
          <w:left w:val="nil"/>
          <w:bottom w:val="nil"/>
          <w:right w:val="nil"/>
          <w:between w:val="nil"/>
        </w:pBdr>
        <w:tabs>
          <w:tab w:val="left" w:pos="1134"/>
        </w:tabs>
        <w:spacing w:before="120" w:after="120"/>
        <w:ind w:left="360" w:hanging="1004"/>
        <w:jc w:val="left"/>
        <w:rPr>
          <w:rFonts w:ascii="Arial" w:eastAsia="Arial" w:hAnsi="Arial"/>
          <w:color w:val="000000"/>
          <w:sz w:val="24"/>
          <w:szCs w:val="24"/>
        </w:rPr>
      </w:pPr>
      <w:r>
        <w:rPr>
          <w:rFonts w:ascii="Arial" w:eastAsia="Arial" w:hAnsi="Arial"/>
          <w:color w:val="000000"/>
          <w:sz w:val="24"/>
          <w:szCs w:val="24"/>
          <w:highlight w:val="yellow"/>
        </w:rPr>
        <w:t>[Guidance: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p>
    <w:tbl>
      <w:tblPr>
        <w:tblStyle w:val="a6"/>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3"/>
      </w:tblGrid>
      <w:tr w:rsidR="00AD2441" w14:paraId="4915F1ED" w14:textId="77777777">
        <w:tc>
          <w:tcPr>
            <w:tcW w:w="4073" w:type="dxa"/>
            <w:shd w:val="clear" w:color="auto" w:fill="D9D9D9"/>
          </w:tcPr>
          <w:p w14:paraId="0000008C" w14:textId="77777777" w:rsidR="00AD2441" w:rsidRDefault="00D842E1">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Monitored Supplier</w:t>
            </w:r>
          </w:p>
        </w:tc>
        <w:tc>
          <w:tcPr>
            <w:tcW w:w="4223" w:type="dxa"/>
            <w:shd w:val="clear" w:color="auto" w:fill="D9D9D9"/>
          </w:tcPr>
          <w:p w14:paraId="0000008D"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Applicable Financial Indicators</w:t>
            </w:r>
          </w:p>
          <w:p w14:paraId="0000008E"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rPr>
            </w:pPr>
            <w:bookmarkStart w:id="4" w:name="_heading=h.3whwml4" w:colFirst="0" w:colLast="0"/>
            <w:bookmarkEnd w:id="4"/>
            <w:r>
              <w:rPr>
                <w:rFonts w:ascii="Arial" w:eastAsia="Arial" w:hAnsi="Arial"/>
                <w:color w:val="000000"/>
                <w:sz w:val="24"/>
                <w:szCs w:val="24"/>
              </w:rPr>
              <w:t>(these are the Financial Indicators from the table in Paragraph 5.1 which are to apply to the Monitored Suppliers)</w:t>
            </w:r>
          </w:p>
        </w:tc>
      </w:tr>
      <w:tr w:rsidR="00AD2441" w14:paraId="69EEEBAF" w14:textId="77777777">
        <w:tc>
          <w:tcPr>
            <w:tcW w:w="4073" w:type="dxa"/>
          </w:tcPr>
          <w:p w14:paraId="0000008F"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highlight w:val="yellow"/>
              </w:rPr>
              <w:t xml:space="preserve">[Entity 1 </w:t>
            </w:r>
            <w:proofErr w:type="spellStart"/>
            <w:r>
              <w:rPr>
                <w:rFonts w:ascii="Arial" w:eastAsia="Arial" w:hAnsi="Arial"/>
                <w:color w:val="000000"/>
                <w:sz w:val="24"/>
                <w:szCs w:val="24"/>
                <w:highlight w:val="yellow"/>
              </w:rPr>
              <w:t>e.g</w:t>
            </w:r>
            <w:proofErr w:type="spellEnd"/>
            <w:r>
              <w:rPr>
                <w:rFonts w:ascii="Arial" w:eastAsia="Arial" w:hAnsi="Arial"/>
                <w:color w:val="000000"/>
                <w:sz w:val="24"/>
                <w:szCs w:val="24"/>
                <w:highlight w:val="yellow"/>
              </w:rPr>
              <w:t xml:space="preserve"> Group Member, Sub-contractor, Relevant Parent Company etc.] </w:t>
            </w:r>
          </w:p>
        </w:tc>
        <w:tc>
          <w:tcPr>
            <w:tcW w:w="4223" w:type="dxa"/>
          </w:tcPr>
          <w:p w14:paraId="00000090"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[1 – Operating Margin]</w:t>
            </w:r>
          </w:p>
          <w:p w14:paraId="00000091"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 xml:space="preserve">[2 – </w:t>
            </w:r>
            <w:proofErr w:type="gramStart"/>
            <w:r>
              <w:rPr>
                <w:rFonts w:ascii="Arial" w:eastAsia="Arial" w:hAnsi="Arial"/>
                <w:color w:val="000000"/>
                <w:sz w:val="24"/>
                <w:szCs w:val="24"/>
                <w:highlight w:val="yellow"/>
              </w:rPr>
              <w:t>etc..</w:t>
            </w:r>
            <w:proofErr w:type="gramEnd"/>
            <w:r>
              <w:rPr>
                <w:rFonts w:ascii="Arial" w:eastAsia="Arial" w:hAnsi="Arial"/>
                <w:color w:val="000000"/>
                <w:sz w:val="24"/>
                <w:szCs w:val="24"/>
                <w:highlight w:val="yellow"/>
              </w:rPr>
              <w:t>]</w:t>
            </w:r>
          </w:p>
          <w:p w14:paraId="00000092"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highlight w:val="yellow"/>
              </w:rPr>
              <w:t>[3][4][5][6][7][</w:t>
            </w:r>
            <w:proofErr w:type="gramStart"/>
            <w:r>
              <w:rPr>
                <w:rFonts w:ascii="Arial" w:eastAsia="Arial" w:hAnsi="Arial"/>
                <w:color w:val="000000"/>
                <w:sz w:val="24"/>
                <w:szCs w:val="24"/>
                <w:highlight w:val="yellow"/>
              </w:rPr>
              <w:t>8][</w:t>
            </w:r>
            <w:proofErr w:type="gramEnd"/>
            <w:r>
              <w:rPr>
                <w:rFonts w:ascii="Arial" w:eastAsia="Arial" w:hAnsi="Arial"/>
                <w:color w:val="000000"/>
                <w:sz w:val="24"/>
                <w:szCs w:val="24"/>
                <w:highlight w:val="yellow"/>
              </w:rPr>
              <w:t>etc..]</w:t>
            </w:r>
          </w:p>
        </w:tc>
      </w:tr>
      <w:tr w:rsidR="00AD2441" w14:paraId="0DD48992" w14:textId="77777777">
        <w:tc>
          <w:tcPr>
            <w:tcW w:w="4073" w:type="dxa"/>
          </w:tcPr>
          <w:p w14:paraId="00000093"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 xml:space="preserve">[Entity 2 </w:t>
            </w:r>
            <w:proofErr w:type="spellStart"/>
            <w:r>
              <w:rPr>
                <w:rFonts w:ascii="Arial" w:eastAsia="Arial" w:hAnsi="Arial"/>
                <w:color w:val="000000"/>
                <w:sz w:val="24"/>
                <w:szCs w:val="24"/>
                <w:highlight w:val="yellow"/>
              </w:rPr>
              <w:t>e.g</w:t>
            </w:r>
            <w:proofErr w:type="spellEnd"/>
            <w:r>
              <w:rPr>
                <w:rFonts w:ascii="Arial" w:eastAsia="Arial" w:hAnsi="Arial"/>
                <w:color w:val="000000"/>
                <w:sz w:val="24"/>
                <w:szCs w:val="24"/>
                <w:highlight w:val="yellow"/>
              </w:rPr>
              <w:t xml:space="preserve"> Group Member, Sub-contractor, Relevant Parent Company etc.]</w:t>
            </w:r>
          </w:p>
        </w:tc>
        <w:tc>
          <w:tcPr>
            <w:tcW w:w="4223" w:type="dxa"/>
          </w:tcPr>
          <w:p w14:paraId="00000094"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[1 – Operating Margin]</w:t>
            </w:r>
          </w:p>
          <w:p w14:paraId="00000095"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[2 – etc.]</w:t>
            </w:r>
          </w:p>
          <w:p w14:paraId="00000096"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[3][4][5][6][7][</w:t>
            </w:r>
            <w:proofErr w:type="gramStart"/>
            <w:r>
              <w:rPr>
                <w:rFonts w:ascii="Arial" w:eastAsia="Arial" w:hAnsi="Arial"/>
                <w:color w:val="000000"/>
                <w:sz w:val="24"/>
                <w:szCs w:val="24"/>
                <w:highlight w:val="yellow"/>
              </w:rPr>
              <w:t>8][</w:t>
            </w:r>
            <w:proofErr w:type="gramEnd"/>
            <w:r>
              <w:rPr>
                <w:rFonts w:ascii="Arial" w:eastAsia="Arial" w:hAnsi="Arial"/>
                <w:color w:val="000000"/>
                <w:sz w:val="24"/>
                <w:szCs w:val="24"/>
                <w:highlight w:val="yellow"/>
              </w:rPr>
              <w:t>etc..]</w:t>
            </w:r>
          </w:p>
        </w:tc>
      </w:tr>
      <w:tr w:rsidR="00AD2441" w14:paraId="2DAE5638" w14:textId="77777777">
        <w:tc>
          <w:tcPr>
            <w:tcW w:w="4073" w:type="dxa"/>
          </w:tcPr>
          <w:p w14:paraId="00000097"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[etc.]</w:t>
            </w:r>
          </w:p>
        </w:tc>
        <w:tc>
          <w:tcPr>
            <w:tcW w:w="4223" w:type="dxa"/>
          </w:tcPr>
          <w:p w14:paraId="00000098"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highlight w:val="yellow"/>
              </w:rPr>
            </w:pPr>
            <w:r>
              <w:rPr>
                <w:rFonts w:ascii="Arial" w:eastAsia="Arial" w:hAnsi="Arial"/>
                <w:color w:val="000000"/>
                <w:sz w:val="24"/>
                <w:szCs w:val="24"/>
                <w:highlight w:val="yellow"/>
              </w:rPr>
              <w:t>[etc.]</w:t>
            </w:r>
          </w:p>
        </w:tc>
      </w:tr>
    </w:tbl>
    <w:p w14:paraId="00000099" w14:textId="77777777" w:rsidR="00AD2441" w:rsidRDefault="00AD2441">
      <w:pPr>
        <w:pBdr>
          <w:top w:val="nil"/>
          <w:left w:val="nil"/>
          <w:bottom w:val="nil"/>
          <w:right w:val="nil"/>
          <w:between w:val="nil"/>
        </w:pBdr>
        <w:tabs>
          <w:tab w:val="left" w:pos="1134"/>
        </w:tabs>
        <w:spacing w:before="120" w:after="120"/>
        <w:ind w:left="360" w:hanging="1004"/>
        <w:jc w:val="left"/>
        <w:rPr>
          <w:color w:val="000000"/>
        </w:rPr>
      </w:pPr>
    </w:p>
    <w:p w14:paraId="0000009A" w14:textId="77777777" w:rsidR="00AD2441" w:rsidRDefault="00D842E1">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Termination rights</w:t>
      </w:r>
    </w:p>
    <w:p w14:paraId="0000009B"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Relevant Authority shall be entitled to terminate the Contract if:</w:t>
      </w:r>
    </w:p>
    <w:p w14:paraId="0000009C"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fails to notify the Relevant Authority of a Financial Distress Event in accordance with Paragraph 2.3.3;</w:t>
      </w:r>
    </w:p>
    <w:p w14:paraId="0000009D"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Parties fail to agree a Financial Distress Remediation Plan (or any updated Financial Distress Remediation Plan) in accordance with Paragraphs 4.3 to 4.5; and/or</w:t>
      </w:r>
    </w:p>
    <w:p w14:paraId="0000009E"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lastRenderedPageBreak/>
        <w:t>the Supplier fails to comply with the terms of the Financial Distress Remediation Plan (or any updated Financial Distress Remediation Plan) in accordance with Paragraph 4.6.3,</w:t>
      </w:r>
    </w:p>
    <w:p w14:paraId="0000009F" w14:textId="77777777" w:rsidR="00AD2441" w:rsidRDefault="00D842E1">
      <w:pPr>
        <w:pBdr>
          <w:top w:val="nil"/>
          <w:left w:val="nil"/>
          <w:bottom w:val="nil"/>
          <w:right w:val="nil"/>
          <w:between w:val="nil"/>
        </w:pBdr>
        <w:tabs>
          <w:tab w:val="left" w:pos="1985"/>
        </w:tabs>
        <w:spacing w:before="120" w:after="120"/>
        <w:ind w:left="2422" w:hanging="720"/>
        <w:rPr>
          <w:rFonts w:ascii="Arial" w:eastAsia="Arial" w:hAnsi="Arial"/>
          <w:color w:val="000000"/>
          <w:sz w:val="24"/>
          <w:szCs w:val="24"/>
        </w:rPr>
      </w:pPr>
      <w:r>
        <w:rPr>
          <w:rFonts w:ascii="Arial" w:eastAsia="Arial" w:hAnsi="Arial"/>
          <w:color w:val="000000"/>
          <w:sz w:val="24"/>
          <w:szCs w:val="24"/>
        </w:rPr>
        <w:t>which shall be deemed to be an event to which Clause 10.4.1 of the Core Terms applies and Clauses 10.6.1 and 10.6.2 of the Core Terms shall apply accordingly.</w:t>
      </w:r>
    </w:p>
    <w:p w14:paraId="000000A0" w14:textId="77777777" w:rsidR="00AD2441" w:rsidRDefault="00D842E1">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Primacy of Credit Ratings</w:t>
      </w:r>
    </w:p>
    <w:p w14:paraId="000000A1"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000000A2"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shall be relieved automatically of its obligations under Paragraphs 4.3 to 4.6; and</w:t>
      </w:r>
    </w:p>
    <w:p w14:paraId="000000A3"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Relevant Authority shall not be entitled to require the Supplier to provide financial information in accordance with Paragraph 4.3.2(b).</w:t>
      </w:r>
    </w:p>
    <w:p w14:paraId="000000A4" w14:textId="77777777" w:rsidR="00AD2441" w:rsidRDefault="00D842E1">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Board confirmation</w:t>
      </w:r>
    </w:p>
    <w:p w14:paraId="000000A5"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sidRPr="00CE218B">
        <w:rPr>
          <w:rFonts w:ascii="Arial" w:eastAsia="Arial" w:hAnsi="Arial"/>
          <w:color w:val="000000"/>
          <w:sz w:val="24"/>
          <w:szCs w:val="24"/>
        </w:rPr>
        <w:t>If the Contract has been specified as a Critical Service Contract under Paragraph 1.1 of Call-Off Schedule 24 (Corporate Resolution Planning)</w:t>
      </w:r>
      <w:r>
        <w:rPr>
          <w:rFonts w:ascii="Arial" w:eastAsia="Arial" w:hAnsi="Arial"/>
          <w:color w:val="000000"/>
          <w:sz w:val="24"/>
          <w:szCs w:val="24"/>
        </w:rPr>
        <w:t xml:space="preserve">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000000A6"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that a Financial Distress Event has occurred since the later of the Effective Date or the previous Board Confirmation or is subsisting; or</w:t>
      </w:r>
    </w:p>
    <w:p w14:paraId="000000A7" w14:textId="77777777" w:rsidR="00AD2441" w:rsidRDefault="00D842E1">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of any matters which have occurred or are subsisting that could reasonably be expected to cause a Financial Distress Event.</w:t>
      </w:r>
    </w:p>
    <w:p w14:paraId="000000A8"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000000A9"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000000AA" w14:textId="77777777" w:rsidR="00AD2441" w:rsidRDefault="00D842E1">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 xml:space="preserve">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w:t>
      </w:r>
      <w:r>
        <w:rPr>
          <w:rFonts w:ascii="Arial" w:eastAsia="Arial" w:hAnsi="Arial"/>
          <w:color w:val="000000"/>
          <w:sz w:val="24"/>
          <w:szCs w:val="24"/>
        </w:rPr>
        <w:lastRenderedPageBreak/>
        <w:t>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000000AB" w14:textId="77777777" w:rsidR="00AD2441" w:rsidRDefault="00AD2441">
      <w:pPr>
        <w:pBdr>
          <w:top w:val="nil"/>
          <w:left w:val="nil"/>
          <w:bottom w:val="nil"/>
          <w:right w:val="nil"/>
          <w:between w:val="nil"/>
        </w:pBdr>
        <w:tabs>
          <w:tab w:val="left" w:pos="142"/>
        </w:tabs>
        <w:spacing w:before="120"/>
        <w:ind w:left="360" w:hanging="360"/>
        <w:rPr>
          <w:b/>
          <w:smallCaps/>
          <w:color w:val="000000"/>
        </w:rPr>
      </w:pPr>
    </w:p>
    <w:p w14:paraId="000000AC" w14:textId="77777777" w:rsidR="00AD2441" w:rsidRDefault="00D842E1">
      <w:pPr>
        <w:spacing w:after="200" w:line="276" w:lineRule="auto"/>
        <w:jc w:val="left"/>
        <w:rPr>
          <w:rFonts w:ascii="Arial" w:eastAsia="Arial" w:hAnsi="Arial"/>
          <w:b/>
          <w:sz w:val="24"/>
          <w:szCs w:val="24"/>
        </w:rPr>
      </w:pPr>
      <w:r>
        <w:br w:type="page"/>
      </w:r>
      <w:r>
        <w:rPr>
          <w:rFonts w:ascii="Arial" w:eastAsia="Arial" w:hAnsi="Arial"/>
          <w:b/>
          <w:sz w:val="24"/>
          <w:szCs w:val="24"/>
        </w:rPr>
        <w:lastRenderedPageBreak/>
        <w:t>Annex 1: Rating Agencies and their standard Rating System</w:t>
      </w:r>
    </w:p>
    <w:p w14:paraId="000000AD" w14:textId="662697DC" w:rsidR="00AD2441" w:rsidRDefault="00D842E1">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w:t>
      </w:r>
      <w:r w:rsidR="000725C6">
        <w:rPr>
          <w:rFonts w:ascii="Arial" w:eastAsia="Arial" w:hAnsi="Arial"/>
          <w:color w:val="000000"/>
          <w:sz w:val="24"/>
          <w:szCs w:val="24"/>
        </w:rPr>
        <w:t>Dun &amp; Bradstreet</w:t>
      </w:r>
      <w:r>
        <w:rPr>
          <w:rFonts w:ascii="Arial" w:eastAsia="Arial" w:hAnsi="Arial"/>
          <w:color w:val="000000"/>
          <w:sz w:val="24"/>
          <w:szCs w:val="24"/>
        </w:rPr>
        <w:t>]</w:t>
      </w:r>
    </w:p>
    <w:p w14:paraId="000000AE" w14:textId="5A2D10F4" w:rsidR="00AD2441" w:rsidRDefault="00AD2441">
      <w:pPr>
        <w:keepNext/>
        <w:pBdr>
          <w:top w:val="nil"/>
          <w:left w:val="nil"/>
          <w:bottom w:val="nil"/>
          <w:right w:val="nil"/>
          <w:between w:val="nil"/>
        </w:pBdr>
        <w:spacing w:before="240" w:after="120"/>
        <w:ind w:left="142"/>
        <w:jc w:val="left"/>
        <w:rPr>
          <w:rFonts w:ascii="Arial" w:eastAsia="Arial" w:hAnsi="Arial"/>
          <w:color w:val="000000"/>
          <w:sz w:val="24"/>
          <w:szCs w:val="24"/>
        </w:rPr>
      </w:pPr>
    </w:p>
    <w:p w14:paraId="000000AF" w14:textId="77777777" w:rsidR="00AD2441" w:rsidRDefault="00D842E1">
      <w:pPr>
        <w:spacing w:after="200" w:line="276" w:lineRule="auto"/>
        <w:jc w:val="left"/>
        <w:rPr>
          <w:rFonts w:ascii="Arial" w:eastAsia="Arial" w:hAnsi="Arial"/>
          <w:sz w:val="24"/>
          <w:szCs w:val="24"/>
        </w:rPr>
      </w:pPr>
      <w:r>
        <w:br w:type="page"/>
      </w:r>
    </w:p>
    <w:p w14:paraId="000000B0" w14:textId="77777777" w:rsidR="00AD2441" w:rsidRDefault="00D842E1">
      <w:pPr>
        <w:pBdr>
          <w:top w:val="nil"/>
          <w:left w:val="nil"/>
          <w:bottom w:val="nil"/>
          <w:right w:val="nil"/>
          <w:between w:val="nil"/>
        </w:pBdr>
        <w:spacing w:before="100" w:after="300"/>
        <w:rPr>
          <w:rFonts w:ascii="Arial Bold" w:eastAsia="Arial Bold" w:hAnsi="Arial Bold" w:cs="Arial Bold"/>
          <w:b/>
          <w:smallCaps/>
          <w:color w:val="000000"/>
          <w:sz w:val="24"/>
          <w:szCs w:val="24"/>
        </w:rPr>
      </w:pPr>
      <w:bookmarkStart w:id="5" w:name="_heading=h.2bn6wsx" w:colFirst="0" w:colLast="0"/>
      <w:bookmarkEnd w:id="5"/>
      <w:r>
        <w:rPr>
          <w:rFonts w:ascii="Arial Bold" w:eastAsia="Arial Bold" w:hAnsi="Arial Bold" w:cs="Arial Bold"/>
          <w:b/>
          <w:color w:val="000000"/>
          <w:sz w:val="24"/>
          <w:szCs w:val="24"/>
        </w:rPr>
        <w:lastRenderedPageBreak/>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tbl>
      <w:tblPr>
        <w:tblStyle w:val="a7"/>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AD2441" w14:paraId="142E7451" w14:textId="77777777">
        <w:tc>
          <w:tcPr>
            <w:tcW w:w="3080" w:type="dxa"/>
            <w:tcBorders>
              <w:top w:val="single" w:sz="4" w:space="0" w:color="000000"/>
            </w:tcBorders>
            <w:shd w:val="clear" w:color="auto" w:fill="FFFFFF"/>
          </w:tcPr>
          <w:p w14:paraId="000000B1" w14:textId="77777777" w:rsidR="00AD2441" w:rsidRDefault="00D842E1">
            <w:pPr>
              <w:keepNext/>
              <w:pBdr>
                <w:top w:val="nil"/>
                <w:left w:val="nil"/>
                <w:bottom w:val="nil"/>
                <w:right w:val="nil"/>
                <w:between w:val="nil"/>
              </w:pBdr>
              <w:spacing w:before="240" w:after="120"/>
              <w:ind w:left="142"/>
              <w:jc w:val="left"/>
              <w:rPr>
                <w:rFonts w:ascii="Arial" w:eastAsia="Arial" w:hAnsi="Arial"/>
                <w:b/>
                <w:color w:val="000000"/>
                <w:sz w:val="24"/>
                <w:szCs w:val="24"/>
              </w:rPr>
            </w:pPr>
            <w:r>
              <w:rPr>
                <w:rFonts w:ascii="Arial" w:eastAsia="Arial" w:hAnsi="Arial"/>
                <w:b/>
                <w:color w:val="000000"/>
                <w:sz w:val="24"/>
                <w:szCs w:val="24"/>
              </w:rPr>
              <w:t>Entity</w:t>
            </w:r>
          </w:p>
        </w:tc>
        <w:tc>
          <w:tcPr>
            <w:tcW w:w="3081" w:type="dxa"/>
            <w:tcBorders>
              <w:top w:val="single" w:sz="4" w:space="0" w:color="000000"/>
            </w:tcBorders>
            <w:shd w:val="clear" w:color="auto" w:fill="FFFFFF"/>
          </w:tcPr>
          <w:p w14:paraId="000000B2" w14:textId="77777777" w:rsidR="00AD2441" w:rsidRDefault="00D842E1">
            <w:pPr>
              <w:keepNext/>
              <w:pBdr>
                <w:top w:val="nil"/>
                <w:left w:val="nil"/>
                <w:bottom w:val="nil"/>
                <w:right w:val="nil"/>
                <w:between w:val="nil"/>
              </w:pBdr>
              <w:spacing w:before="240" w:after="120"/>
              <w:ind w:left="142"/>
              <w:jc w:val="left"/>
              <w:rPr>
                <w:rFonts w:ascii="Arial" w:eastAsia="Arial" w:hAnsi="Arial"/>
                <w:b/>
                <w:color w:val="000000"/>
                <w:sz w:val="24"/>
                <w:szCs w:val="24"/>
              </w:rPr>
            </w:pPr>
            <w:r>
              <w:rPr>
                <w:rFonts w:ascii="Arial" w:eastAsia="Arial" w:hAnsi="Arial"/>
                <w:b/>
                <w:color w:val="000000"/>
                <w:sz w:val="24"/>
                <w:szCs w:val="24"/>
              </w:rPr>
              <w:t>Credit rating (long term)</w:t>
            </w:r>
          </w:p>
        </w:tc>
      </w:tr>
      <w:tr w:rsidR="00AD2441" w14:paraId="55311653" w14:textId="77777777">
        <w:tc>
          <w:tcPr>
            <w:tcW w:w="3080" w:type="dxa"/>
            <w:shd w:val="clear" w:color="auto" w:fill="FFFFFF"/>
          </w:tcPr>
          <w:p w14:paraId="000000B3" w14:textId="77777777" w:rsidR="00AD2441" w:rsidRDefault="00D842E1">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Supplier</w:t>
            </w:r>
          </w:p>
        </w:tc>
        <w:tc>
          <w:tcPr>
            <w:tcW w:w="3081" w:type="dxa"/>
            <w:shd w:val="clear" w:color="auto" w:fill="FFFFFF"/>
          </w:tcPr>
          <w:p w14:paraId="000000B4" w14:textId="77777777" w:rsidR="00AD2441" w:rsidRDefault="00D842E1">
            <w:pPr>
              <w:keepNext/>
              <w:pBdr>
                <w:top w:val="nil"/>
                <w:left w:val="nil"/>
                <w:bottom w:val="nil"/>
                <w:right w:val="nil"/>
                <w:between w:val="nil"/>
              </w:pBdr>
              <w:spacing w:before="240" w:after="120"/>
              <w:ind w:left="142"/>
              <w:jc w:val="left"/>
              <w:rPr>
                <w:rFonts w:ascii="Arial" w:eastAsia="Arial" w:hAnsi="Arial"/>
                <w:color w:val="000000"/>
                <w:sz w:val="24"/>
                <w:szCs w:val="24"/>
              </w:rPr>
            </w:pPr>
            <w:r w:rsidRPr="00C764A9">
              <w:rPr>
                <w:rFonts w:ascii="Arial" w:eastAsia="Arial" w:hAnsi="Arial"/>
                <w:sz w:val="24"/>
                <w:szCs w:val="24"/>
              </w:rPr>
              <w:t>30</w:t>
            </w:r>
          </w:p>
        </w:tc>
      </w:tr>
      <w:tr w:rsidR="00AD2441" w14:paraId="57325241" w14:textId="77777777">
        <w:tc>
          <w:tcPr>
            <w:tcW w:w="3080" w:type="dxa"/>
            <w:shd w:val="clear" w:color="auto" w:fill="FFFFFF"/>
          </w:tcPr>
          <w:p w14:paraId="000000B5" w14:textId="77777777" w:rsidR="00AD2441" w:rsidRDefault="00D842E1">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highlight w:val="yellow"/>
              </w:rPr>
              <w:t>[Guarantor]</w:t>
            </w:r>
          </w:p>
        </w:tc>
        <w:tc>
          <w:tcPr>
            <w:tcW w:w="3081" w:type="dxa"/>
            <w:shd w:val="clear" w:color="auto" w:fill="FFFFFF"/>
          </w:tcPr>
          <w:p w14:paraId="000000B6" w14:textId="77777777" w:rsidR="00AD2441" w:rsidRDefault="00D842E1">
            <w:pPr>
              <w:keepNext/>
              <w:pBdr>
                <w:top w:val="nil"/>
                <w:left w:val="nil"/>
                <w:bottom w:val="nil"/>
                <w:right w:val="nil"/>
                <w:between w:val="nil"/>
              </w:pBdr>
              <w:spacing w:before="240" w:after="120"/>
              <w:ind w:left="142"/>
              <w:jc w:val="left"/>
              <w:rPr>
                <w:rFonts w:ascii="Arial" w:eastAsia="Arial" w:hAnsi="Arial"/>
                <w:color w:val="000000"/>
                <w:sz w:val="24"/>
                <w:szCs w:val="24"/>
              </w:rPr>
            </w:pPr>
            <w:r w:rsidRPr="00C764A9">
              <w:rPr>
                <w:rFonts w:ascii="Arial" w:eastAsia="Arial" w:hAnsi="Arial"/>
                <w:sz w:val="24"/>
                <w:szCs w:val="24"/>
                <w:highlight w:val="yellow"/>
              </w:rPr>
              <w:t>30</w:t>
            </w:r>
          </w:p>
        </w:tc>
      </w:tr>
      <w:tr w:rsidR="00AD2441" w14:paraId="408A7B3A" w14:textId="77777777">
        <w:tc>
          <w:tcPr>
            <w:tcW w:w="3080" w:type="dxa"/>
            <w:tcBorders>
              <w:bottom w:val="single" w:sz="4" w:space="0" w:color="000000"/>
            </w:tcBorders>
            <w:shd w:val="clear" w:color="auto" w:fill="FFFFFF"/>
          </w:tcPr>
          <w:p w14:paraId="000000B7" w14:textId="77777777" w:rsidR="00AD2441" w:rsidRDefault="00D842E1">
            <w:pPr>
              <w:keepNext/>
              <w:pBdr>
                <w:top w:val="nil"/>
                <w:left w:val="nil"/>
                <w:bottom w:val="nil"/>
                <w:right w:val="nil"/>
                <w:between w:val="nil"/>
              </w:pBdr>
              <w:spacing w:before="240" w:after="120"/>
              <w:ind w:left="142"/>
              <w:jc w:val="left"/>
              <w:rPr>
                <w:rFonts w:ascii="Arial" w:eastAsia="Arial" w:hAnsi="Arial"/>
                <w:color w:val="000000"/>
                <w:sz w:val="24"/>
                <w:szCs w:val="24"/>
                <w:highlight w:val="yellow"/>
              </w:rPr>
            </w:pPr>
            <w:r>
              <w:rPr>
                <w:rFonts w:ascii="Arial" w:eastAsia="Arial" w:hAnsi="Arial"/>
                <w:color w:val="000000"/>
                <w:sz w:val="24"/>
                <w:szCs w:val="24"/>
                <w:highlight w:val="yellow"/>
              </w:rPr>
              <w:t>[Key Subcontractor]</w:t>
            </w:r>
          </w:p>
        </w:tc>
        <w:tc>
          <w:tcPr>
            <w:tcW w:w="3081" w:type="dxa"/>
            <w:tcBorders>
              <w:bottom w:val="single" w:sz="4" w:space="0" w:color="000000"/>
            </w:tcBorders>
            <w:shd w:val="clear" w:color="auto" w:fill="FFFFFF"/>
          </w:tcPr>
          <w:p w14:paraId="000000B8" w14:textId="77777777" w:rsidR="00AD2441" w:rsidRDefault="00D842E1">
            <w:pPr>
              <w:keepNext/>
              <w:pBdr>
                <w:top w:val="nil"/>
                <w:left w:val="nil"/>
                <w:bottom w:val="nil"/>
                <w:right w:val="nil"/>
                <w:between w:val="nil"/>
              </w:pBdr>
              <w:spacing w:before="240" w:after="120"/>
              <w:ind w:left="142"/>
              <w:jc w:val="left"/>
              <w:rPr>
                <w:rFonts w:ascii="Arial" w:eastAsia="Arial" w:hAnsi="Arial"/>
                <w:color w:val="000000"/>
                <w:sz w:val="24"/>
                <w:szCs w:val="24"/>
              </w:rPr>
            </w:pPr>
            <w:r w:rsidRPr="00C764A9">
              <w:rPr>
                <w:rFonts w:ascii="Arial" w:eastAsia="Arial" w:hAnsi="Arial"/>
                <w:sz w:val="24"/>
                <w:szCs w:val="24"/>
                <w:highlight w:val="yellow"/>
              </w:rPr>
              <w:t>30</w:t>
            </w:r>
          </w:p>
        </w:tc>
      </w:tr>
    </w:tbl>
    <w:p w14:paraId="000000B9" w14:textId="77777777" w:rsidR="00AD2441" w:rsidRDefault="00AD2441">
      <w:pPr>
        <w:pBdr>
          <w:top w:val="nil"/>
          <w:left w:val="nil"/>
          <w:bottom w:val="nil"/>
          <w:right w:val="nil"/>
          <w:between w:val="nil"/>
        </w:pBdr>
        <w:spacing w:before="100" w:after="200"/>
        <w:jc w:val="left"/>
        <w:rPr>
          <w:rFonts w:ascii="Arial" w:eastAsia="Arial" w:hAnsi="Arial"/>
          <w:color w:val="000000"/>
          <w:sz w:val="24"/>
          <w:szCs w:val="24"/>
        </w:rPr>
      </w:pPr>
    </w:p>
    <w:p w14:paraId="000000BA" w14:textId="77777777" w:rsidR="00AD2441" w:rsidRDefault="00D842E1">
      <w:pPr>
        <w:spacing w:after="200" w:line="276" w:lineRule="auto"/>
        <w:jc w:val="left"/>
        <w:rPr>
          <w:rFonts w:ascii="Arial" w:eastAsia="Arial" w:hAnsi="Arial"/>
          <w:sz w:val="24"/>
          <w:szCs w:val="24"/>
        </w:rPr>
      </w:pPr>
      <w:r>
        <w:br w:type="page"/>
      </w:r>
    </w:p>
    <w:p w14:paraId="000000BB" w14:textId="77777777" w:rsidR="00AD2441" w:rsidRDefault="00D842E1">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Annex 3: Calculation methodology for Financial Indicators</w:t>
      </w:r>
    </w:p>
    <w:p w14:paraId="000000BC" w14:textId="77777777" w:rsidR="00AD2441" w:rsidRDefault="00D842E1">
      <w:pPr>
        <w:pBdr>
          <w:top w:val="nil"/>
          <w:left w:val="nil"/>
          <w:bottom w:val="nil"/>
          <w:right w:val="nil"/>
          <w:between w:val="nil"/>
        </w:pBdr>
        <w:spacing w:before="100" w:after="200"/>
        <w:jc w:val="left"/>
        <w:rPr>
          <w:rFonts w:ascii="Arial" w:eastAsia="Arial" w:hAnsi="Arial"/>
          <w:b/>
          <w:i/>
          <w:color w:val="000000"/>
          <w:sz w:val="24"/>
          <w:szCs w:val="24"/>
        </w:rPr>
      </w:pPr>
      <w:bookmarkStart w:id="6" w:name="_heading=h.qsh70q" w:colFirst="0" w:colLast="0"/>
      <w:bookmarkEnd w:id="6"/>
      <w:r>
        <w:rPr>
          <w:rFonts w:ascii="Arial" w:eastAsia="Arial" w:hAnsi="Arial"/>
          <w:b/>
          <w:i/>
          <w:color w:val="000000"/>
          <w:sz w:val="24"/>
          <w:szCs w:val="24"/>
          <w:highlight w:val="yellow"/>
        </w:rPr>
        <w:t>[Guidance: Amend this section as appropriate to reflect the calculation methodology for those Financial Indicators that are selected for inclusion in Paragraph 5.1 of this Schedule]</w:t>
      </w:r>
    </w:p>
    <w:p w14:paraId="000000BD"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Supplier shall ensure that it uses the following general and specific methodologies for calculating the Financial Indicators against the Financial Target Thresholds:</w:t>
      </w:r>
    </w:p>
    <w:p w14:paraId="000000BE" w14:textId="77777777" w:rsidR="00AD2441" w:rsidRDefault="00D842E1">
      <w:pPr>
        <w:pBdr>
          <w:top w:val="nil"/>
          <w:left w:val="nil"/>
          <w:bottom w:val="nil"/>
          <w:right w:val="nil"/>
          <w:between w:val="nil"/>
        </w:pBdr>
        <w:spacing w:before="100" w:after="200"/>
        <w:jc w:val="left"/>
        <w:rPr>
          <w:rFonts w:ascii="Arial" w:eastAsia="Arial" w:hAnsi="Arial"/>
          <w:b/>
          <w:color w:val="000000"/>
          <w:sz w:val="24"/>
          <w:szCs w:val="24"/>
          <w:u w:val="single"/>
        </w:rPr>
      </w:pPr>
      <w:r>
        <w:rPr>
          <w:rFonts w:ascii="Arial" w:eastAsia="Arial" w:hAnsi="Arial"/>
          <w:b/>
          <w:color w:val="000000"/>
          <w:sz w:val="24"/>
          <w:szCs w:val="24"/>
          <w:u w:val="single"/>
        </w:rPr>
        <w:t>General methodology</w:t>
      </w:r>
    </w:p>
    <w:p w14:paraId="000000BF" w14:textId="77777777" w:rsidR="00AD2441" w:rsidRDefault="00D842E1">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Terminology</w:t>
      </w:r>
      <w:r>
        <w:rPr>
          <w:rFonts w:ascii="Arial" w:eastAsia="Arial" w:hAnsi="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000000C0" w14:textId="77777777" w:rsidR="00AD2441" w:rsidRDefault="00D842E1">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bookmarkStart w:id="7" w:name="_heading=h.3as4poj" w:colFirst="0" w:colLast="0"/>
      <w:bookmarkEnd w:id="7"/>
      <w:r>
        <w:rPr>
          <w:rFonts w:ascii="Arial" w:eastAsia="Arial" w:hAnsi="Arial"/>
          <w:b/>
          <w:i/>
          <w:color w:val="000000"/>
          <w:sz w:val="24"/>
          <w:szCs w:val="24"/>
        </w:rPr>
        <w:t>Groups</w:t>
      </w:r>
      <w:r>
        <w:rPr>
          <w:rFonts w:ascii="Arial" w:eastAsia="Arial" w:hAnsi="Arial"/>
          <w:color w:val="000000"/>
          <w:sz w:val="24"/>
          <w:szCs w:val="24"/>
        </w:rPr>
        <w:t>: Where the entity is the holding company of a group and prepares consolidated financial statements, the consolidated figures should be used.</w:t>
      </w:r>
    </w:p>
    <w:p w14:paraId="000000C1" w14:textId="77777777" w:rsidR="00AD2441" w:rsidRDefault="00D842E1">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Foreign currency conversion</w:t>
      </w:r>
      <w:r>
        <w:rPr>
          <w:rFonts w:ascii="Arial" w:eastAsia="Arial" w:hAnsi="Arial"/>
          <w:color w:val="000000"/>
          <w:sz w:val="24"/>
          <w:szCs w:val="24"/>
        </w:rPr>
        <w:t>: Figures denominated in foreign currencies should be converted at the exchange rate in force at the relevant date for which the Financial Indicator is being calculated.</w:t>
      </w:r>
    </w:p>
    <w:p w14:paraId="000000C2" w14:textId="77777777" w:rsidR="00AD2441" w:rsidRDefault="00D842E1">
      <w:pPr>
        <w:numPr>
          <w:ilvl w:val="0"/>
          <w:numId w:val="1"/>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Treatment of non-underlying items</w:t>
      </w:r>
      <w:r>
        <w:rPr>
          <w:rFonts w:ascii="Arial" w:eastAsia="Arial" w:hAnsi="Arial"/>
          <w:color w:val="000000"/>
          <w:sz w:val="24"/>
          <w:szCs w:val="24"/>
        </w:rPr>
        <w:t>: Financial Indicators should be based on the figures in the financial statements before adjusting for non-underlying items.</w:t>
      </w:r>
    </w:p>
    <w:p w14:paraId="000000C3" w14:textId="77777777" w:rsidR="00AD2441" w:rsidRDefault="00D842E1">
      <w:pPr>
        <w:pBdr>
          <w:top w:val="nil"/>
          <w:left w:val="nil"/>
          <w:bottom w:val="nil"/>
          <w:right w:val="nil"/>
          <w:between w:val="nil"/>
        </w:pBdr>
        <w:spacing w:before="100" w:after="200"/>
        <w:ind w:left="720" w:hanging="720"/>
        <w:jc w:val="left"/>
        <w:rPr>
          <w:rFonts w:ascii="Arial" w:eastAsia="Arial" w:hAnsi="Arial"/>
          <w:b/>
          <w:color w:val="000000"/>
          <w:sz w:val="24"/>
          <w:szCs w:val="24"/>
          <w:u w:val="single"/>
        </w:rPr>
      </w:pPr>
      <w:r>
        <w:rPr>
          <w:rFonts w:ascii="Arial" w:eastAsia="Arial" w:hAnsi="Arial"/>
          <w:b/>
          <w:color w:val="000000"/>
          <w:sz w:val="24"/>
          <w:szCs w:val="24"/>
          <w:u w:val="single"/>
        </w:rPr>
        <w:t>Specific Methodology</w:t>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AD2441" w14:paraId="1BA64454" w14:textId="77777777">
        <w:tc>
          <w:tcPr>
            <w:tcW w:w="2538" w:type="dxa"/>
            <w:shd w:val="clear" w:color="auto" w:fill="D9D9D9"/>
          </w:tcPr>
          <w:p w14:paraId="000000C4" w14:textId="77777777" w:rsidR="00AD2441" w:rsidRDefault="00D842E1">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Financial Indicator</w:t>
            </w:r>
          </w:p>
        </w:tc>
        <w:tc>
          <w:tcPr>
            <w:tcW w:w="6478" w:type="dxa"/>
            <w:shd w:val="clear" w:color="auto" w:fill="D9D9D9"/>
          </w:tcPr>
          <w:p w14:paraId="000000C5" w14:textId="77777777" w:rsidR="00AD2441" w:rsidRDefault="00D842E1">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Specific Methodology</w:t>
            </w:r>
          </w:p>
        </w:tc>
      </w:tr>
      <w:tr w:rsidR="004C24D2" w14:paraId="5497FF57" w14:textId="77777777">
        <w:tc>
          <w:tcPr>
            <w:tcW w:w="2538" w:type="dxa"/>
            <w:vAlign w:val="center"/>
          </w:tcPr>
          <w:p w14:paraId="1DAB4685" w14:textId="77777777" w:rsidR="004C24D2" w:rsidRDefault="004C24D2" w:rsidP="004C24D2">
            <w:pPr>
              <w:pStyle w:val="NormalWeb"/>
              <w:spacing w:beforeAutospacing="0" w:after="200" w:afterAutospacing="0"/>
            </w:pPr>
            <w:r>
              <w:rPr>
                <w:rFonts w:ascii="Arial" w:hAnsi="Arial" w:cs="Arial"/>
                <w:b/>
                <w:bCs/>
                <w:color w:val="000000"/>
              </w:rPr>
              <w:t>1 </w:t>
            </w:r>
          </w:p>
          <w:p w14:paraId="4EBD1E1A" w14:textId="77777777" w:rsidR="004C24D2" w:rsidRDefault="004C24D2" w:rsidP="004C24D2">
            <w:pPr>
              <w:pStyle w:val="NormalWeb"/>
              <w:spacing w:beforeAutospacing="0" w:after="200" w:afterAutospacing="0"/>
            </w:pPr>
            <w:r>
              <w:rPr>
                <w:rFonts w:ascii="Arial" w:hAnsi="Arial" w:cs="Arial"/>
                <w:b/>
                <w:bCs/>
                <w:color w:val="000000"/>
              </w:rPr>
              <w:t>Turnover Ratio</w:t>
            </w:r>
          </w:p>
          <w:p w14:paraId="000000C7" w14:textId="15A2B29F" w:rsidR="004C24D2" w:rsidRDefault="004C24D2" w:rsidP="004C24D2">
            <w:pPr>
              <w:pBdr>
                <w:top w:val="nil"/>
                <w:left w:val="nil"/>
                <w:bottom w:val="nil"/>
                <w:right w:val="nil"/>
                <w:between w:val="nil"/>
              </w:pBdr>
              <w:spacing w:before="100" w:after="200"/>
              <w:jc w:val="left"/>
              <w:rPr>
                <w:rFonts w:ascii="Arial" w:eastAsia="Arial" w:hAnsi="Arial"/>
                <w:b/>
                <w:color w:val="000000"/>
                <w:sz w:val="24"/>
                <w:szCs w:val="24"/>
              </w:rPr>
            </w:pPr>
          </w:p>
        </w:tc>
        <w:tc>
          <w:tcPr>
            <w:tcW w:w="6478" w:type="dxa"/>
          </w:tcPr>
          <w:p w14:paraId="000000CA" w14:textId="42ECD361"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sidRPr="004F4E2D">
              <w:rPr>
                <w:rFonts w:ascii="Arial" w:eastAsia="Arial" w:hAnsi="Arial"/>
                <w:color w:val="000000"/>
                <w:sz w:val="24"/>
                <w:szCs w:val="24"/>
              </w:rPr>
              <w:t>Revenue should be shown on the face of the Income Statement in a standard set of financial statements. It should exclude the entity’s share of the revenue of joint ventures or associates.</w:t>
            </w:r>
          </w:p>
        </w:tc>
      </w:tr>
      <w:tr w:rsidR="004C24D2" w14:paraId="662B889E" w14:textId="77777777" w:rsidTr="00766E81">
        <w:tc>
          <w:tcPr>
            <w:tcW w:w="2538" w:type="dxa"/>
            <w:vAlign w:val="center"/>
          </w:tcPr>
          <w:p w14:paraId="52E98FE8" w14:textId="77777777" w:rsidR="004C24D2" w:rsidRDefault="004C24D2" w:rsidP="004C24D2">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2</w:t>
            </w:r>
          </w:p>
          <w:p w14:paraId="000000E9" w14:textId="65429311" w:rsidR="004C24D2" w:rsidRDefault="004C24D2" w:rsidP="004C24D2">
            <w:pPr>
              <w:pBdr>
                <w:top w:val="nil"/>
                <w:left w:val="nil"/>
                <w:bottom w:val="nil"/>
                <w:right w:val="nil"/>
                <w:between w:val="nil"/>
              </w:pBdr>
              <w:spacing w:before="100" w:after="200"/>
              <w:jc w:val="left"/>
              <w:rPr>
                <w:rFonts w:ascii="Arial" w:eastAsia="Arial" w:hAnsi="Arial"/>
                <w:b/>
                <w:color w:val="000000"/>
                <w:sz w:val="24"/>
                <w:szCs w:val="24"/>
              </w:rPr>
            </w:pPr>
            <w:r w:rsidRPr="004F4E2D">
              <w:rPr>
                <w:rFonts w:ascii="Arial" w:hAnsi="Arial"/>
                <w:b/>
                <w:bCs/>
                <w:color w:val="000000"/>
                <w:sz w:val="24"/>
                <w:szCs w:val="24"/>
              </w:rPr>
              <w:t>Operating Margin</w:t>
            </w:r>
          </w:p>
        </w:tc>
        <w:tc>
          <w:tcPr>
            <w:tcW w:w="6478" w:type="dxa"/>
          </w:tcPr>
          <w:p w14:paraId="10842260"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elements used to calculate the Operating Margin should be shown on the face of the Income Statement in a standard set of financial statements.</w:t>
            </w:r>
          </w:p>
          <w:p w14:paraId="38276E7A"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Figures for Operating Profit and Revenue should exclude the entity’s share of the results of any joint ventures or Associates.</w:t>
            </w:r>
          </w:p>
          <w:p w14:paraId="000000FC" w14:textId="5BC62199" w:rsidR="004C24D2" w:rsidRDefault="004C24D2" w:rsidP="004C24D2">
            <w:pPr>
              <w:pBdr>
                <w:top w:val="nil"/>
                <w:left w:val="nil"/>
                <w:bottom w:val="nil"/>
                <w:right w:val="nil"/>
                <w:between w:val="nil"/>
              </w:pBdr>
              <w:spacing w:before="100" w:after="200"/>
              <w:jc w:val="left"/>
              <w:rPr>
                <w:rFonts w:ascii="Arial" w:eastAsia="Arial" w:hAnsi="Arial"/>
                <w:i/>
                <w:color w:val="000000"/>
                <w:sz w:val="24"/>
                <w:szCs w:val="24"/>
              </w:rPr>
            </w:pPr>
            <w:r w:rsidRPr="004F4E2D">
              <w:rPr>
                <w:rFonts w:ascii="Arial" w:eastAsia="Arial" w:hAnsi="Arial"/>
                <w:color w:val="000000"/>
                <w:sz w:val="24"/>
                <w:szCs w:val="24"/>
              </w:rPr>
              <w:t>Where an entity has an operating loss (i.e. where the operating profit is negative), Operating Profit should be taken to be zero.</w:t>
            </w:r>
          </w:p>
        </w:tc>
      </w:tr>
      <w:tr w:rsidR="004C24D2" w14:paraId="2F24F156" w14:textId="77777777">
        <w:tc>
          <w:tcPr>
            <w:tcW w:w="2538" w:type="dxa"/>
          </w:tcPr>
          <w:p w14:paraId="3E72E84A" w14:textId="77777777" w:rsidR="004C24D2" w:rsidRDefault="004C24D2" w:rsidP="004C24D2">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3</w:t>
            </w:r>
          </w:p>
          <w:p w14:paraId="594635F3"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color w:val="000000"/>
                <w:sz w:val="24"/>
                <w:szCs w:val="24"/>
              </w:rPr>
              <w:t>Net Debt to EBITDA Ratio</w:t>
            </w:r>
          </w:p>
          <w:p w14:paraId="759087A9"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44B15D2C"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635047B6"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19DBEC15"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24FCA8BD"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0BE21C9A"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7C6FED6C"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6CF45240"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74045191"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64BA0C4D"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5076E414"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7C18A1A3"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57FDEA44"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43111CE0"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028DA5FB"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p>
          <w:p w14:paraId="000000FE" w14:textId="5B03DE45" w:rsidR="004C24D2" w:rsidRDefault="004C24D2" w:rsidP="004C24D2">
            <w:pPr>
              <w:pBdr>
                <w:top w:val="nil"/>
                <w:left w:val="nil"/>
                <w:bottom w:val="nil"/>
                <w:right w:val="nil"/>
                <w:between w:val="nil"/>
              </w:pBdr>
              <w:spacing w:before="100" w:after="200"/>
              <w:jc w:val="left"/>
              <w:rPr>
                <w:rFonts w:ascii="Arial" w:eastAsia="Arial" w:hAnsi="Arial"/>
                <w:b/>
                <w:color w:val="000000"/>
                <w:sz w:val="24"/>
                <w:szCs w:val="24"/>
              </w:rPr>
            </w:pPr>
          </w:p>
        </w:tc>
        <w:tc>
          <w:tcPr>
            <w:tcW w:w="6478" w:type="dxa"/>
          </w:tcPr>
          <w:p w14:paraId="20DC5E86" w14:textId="77777777" w:rsidR="004C24D2" w:rsidRDefault="004C24D2" w:rsidP="004C24D2">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14:paraId="4122F69F" w14:textId="77777777" w:rsidR="004C24D2" w:rsidRDefault="004C24D2" w:rsidP="004C24D2">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EBITDA</w:t>
            </w:r>
            <w:r>
              <w:rPr>
                <w:rFonts w:ascii="Arial" w:eastAsia="Arial" w:hAnsi="Arial"/>
                <w:i/>
                <w:color w:val="000000"/>
                <w:sz w:val="24"/>
                <w:szCs w:val="24"/>
              </w:rPr>
              <w:t>” = Operating profit + Depreciation charge + Amortisation charge</w:t>
            </w:r>
          </w:p>
          <w:p w14:paraId="755C1796"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6901CFEC"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05928973"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14:paraId="61AFA5CA"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14:paraId="2A782C3F"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Where Net debt is negative (i.e. an entity has net cash), the relevant Financial Target Threshold should be treated as having been met. </w:t>
            </w:r>
          </w:p>
          <w:p w14:paraId="0000010A" w14:textId="5F463C02"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bookmarkStart w:id="8" w:name="_heading=h.1pxezwc" w:colFirst="0" w:colLast="0"/>
            <w:bookmarkEnd w:id="8"/>
            <w:r w:rsidRPr="004F4E2D">
              <w:rPr>
                <w:rFonts w:ascii="Arial" w:eastAsia="Arial" w:hAnsi="Arial"/>
                <w:color w:val="000000"/>
                <w:sz w:val="24"/>
                <w:szCs w:val="24"/>
              </w:rPr>
              <w:t>EBITDA: Operating profit should be shown on the face of the Income Statement and, for the purposes of calculating this Financial Indicator, should include the entity’s share of the results of any joint ventures or Associates. 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4C24D2" w14:paraId="374B4536" w14:textId="77777777" w:rsidTr="00766E81">
        <w:tc>
          <w:tcPr>
            <w:tcW w:w="2538" w:type="dxa"/>
          </w:tcPr>
          <w:p w14:paraId="6F085C65" w14:textId="77777777" w:rsidR="004F4E2D" w:rsidRDefault="004F4E2D" w:rsidP="004C24D2">
            <w:pPr>
              <w:pBdr>
                <w:top w:val="nil"/>
                <w:left w:val="nil"/>
                <w:bottom w:val="nil"/>
                <w:right w:val="nil"/>
                <w:between w:val="nil"/>
              </w:pBdr>
              <w:spacing w:before="100" w:after="200"/>
              <w:jc w:val="left"/>
              <w:rPr>
                <w:rFonts w:ascii="Arial" w:eastAsia="Arial" w:hAnsi="Arial"/>
                <w:b/>
                <w:color w:val="000000"/>
                <w:sz w:val="24"/>
                <w:szCs w:val="24"/>
              </w:rPr>
            </w:pPr>
          </w:p>
          <w:p w14:paraId="1C7195A7" w14:textId="5250363B" w:rsidR="00851EA5" w:rsidRDefault="00851EA5" w:rsidP="004C24D2">
            <w:pPr>
              <w:pBdr>
                <w:top w:val="nil"/>
                <w:left w:val="nil"/>
                <w:bottom w:val="nil"/>
                <w:right w:val="nil"/>
                <w:between w:val="nil"/>
              </w:pBdr>
              <w:spacing w:before="100" w:after="200"/>
              <w:jc w:val="left"/>
              <w:rPr>
                <w:rFonts w:ascii="Arial" w:eastAsia="Arial" w:hAnsi="Arial"/>
                <w:b/>
                <w:color w:val="000000"/>
                <w:sz w:val="24"/>
                <w:szCs w:val="24"/>
              </w:rPr>
            </w:pPr>
          </w:p>
          <w:p w14:paraId="6A3D58F0" w14:textId="77777777" w:rsidR="004F4E2D" w:rsidRPr="00851EA5" w:rsidRDefault="004F4E2D" w:rsidP="00851EA5">
            <w:pPr>
              <w:jc w:val="right"/>
              <w:rPr>
                <w:rFonts w:ascii="Arial" w:eastAsia="Arial" w:hAnsi="Arial"/>
                <w:sz w:val="24"/>
                <w:szCs w:val="24"/>
              </w:rPr>
            </w:pPr>
          </w:p>
          <w:p w14:paraId="53AA408C" w14:textId="2ECD7E43" w:rsidR="004C24D2" w:rsidRDefault="004C24D2" w:rsidP="004C24D2">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4</w:t>
            </w:r>
          </w:p>
          <w:p w14:paraId="0000010C" w14:textId="2F051F70" w:rsidR="004C24D2" w:rsidRDefault="004C24D2" w:rsidP="004C24D2">
            <w:pPr>
              <w:pBdr>
                <w:top w:val="nil"/>
                <w:left w:val="nil"/>
                <w:bottom w:val="nil"/>
                <w:right w:val="nil"/>
                <w:between w:val="nil"/>
              </w:pBdr>
              <w:spacing w:before="100" w:after="200"/>
              <w:jc w:val="left"/>
              <w:rPr>
                <w:rFonts w:ascii="Arial" w:eastAsia="Arial" w:hAnsi="Arial"/>
                <w:b/>
                <w:color w:val="000000"/>
                <w:sz w:val="24"/>
                <w:szCs w:val="24"/>
              </w:rPr>
            </w:pPr>
            <w:r w:rsidRPr="004F4E2D">
              <w:rPr>
                <w:rFonts w:ascii="Arial" w:hAnsi="Arial"/>
                <w:b/>
                <w:bCs/>
                <w:color w:val="000000"/>
                <w:sz w:val="24"/>
                <w:szCs w:val="24"/>
              </w:rPr>
              <w:t>Net Debt + Net</w:t>
            </w:r>
            <w:r w:rsidR="00C764A9">
              <w:rPr>
                <w:rFonts w:ascii="Arial" w:hAnsi="Arial"/>
                <w:b/>
                <w:bCs/>
                <w:color w:val="000000"/>
                <w:sz w:val="24"/>
                <w:szCs w:val="24"/>
              </w:rPr>
              <w:t xml:space="preserve"> </w:t>
            </w:r>
            <w:r w:rsidRPr="004F4E2D">
              <w:rPr>
                <w:rFonts w:ascii="Arial" w:hAnsi="Arial"/>
                <w:b/>
                <w:bCs/>
                <w:color w:val="000000"/>
                <w:sz w:val="24"/>
                <w:szCs w:val="24"/>
              </w:rPr>
              <w:t>Pension Deficit to EBITDA ratio</w:t>
            </w:r>
          </w:p>
        </w:tc>
        <w:tc>
          <w:tcPr>
            <w:tcW w:w="6478" w:type="dxa"/>
          </w:tcPr>
          <w:p w14:paraId="08A8A795" w14:textId="77777777" w:rsidR="004C24D2" w:rsidRDefault="004C24D2" w:rsidP="004C24D2">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lastRenderedPageBreak/>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14:paraId="4931BA52" w14:textId="77777777" w:rsidR="004C24D2" w:rsidRDefault="004C24D2" w:rsidP="004C24D2">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lastRenderedPageBreak/>
              <w:t>“</w:t>
            </w:r>
            <w:r>
              <w:rPr>
                <w:rFonts w:ascii="Arial" w:eastAsia="Arial" w:hAnsi="Arial"/>
                <w:b/>
                <w:i/>
                <w:color w:val="000000"/>
                <w:sz w:val="24"/>
                <w:szCs w:val="24"/>
              </w:rPr>
              <w:t>Net Pension Deficit</w:t>
            </w:r>
            <w:r>
              <w:rPr>
                <w:rFonts w:ascii="Arial" w:eastAsia="Arial" w:hAnsi="Arial"/>
                <w:i/>
                <w:color w:val="000000"/>
                <w:sz w:val="24"/>
                <w:szCs w:val="24"/>
              </w:rPr>
              <w:t>” = Retirement Benefit Obligations – Retirement Benefit Assets</w:t>
            </w:r>
          </w:p>
          <w:p w14:paraId="13C5C8AA" w14:textId="77777777" w:rsidR="004C24D2" w:rsidRDefault="004C24D2" w:rsidP="004C24D2">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EBITDA</w:t>
            </w:r>
            <w:r>
              <w:rPr>
                <w:rFonts w:ascii="Arial" w:eastAsia="Arial" w:hAnsi="Arial"/>
                <w:i/>
                <w:color w:val="000000"/>
                <w:sz w:val="24"/>
                <w:szCs w:val="24"/>
              </w:rPr>
              <w:t>” = Operating profit + Depreciation charge + Amortisation charge</w:t>
            </w:r>
          </w:p>
          <w:p w14:paraId="25AFD250"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65241583"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Pr>
                <w:rFonts w:ascii="Arial" w:eastAsia="Arial" w:hAnsi="Arial"/>
                <w:i/>
                <w:color w:val="000000"/>
                <w:sz w:val="24"/>
                <w:szCs w:val="24"/>
              </w:rPr>
              <w:t>not</w:t>
            </w:r>
            <w:r>
              <w:rPr>
                <w:rFonts w:ascii="Arial" w:eastAsia="Arial" w:hAnsi="Arial"/>
                <w:color w:val="000000"/>
                <w:sz w:val="24"/>
                <w:szCs w:val="24"/>
              </w:rPr>
              <w:t xml:space="preserve"> non-designated hedges). Borrowings should also include balances owed to other group members.</w:t>
            </w:r>
          </w:p>
          <w:p w14:paraId="345A2340"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14:paraId="01070DDE"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14:paraId="06ABB94C"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Pension Deficit</w:t>
            </w:r>
            <w:r>
              <w:rPr>
                <w:rFonts w:ascii="Arial" w:eastAsia="Arial" w:hAnsi="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04F03C35"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‘Net Debt + Net Pension Deficit’ is negative, the relevant Financial Target Threshold should be treated as having been met.</w:t>
            </w:r>
          </w:p>
          <w:p w14:paraId="0F426096"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EBITDA</w:t>
            </w:r>
            <w:r>
              <w:rPr>
                <w:rFonts w:ascii="Arial" w:eastAsia="Arial" w:hAnsi="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0080137B"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bookmarkStart w:id="9" w:name="_heading=h.49x2ik5" w:colFirst="0" w:colLast="0"/>
            <w:bookmarkEnd w:id="9"/>
            <w:r>
              <w:rPr>
                <w:rFonts w:ascii="Arial" w:eastAsia="Arial" w:hAnsi="Arial"/>
                <w:color w:val="000000"/>
                <w:sz w:val="24"/>
                <w:szCs w:val="24"/>
              </w:rPr>
              <w:t xml:space="preserve">The depreciation and amortisation charges for the period may be found on the face of the Statement of Cash Flows or in a Note to the Accounts. </w:t>
            </w:r>
          </w:p>
          <w:p w14:paraId="00000111" w14:textId="4C77FB42"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sidRPr="004F4E2D">
              <w:rPr>
                <w:rFonts w:ascii="Arial" w:eastAsia="Arial" w:hAnsi="Arial"/>
                <w:color w:val="000000"/>
                <w:sz w:val="24"/>
                <w:szCs w:val="24"/>
              </w:rPr>
              <w:t xml:space="preserve">Where EBITDA is negative, the relevant Financial Target Threshold should be treated as not having been met (unless ‘Net Debt + Net Pension Deficit’ is also negative, </w:t>
            </w:r>
            <w:r w:rsidRPr="004F4E2D">
              <w:rPr>
                <w:rFonts w:ascii="Arial" w:eastAsia="Arial" w:hAnsi="Arial"/>
                <w:color w:val="000000"/>
                <w:sz w:val="24"/>
                <w:szCs w:val="24"/>
              </w:rPr>
              <w:lastRenderedPageBreak/>
              <w:t>in which case the relevant Financial Target Threshold should be regarded as having been met).</w:t>
            </w:r>
          </w:p>
        </w:tc>
      </w:tr>
      <w:tr w:rsidR="004C24D2" w14:paraId="5DAB01B5" w14:textId="77777777">
        <w:tc>
          <w:tcPr>
            <w:tcW w:w="2538" w:type="dxa"/>
            <w:vAlign w:val="center"/>
          </w:tcPr>
          <w:p w14:paraId="396853D9" w14:textId="6CABCAF2" w:rsidR="004C24D2" w:rsidRPr="004F4E2D" w:rsidRDefault="004F4E2D" w:rsidP="004C24D2">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5</w:t>
            </w:r>
          </w:p>
          <w:p w14:paraId="00000113" w14:textId="72658FEF" w:rsidR="004C24D2" w:rsidRDefault="004C24D2" w:rsidP="004C24D2">
            <w:pPr>
              <w:pBdr>
                <w:top w:val="nil"/>
                <w:left w:val="nil"/>
                <w:bottom w:val="nil"/>
                <w:right w:val="nil"/>
                <w:between w:val="nil"/>
              </w:pBdr>
              <w:spacing w:before="100" w:after="200"/>
              <w:jc w:val="left"/>
              <w:rPr>
                <w:rFonts w:ascii="Arial" w:eastAsia="Arial" w:hAnsi="Arial"/>
                <w:b/>
                <w:color w:val="000000"/>
                <w:sz w:val="24"/>
                <w:szCs w:val="24"/>
              </w:rPr>
            </w:pPr>
            <w:r w:rsidRPr="004F4E2D">
              <w:rPr>
                <w:rFonts w:ascii="Arial" w:hAnsi="Arial"/>
                <w:b/>
                <w:bCs/>
                <w:color w:val="000000"/>
                <w:sz w:val="24"/>
                <w:szCs w:val="24"/>
              </w:rPr>
              <w:t>Net Interest Paid Cover</w:t>
            </w:r>
          </w:p>
        </w:tc>
        <w:tc>
          <w:tcPr>
            <w:tcW w:w="6478" w:type="dxa"/>
          </w:tcPr>
          <w:p w14:paraId="363D2804" w14:textId="77777777" w:rsidR="004C24D2" w:rsidRDefault="004C24D2" w:rsidP="004C24D2">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Earnings Before Interest and Tax</w:t>
            </w:r>
            <w:r>
              <w:rPr>
                <w:rFonts w:ascii="Arial" w:eastAsia="Arial" w:hAnsi="Arial"/>
                <w:i/>
                <w:color w:val="000000"/>
                <w:sz w:val="24"/>
                <w:szCs w:val="24"/>
              </w:rPr>
              <w:t>” = Operating profit</w:t>
            </w:r>
          </w:p>
          <w:p w14:paraId="6335039B" w14:textId="77777777" w:rsidR="004C24D2" w:rsidRDefault="004C24D2" w:rsidP="004C24D2">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Interest Paid</w:t>
            </w:r>
            <w:r>
              <w:rPr>
                <w:rFonts w:ascii="Arial" w:eastAsia="Arial" w:hAnsi="Arial"/>
                <w:i/>
                <w:color w:val="000000"/>
                <w:sz w:val="24"/>
                <w:szCs w:val="24"/>
              </w:rPr>
              <w:t>” = Interest paid – Interest received</w:t>
            </w:r>
          </w:p>
          <w:p w14:paraId="03D84F91"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C7123A0" w14:textId="77777777"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Interest received and interest paid should be shown on the face of the Cash Flow statement.</w:t>
            </w:r>
          </w:p>
          <w:p w14:paraId="00000114" w14:textId="3B708293"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sidRPr="004F4E2D">
              <w:rPr>
                <w:rFonts w:ascii="Arial" w:eastAsia="Arial" w:hAnsi="Arial"/>
                <w:color w:val="000000"/>
                <w:sz w:val="24"/>
                <w:szCs w:val="24"/>
              </w:rPr>
              <w:t>Where Net interest paid is negative (i.e. the entity has net interest received), the relevant Financial Target Threshold should be treated as having been met.</w:t>
            </w:r>
          </w:p>
        </w:tc>
      </w:tr>
      <w:tr w:rsidR="004C24D2" w14:paraId="046D5579" w14:textId="77777777">
        <w:tc>
          <w:tcPr>
            <w:tcW w:w="2538" w:type="dxa"/>
            <w:vAlign w:val="center"/>
          </w:tcPr>
          <w:p w14:paraId="5A44B00D" w14:textId="77777777" w:rsidR="004C24D2" w:rsidRDefault="004C24D2" w:rsidP="004C24D2">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6</w:t>
            </w:r>
          </w:p>
          <w:p w14:paraId="00000116" w14:textId="1822D3B8" w:rsidR="004C24D2" w:rsidRDefault="004C24D2" w:rsidP="004C24D2">
            <w:pPr>
              <w:pBdr>
                <w:top w:val="nil"/>
                <w:left w:val="nil"/>
                <w:bottom w:val="nil"/>
                <w:right w:val="nil"/>
                <w:between w:val="nil"/>
              </w:pBdr>
              <w:spacing w:before="100" w:after="200"/>
              <w:jc w:val="left"/>
              <w:rPr>
                <w:rFonts w:ascii="Arial" w:eastAsia="Arial" w:hAnsi="Arial"/>
                <w:b/>
                <w:color w:val="000000"/>
                <w:sz w:val="24"/>
                <w:szCs w:val="24"/>
              </w:rPr>
            </w:pPr>
            <w:r w:rsidRPr="004F4E2D">
              <w:rPr>
                <w:rFonts w:ascii="Arial" w:hAnsi="Arial"/>
                <w:b/>
                <w:bCs/>
                <w:color w:val="000000"/>
                <w:sz w:val="24"/>
                <w:szCs w:val="24"/>
              </w:rPr>
              <w:t>Acid Ratio</w:t>
            </w:r>
          </w:p>
        </w:tc>
        <w:tc>
          <w:tcPr>
            <w:tcW w:w="6478" w:type="dxa"/>
          </w:tcPr>
          <w:p w14:paraId="00000117" w14:textId="08BEBA28"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sidRPr="004F4E2D">
              <w:rPr>
                <w:rFonts w:ascii="Arial" w:eastAsia="Arial" w:hAnsi="Arial"/>
                <w:color w:val="000000"/>
                <w:sz w:val="24"/>
                <w:szCs w:val="24"/>
              </w:rPr>
              <w:t>All elements that are used to calculate the Acid Ratio are available on the face of the Balance Sheet in a standard set of financial statements.</w:t>
            </w:r>
          </w:p>
        </w:tc>
      </w:tr>
      <w:tr w:rsidR="004C24D2" w14:paraId="7174B8D4" w14:textId="77777777">
        <w:tc>
          <w:tcPr>
            <w:tcW w:w="2538" w:type="dxa"/>
            <w:vAlign w:val="center"/>
          </w:tcPr>
          <w:p w14:paraId="28B22548" w14:textId="77777777" w:rsidR="004C24D2" w:rsidRDefault="004C24D2" w:rsidP="004C24D2">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7</w:t>
            </w:r>
          </w:p>
          <w:p w14:paraId="00000119" w14:textId="554D0868" w:rsidR="004C24D2" w:rsidRDefault="004C24D2" w:rsidP="004C24D2">
            <w:pPr>
              <w:pBdr>
                <w:top w:val="nil"/>
                <w:left w:val="nil"/>
                <w:bottom w:val="nil"/>
                <w:right w:val="nil"/>
                <w:between w:val="nil"/>
              </w:pBdr>
              <w:spacing w:before="100" w:after="200"/>
              <w:jc w:val="left"/>
              <w:rPr>
                <w:rFonts w:ascii="Arial" w:eastAsia="Arial" w:hAnsi="Arial"/>
                <w:b/>
                <w:color w:val="000000"/>
                <w:sz w:val="24"/>
                <w:szCs w:val="24"/>
              </w:rPr>
            </w:pPr>
            <w:r w:rsidRPr="004F4E2D">
              <w:rPr>
                <w:rFonts w:ascii="Arial" w:hAnsi="Arial"/>
                <w:b/>
                <w:bCs/>
                <w:color w:val="000000"/>
                <w:sz w:val="24"/>
                <w:szCs w:val="24"/>
              </w:rPr>
              <w:t>Net Asset value</w:t>
            </w:r>
          </w:p>
        </w:tc>
        <w:tc>
          <w:tcPr>
            <w:tcW w:w="6478" w:type="dxa"/>
          </w:tcPr>
          <w:p w14:paraId="0000011F" w14:textId="7EE5CE74" w:rsidR="004C24D2" w:rsidRDefault="004C24D2" w:rsidP="004C24D2">
            <w:pPr>
              <w:pBdr>
                <w:top w:val="nil"/>
                <w:left w:val="nil"/>
                <w:bottom w:val="nil"/>
                <w:right w:val="nil"/>
                <w:between w:val="nil"/>
              </w:pBdr>
              <w:spacing w:before="100" w:after="200"/>
              <w:jc w:val="left"/>
              <w:rPr>
                <w:rFonts w:ascii="Arial" w:eastAsia="Arial" w:hAnsi="Arial"/>
                <w:color w:val="000000"/>
                <w:sz w:val="24"/>
                <w:szCs w:val="24"/>
              </w:rPr>
            </w:pPr>
            <w:r w:rsidRPr="004F4E2D">
              <w:rPr>
                <w:rFonts w:ascii="Arial" w:eastAsia="Arial" w:hAnsi="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4F4E2D" w14:paraId="15D8BD34" w14:textId="77777777">
        <w:tc>
          <w:tcPr>
            <w:tcW w:w="2538" w:type="dxa"/>
            <w:vAlign w:val="center"/>
          </w:tcPr>
          <w:p w14:paraId="567C2D25" w14:textId="06C75DC9" w:rsidR="004F4E2D" w:rsidRDefault="004F4E2D" w:rsidP="004F4E2D">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8</w:t>
            </w:r>
          </w:p>
          <w:p w14:paraId="0CCA60BA" w14:textId="386199A8" w:rsidR="004F4E2D" w:rsidRDefault="004F4E2D" w:rsidP="004F4E2D">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Group Exposure Ratio</w:t>
            </w:r>
          </w:p>
        </w:tc>
        <w:tc>
          <w:tcPr>
            <w:tcW w:w="6478" w:type="dxa"/>
          </w:tcPr>
          <w:p w14:paraId="1CECE432" w14:textId="77777777" w:rsidR="004F4E2D" w:rsidRDefault="004F4E2D" w:rsidP="004F4E2D">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Group Exposure</w:t>
            </w:r>
            <w:r>
              <w:rPr>
                <w:rFonts w:ascii="Arial" w:eastAsia="Arial" w:hAnsi="Arial"/>
                <w:i/>
                <w:color w:val="000000"/>
                <w:sz w:val="24"/>
                <w:szCs w:val="24"/>
              </w:rPr>
              <w:t>” = Balances owed by Group Undertakings + Contingent liabilities assumed in support of Group Undertakings</w:t>
            </w:r>
          </w:p>
          <w:p w14:paraId="46FB045E" w14:textId="77777777" w:rsidR="004F4E2D" w:rsidRDefault="004F4E2D" w:rsidP="004F4E2D">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Gross Assets</w:t>
            </w:r>
            <w:r>
              <w:rPr>
                <w:rFonts w:ascii="Arial" w:eastAsia="Arial" w:hAnsi="Arial"/>
                <w:i/>
                <w:color w:val="000000"/>
                <w:sz w:val="24"/>
                <w:szCs w:val="24"/>
              </w:rPr>
              <w:t>” = Fixed Assets + Current Assets</w:t>
            </w:r>
          </w:p>
          <w:p w14:paraId="4AED8A20" w14:textId="7AC5067F" w:rsidR="004F4E2D" w:rsidRPr="004F4E2D" w:rsidRDefault="004F4E2D" w:rsidP="004F4E2D">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Group Exposure</w:t>
            </w:r>
            <w:r>
              <w:rPr>
                <w:rFonts w:ascii="Arial" w:eastAsia="Arial" w:hAnsi="Arial"/>
                <w:color w:val="000000"/>
                <w:sz w:val="24"/>
                <w:szCs w:val="24"/>
              </w:rPr>
              <w:t>:  Balances owed by (</w:t>
            </w:r>
            <w:proofErr w:type="spellStart"/>
            <w:r>
              <w:rPr>
                <w:rFonts w:ascii="Arial" w:eastAsia="Arial" w:hAnsi="Arial"/>
                <w:color w:val="000000"/>
                <w:sz w:val="24"/>
                <w:szCs w:val="24"/>
              </w:rPr>
              <w:t>ie</w:t>
            </w:r>
            <w:proofErr w:type="spellEnd"/>
            <w:r>
              <w:rPr>
                <w:rFonts w:ascii="Arial" w:eastAsia="Arial" w:hAnsi="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tc>
      </w:tr>
    </w:tbl>
    <w:p w14:paraId="00000120" w14:textId="77777777" w:rsidR="00AD2441" w:rsidRDefault="00AD2441">
      <w:pPr>
        <w:pBdr>
          <w:top w:val="nil"/>
          <w:left w:val="nil"/>
          <w:bottom w:val="nil"/>
          <w:right w:val="nil"/>
          <w:between w:val="nil"/>
        </w:pBdr>
        <w:spacing w:before="100" w:after="200"/>
        <w:jc w:val="left"/>
        <w:rPr>
          <w:rFonts w:ascii="Arial" w:eastAsia="Arial" w:hAnsi="Arial"/>
          <w:color w:val="000000"/>
          <w:sz w:val="24"/>
          <w:szCs w:val="24"/>
        </w:rPr>
      </w:pPr>
    </w:p>
    <w:p w14:paraId="00000122" w14:textId="348CC94F" w:rsidR="00AD2441" w:rsidRDefault="00D842E1" w:rsidP="00EF0E22">
      <w:pPr>
        <w:spacing w:after="200" w:line="276" w:lineRule="auto"/>
        <w:jc w:val="left"/>
        <w:rPr>
          <w:rFonts w:ascii="Arial Bold" w:eastAsia="Arial Bold" w:hAnsi="Arial Bold" w:cs="Arial Bold"/>
          <w:b/>
          <w:smallCaps/>
          <w:color w:val="000000"/>
          <w:sz w:val="24"/>
          <w:szCs w:val="24"/>
        </w:rPr>
      </w:pPr>
      <w:r>
        <w:br w:type="page"/>
      </w:r>
      <w:bookmarkStart w:id="10" w:name="_heading=h.2p2csry" w:colFirst="0" w:colLast="0"/>
      <w:bookmarkEnd w:id="10"/>
      <w:r w:rsidR="00EF0E22" w:rsidRPr="00EF0E22">
        <w:rPr>
          <w:b/>
        </w:rPr>
        <w:lastRenderedPageBreak/>
        <w:t>A</w:t>
      </w:r>
      <w:r>
        <w:rPr>
          <w:rFonts w:ascii="Arial Bold" w:eastAsia="Arial Bold" w:hAnsi="Arial Bold" w:cs="Arial Bold"/>
          <w:b/>
          <w:smallCaps/>
          <w:color w:val="000000"/>
          <w:sz w:val="24"/>
          <w:szCs w:val="24"/>
        </w:rPr>
        <w:t>nnex 4: Board Confirmation</w:t>
      </w:r>
    </w:p>
    <w:p w14:paraId="00000124" w14:textId="77777777" w:rsidR="00AD2441" w:rsidRDefault="00D842E1">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Supplier Name:</w:t>
      </w:r>
    </w:p>
    <w:p w14:paraId="00000125" w14:textId="77777777" w:rsidR="00AD2441" w:rsidRDefault="00D842E1">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Contract Reference Number:</w:t>
      </w:r>
    </w:p>
    <w:p w14:paraId="00000127" w14:textId="77777777" w:rsidR="00AD2441" w:rsidRDefault="00D842E1">
      <w:pPr>
        <w:pBdr>
          <w:top w:val="nil"/>
          <w:left w:val="nil"/>
          <w:bottom w:val="nil"/>
          <w:right w:val="nil"/>
          <w:between w:val="nil"/>
        </w:pBdr>
        <w:spacing w:before="100" w:after="200"/>
        <w:ind w:left="720"/>
        <w:jc w:val="left"/>
        <w:rPr>
          <w:rFonts w:ascii="Arial" w:eastAsia="Arial" w:hAnsi="Arial"/>
          <w:color w:val="000000"/>
          <w:sz w:val="24"/>
          <w:szCs w:val="24"/>
        </w:rPr>
      </w:pPr>
      <w:bookmarkStart w:id="11" w:name="_heading=h.147n2zr" w:colFirst="0" w:colLast="0"/>
      <w:bookmarkEnd w:id="11"/>
      <w:r>
        <w:rPr>
          <w:rFonts w:ascii="Arial" w:eastAsia="Arial" w:hAnsi="Arial"/>
          <w:color w:val="000000"/>
          <w:sz w:val="24"/>
          <w:szCs w:val="24"/>
        </w:rPr>
        <w:t>The Board of Directors acknowledge the requirements set out at paragraph 8 of Joint Schedule 7 (</w:t>
      </w:r>
      <w:r>
        <w:rPr>
          <w:rFonts w:ascii="Arial" w:eastAsia="Arial" w:hAnsi="Arial"/>
          <w:i/>
          <w:color w:val="000000"/>
          <w:sz w:val="24"/>
          <w:szCs w:val="24"/>
        </w:rPr>
        <w:t>Financial Distress</w:t>
      </w:r>
      <w:r>
        <w:rPr>
          <w:rFonts w:ascii="Arial" w:eastAsia="Arial" w:hAnsi="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00000128" w14:textId="77777777" w:rsidR="00AD2441" w:rsidRDefault="00D842E1">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The Board of Directors confirms, to the best of its knowledge and belief, that as at the date of this Board Confirmation it is not aware of and has no knowledge:</w:t>
      </w:r>
    </w:p>
    <w:p w14:paraId="00000129" w14:textId="77777777" w:rsidR="00AD2441" w:rsidRDefault="00D842E1">
      <w:pPr>
        <w:numPr>
          <w:ilvl w:val="3"/>
          <w:numId w:val="1"/>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that a Financial Distress Event has occurred since the later of the previous Board Confirmation and the Effective Date or is subsisting; or</w:t>
      </w:r>
    </w:p>
    <w:p w14:paraId="0000012A" w14:textId="77777777" w:rsidR="00AD2441" w:rsidRDefault="00D842E1">
      <w:pPr>
        <w:numPr>
          <w:ilvl w:val="3"/>
          <w:numId w:val="1"/>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of any matters which have occurred or are subsisting that could reasonably be expected to cause a Financial Distress Event</w:t>
      </w:r>
    </w:p>
    <w:p w14:paraId="0000012B" w14:textId="77777777" w:rsidR="00AD2441" w:rsidRDefault="00AD2441">
      <w:pPr>
        <w:pBdr>
          <w:top w:val="nil"/>
          <w:left w:val="nil"/>
          <w:bottom w:val="nil"/>
          <w:right w:val="nil"/>
          <w:between w:val="nil"/>
        </w:pBdr>
        <w:spacing w:before="100" w:after="200"/>
        <w:jc w:val="left"/>
        <w:rPr>
          <w:rFonts w:ascii="Arial" w:eastAsia="Arial" w:hAnsi="Arial"/>
          <w:color w:val="000000"/>
          <w:sz w:val="24"/>
          <w:szCs w:val="24"/>
        </w:rPr>
      </w:pPr>
    </w:p>
    <w:p w14:paraId="0000012C" w14:textId="77777777" w:rsidR="00AD2441" w:rsidRDefault="00D842E1">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On behalf of the Board of Directors:</w:t>
      </w:r>
    </w:p>
    <w:p w14:paraId="0000012D" w14:textId="77777777" w:rsidR="00AD2441" w:rsidRDefault="00AD2441">
      <w:pPr>
        <w:pBdr>
          <w:top w:val="nil"/>
          <w:left w:val="nil"/>
          <w:bottom w:val="nil"/>
          <w:right w:val="nil"/>
          <w:between w:val="nil"/>
        </w:pBdr>
        <w:spacing w:before="100" w:after="200"/>
        <w:jc w:val="left"/>
        <w:rPr>
          <w:rFonts w:ascii="Arial" w:eastAsia="Arial" w:hAnsi="Arial"/>
          <w:color w:val="000000"/>
          <w:sz w:val="24"/>
          <w:szCs w:val="24"/>
        </w:rPr>
      </w:pPr>
    </w:p>
    <w:p w14:paraId="0000012E" w14:textId="77777777" w:rsidR="00AD2441" w:rsidRDefault="00D842E1">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Chair</w:t>
      </w:r>
      <w:r>
        <w:rPr>
          <w:rFonts w:ascii="Arial" w:eastAsia="Arial" w:hAnsi="Arial"/>
          <w:color w:val="000000"/>
          <w:sz w:val="24"/>
          <w:szCs w:val="24"/>
        </w:rPr>
        <w:tab/>
      </w:r>
      <w:r>
        <w:rPr>
          <w:rFonts w:ascii="Arial" w:eastAsia="Arial" w:hAnsi="Arial"/>
          <w:color w:val="000000"/>
          <w:sz w:val="24"/>
          <w:szCs w:val="24"/>
        </w:rPr>
        <w:tab/>
        <w:t>…………………………………</w:t>
      </w:r>
    </w:p>
    <w:p w14:paraId="0000012F" w14:textId="77777777" w:rsidR="00AD2441" w:rsidRDefault="00D842E1">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14:paraId="00000130" w14:textId="77777777" w:rsidR="00AD2441" w:rsidRDefault="00D842E1">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14:paraId="00000131" w14:textId="77777777" w:rsidR="00AD2441" w:rsidRDefault="00AD2441">
      <w:pPr>
        <w:pBdr>
          <w:top w:val="nil"/>
          <w:left w:val="nil"/>
          <w:bottom w:val="nil"/>
          <w:right w:val="nil"/>
          <w:between w:val="nil"/>
        </w:pBdr>
        <w:spacing w:before="100" w:after="200"/>
        <w:jc w:val="left"/>
        <w:rPr>
          <w:rFonts w:ascii="Arial" w:eastAsia="Arial" w:hAnsi="Arial"/>
          <w:color w:val="000000"/>
          <w:sz w:val="24"/>
          <w:szCs w:val="24"/>
        </w:rPr>
      </w:pPr>
    </w:p>
    <w:p w14:paraId="00000132" w14:textId="77777777" w:rsidR="00AD2441" w:rsidRDefault="00D842E1">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Director</w:t>
      </w:r>
      <w:r>
        <w:rPr>
          <w:rFonts w:ascii="Arial" w:eastAsia="Arial" w:hAnsi="Arial"/>
          <w:color w:val="000000"/>
          <w:sz w:val="24"/>
          <w:szCs w:val="24"/>
        </w:rPr>
        <w:tab/>
      </w:r>
      <w:r>
        <w:rPr>
          <w:rFonts w:ascii="Arial" w:eastAsia="Arial" w:hAnsi="Arial"/>
          <w:color w:val="000000"/>
          <w:sz w:val="24"/>
          <w:szCs w:val="24"/>
        </w:rPr>
        <w:tab/>
        <w:t>…………………………………</w:t>
      </w:r>
    </w:p>
    <w:p w14:paraId="00000133" w14:textId="77777777" w:rsidR="00AD2441" w:rsidRDefault="00D842E1">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14:paraId="00000134" w14:textId="77777777" w:rsidR="00AD2441" w:rsidRDefault="00D842E1">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14:paraId="00000135" w14:textId="77777777" w:rsidR="00AD2441" w:rsidRDefault="00AD2441">
      <w:pPr>
        <w:spacing w:after="200" w:line="276" w:lineRule="auto"/>
        <w:jc w:val="left"/>
        <w:rPr>
          <w:rFonts w:ascii="Arial" w:eastAsia="Arial" w:hAnsi="Arial"/>
          <w:sz w:val="24"/>
          <w:szCs w:val="24"/>
        </w:rPr>
      </w:pPr>
      <w:bookmarkStart w:id="12" w:name="_heading=h.4i7ojhp" w:colFirst="0" w:colLast="0"/>
      <w:bookmarkEnd w:id="12"/>
    </w:p>
    <w:sectPr w:rsidR="00AD2441">
      <w:headerReference w:type="default" r:id="rId9"/>
      <w:footerReference w:type="defaul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75F1F" w14:textId="77777777" w:rsidR="00545172" w:rsidRDefault="00545172">
      <w:pPr>
        <w:spacing w:after="0"/>
      </w:pPr>
      <w:r>
        <w:separator/>
      </w:r>
    </w:p>
  </w:endnote>
  <w:endnote w:type="continuationSeparator" w:id="0">
    <w:p w14:paraId="309FEE6B" w14:textId="77777777" w:rsidR="00545172" w:rsidRDefault="005451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8" w14:textId="0518F1B6" w:rsidR="00AD2441" w:rsidRDefault="00D842E1">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sidR="00851EA5">
      <w:rPr>
        <w:rFonts w:ascii="Arial" w:eastAsia="Arial" w:hAnsi="Arial"/>
        <w:sz w:val="20"/>
        <w:szCs w:val="20"/>
      </w:rPr>
      <w:t>6345</w:t>
    </w:r>
    <w:r>
      <w:rPr>
        <w:rFonts w:ascii="Arial" w:eastAsia="Arial" w:hAnsi="Arial"/>
        <w:sz w:val="20"/>
        <w:szCs w:val="20"/>
      </w:rPr>
      <w:tab/>
      <w:t xml:space="preserve">                                           </w:t>
    </w:r>
  </w:p>
  <w:p w14:paraId="00000139" w14:textId="404EA775" w:rsidR="00AD2441" w:rsidRDefault="00D842E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011004">
      <w:rPr>
        <w:rFonts w:ascii="Arial" w:eastAsia="Arial" w:hAnsi="Arial"/>
        <w:noProof/>
        <w:color w:val="000000"/>
        <w:sz w:val="20"/>
        <w:szCs w:val="20"/>
      </w:rPr>
      <w:t>1</w:t>
    </w:r>
    <w:r>
      <w:rPr>
        <w:rFonts w:ascii="Arial" w:eastAsia="Arial" w:hAnsi="Arial"/>
        <w:color w:val="000000"/>
        <w:sz w:val="20"/>
        <w:szCs w:val="20"/>
      </w:rPr>
      <w:fldChar w:fldCharType="end"/>
    </w:r>
  </w:p>
  <w:p w14:paraId="0000013A" w14:textId="77777777" w:rsidR="00AD2441" w:rsidRDefault="00D842E1">
    <w:pPr>
      <w:spacing w:after="0"/>
      <w:rPr>
        <w:rFonts w:ascii="Arial" w:eastAsia="Arial" w:hAnsi="Arial"/>
        <w:sz w:val="20"/>
        <w:szCs w:val="20"/>
      </w:rPr>
    </w:pPr>
    <w:r>
      <w:rPr>
        <w:rFonts w:ascii="Arial" w:eastAsia="Arial" w:hAnsi="Arial"/>
        <w:sz w:val="20"/>
        <w:szCs w:val="20"/>
      </w:rPr>
      <w:t>Model Version: v3.6</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B" w14:textId="77777777" w:rsidR="00AD2441" w:rsidRDefault="00D842E1">
    <w:pPr>
      <w:tabs>
        <w:tab w:val="center" w:pos="4513"/>
        <w:tab w:val="right" w:pos="9026"/>
      </w:tabs>
      <w:spacing w:after="0"/>
      <w:rPr>
        <w:color w:val="BFBFBF"/>
      </w:rPr>
    </w:pPr>
    <w:r>
      <w:rPr>
        <w:color w:val="BFBFBF"/>
      </w:rPr>
      <w:t>Framework Ref: RM</w:t>
    </w:r>
    <w:r>
      <w:rPr>
        <w:color w:val="BFBFBF"/>
      </w:rPr>
      <w:tab/>
      <w:t xml:space="preserve">                                           </w:t>
    </w:r>
  </w:p>
  <w:p w14:paraId="0000013C" w14:textId="77777777" w:rsidR="00AD2441" w:rsidRDefault="00D842E1">
    <w:pPr>
      <w:pBdr>
        <w:top w:val="nil"/>
        <w:left w:val="nil"/>
        <w:bottom w:val="nil"/>
        <w:right w:val="nil"/>
        <w:between w:val="nil"/>
      </w:pBdr>
      <w:tabs>
        <w:tab w:val="center" w:pos="4513"/>
        <w:tab w:val="right" w:pos="9026"/>
      </w:tabs>
      <w:spacing w:after="0"/>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13D" w14:textId="77777777" w:rsidR="00AD2441" w:rsidRDefault="00D842E1">
    <w:pPr>
      <w:spacing w:after="0"/>
      <w:rPr>
        <w:rFonts w:ascii="Arial" w:eastAsia="Arial" w:hAnsi="Arial"/>
        <w:color w:val="BFBFBF"/>
        <w:sz w:val="20"/>
        <w:szCs w:val="20"/>
      </w:rPr>
    </w:pPr>
    <w:r>
      <w:rPr>
        <w:color w:val="BFBFBF"/>
      </w:rPr>
      <w:t xml:space="preserve">Model </w:t>
    </w:r>
    <w:proofErr w:type="gramStart"/>
    <w:r>
      <w:rPr>
        <w:color w:val="BFBFBF"/>
      </w:rPr>
      <w:t>Version :</w:t>
    </w:r>
    <w:proofErr w:type="gramEnd"/>
    <w:r>
      <w:rPr>
        <w:color w:val="BFBFBF"/>
      </w:rPr>
      <w:t xml:space="preserve"> v3.0</w:t>
    </w:r>
    <w:r>
      <w:rPr>
        <w:color w:val="BFBFBF"/>
      </w:rPr>
      <w:tab/>
    </w:r>
    <w:r>
      <w:rPr>
        <w:color w:val="BFBFBF"/>
      </w:rPr>
      <w:tab/>
    </w: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B4ECD" w14:textId="77777777" w:rsidR="00545172" w:rsidRDefault="00545172">
      <w:pPr>
        <w:spacing w:after="0"/>
      </w:pPr>
      <w:r>
        <w:separator/>
      </w:r>
    </w:p>
  </w:footnote>
  <w:footnote w:type="continuationSeparator" w:id="0">
    <w:p w14:paraId="7862AF0B" w14:textId="77777777" w:rsidR="00545172" w:rsidRDefault="005451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6" w14:textId="77777777" w:rsidR="00AD2441" w:rsidRDefault="00D842E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Joint Schedule 7 (Financial Difficulties)</w:t>
    </w:r>
  </w:p>
  <w:p w14:paraId="00000137" w14:textId="77777777" w:rsidR="00AD2441" w:rsidRDefault="00D842E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B5B84"/>
    <w:multiLevelType w:val="multilevel"/>
    <w:tmpl w:val="56CE80AE"/>
    <w:lvl w:ilvl="0">
      <w:start w:val="1"/>
      <w:numFmt w:val="decimal"/>
      <w:pStyle w:val="Annex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9334C1"/>
    <w:multiLevelType w:val="multilevel"/>
    <w:tmpl w:val="1BEC94BE"/>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 w15:restartNumberingAfterBreak="0">
    <w:nsid w:val="6C571256"/>
    <w:multiLevelType w:val="multilevel"/>
    <w:tmpl w:val="56BE4946"/>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i w:val="0"/>
        <w:smallCaps w:val="0"/>
        <w:strike w:val="0"/>
        <w:color w:val="000000"/>
        <w:u w:val="none"/>
        <w:vertAlign w:val="baseline"/>
      </w:rPr>
    </w:lvl>
    <w:lvl w:ilvl="5">
      <w:start w:val="1"/>
      <w:numFmt w:val="upperLetter"/>
      <w:pStyle w:val="GPSL6numbered"/>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41"/>
    <w:rsid w:val="00011004"/>
    <w:rsid w:val="000725C6"/>
    <w:rsid w:val="0011212F"/>
    <w:rsid w:val="0013610C"/>
    <w:rsid w:val="00413325"/>
    <w:rsid w:val="004C24D2"/>
    <w:rsid w:val="004F4E2D"/>
    <w:rsid w:val="00545172"/>
    <w:rsid w:val="006C3FBD"/>
    <w:rsid w:val="00763CB8"/>
    <w:rsid w:val="00851EA5"/>
    <w:rsid w:val="008A7528"/>
    <w:rsid w:val="008B6E1D"/>
    <w:rsid w:val="00924428"/>
    <w:rsid w:val="00AD2441"/>
    <w:rsid w:val="00AD2C4C"/>
    <w:rsid w:val="00C764A9"/>
    <w:rsid w:val="00CD59F7"/>
    <w:rsid w:val="00CE218B"/>
    <w:rsid w:val="00D20FD7"/>
    <w:rsid w:val="00D842E1"/>
    <w:rsid w:val="00E11415"/>
    <w:rsid w:val="00EB1AB1"/>
    <w:rsid w:val="00EF0E22"/>
    <w:rsid w:val="00FB0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B0C12"/>
  <w15:docId w15:val="{7B49848D-2E95-4238-831D-A47C8CA9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link w:val="Heading1Char"/>
    <w:uiPriority w:val="9"/>
    <w:qFormat/>
    <w:rsid w:val="00A96D9C"/>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96D9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96D9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96D9C"/>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96D9C"/>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96D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6D9C"/>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A96D9C"/>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A96D9C"/>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A96D9C"/>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A96D9C"/>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rsid w:val="00A96D9C"/>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A96D9C"/>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paragraph" w:customStyle="1" w:styleId="StdBodyText">
    <w:name w:val="Std Body Text"/>
    <w:basedOn w:val="Normal"/>
    <w:qFormat/>
    <w:rsid w:val="00106E9B"/>
    <w:pPr>
      <w:overflowPunct/>
      <w:autoSpaceDE/>
      <w:autoSpaceDN/>
      <w:adjustRightInd/>
      <w:spacing w:before="100" w:after="200"/>
      <w:jc w:val="left"/>
      <w:textAlignment w:val="auto"/>
    </w:pPr>
    <w:rPr>
      <w:rFonts w:ascii="Arial" w:hAnsi="Arial" w:cs="Times New Roman"/>
      <w:sz w:val="24"/>
      <w:szCs w:val="24"/>
    </w:rPr>
  </w:style>
  <w:style w:type="paragraph" w:customStyle="1" w:styleId="StdBodyTextBold">
    <w:name w:val="Std Body Text Bold"/>
    <w:basedOn w:val="Normal"/>
    <w:next w:val="StdBodyText"/>
    <w:link w:val="StdBodyTextBoldChar"/>
    <w:qFormat/>
    <w:rsid w:val="00106E9B"/>
    <w:pPr>
      <w:overflowPunct/>
      <w:autoSpaceDE/>
      <w:autoSpaceDN/>
      <w:adjustRightInd/>
      <w:spacing w:before="100" w:after="200"/>
      <w:jc w:val="left"/>
      <w:textAlignment w:val="auto"/>
    </w:pPr>
    <w:rPr>
      <w:rFonts w:ascii="Arial" w:hAnsi="Arial" w:cs="Times New Roman"/>
      <w:b/>
      <w:sz w:val="24"/>
      <w:szCs w:val="24"/>
    </w:rPr>
  </w:style>
  <w:style w:type="character" w:customStyle="1" w:styleId="StdBodyTextBoldChar">
    <w:name w:val="Std Body Text Bold Char"/>
    <w:basedOn w:val="DefaultParagraphFont"/>
    <w:link w:val="StdBodyTextBold"/>
    <w:rsid w:val="00106E9B"/>
    <w:rPr>
      <w:rFonts w:ascii="Arial" w:eastAsia="Times New Roman" w:hAnsi="Arial" w:cs="Times New Roman"/>
      <w:b/>
      <w:sz w:val="24"/>
      <w:szCs w:val="24"/>
      <w:lang w:eastAsia="en-GB"/>
    </w:rPr>
  </w:style>
  <w:style w:type="paragraph" w:customStyle="1" w:styleId="StdBodyText1">
    <w:name w:val="Std Body Text 1"/>
    <w:basedOn w:val="StdBodyText"/>
    <w:rsid w:val="005F1595"/>
    <w:pPr>
      <w:ind w:left="720"/>
    </w:pPr>
  </w:style>
  <w:style w:type="paragraph" w:customStyle="1" w:styleId="AnnexHeading">
    <w:name w:val="Annex Heading"/>
    <w:basedOn w:val="Normal"/>
    <w:next w:val="Normal"/>
    <w:rsid w:val="006B02AC"/>
    <w:pPr>
      <w:numPr>
        <w:numId w:val="3"/>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StdBodyText1"/>
    <w:rsid w:val="006B02AC"/>
    <w:pPr>
      <w:tabs>
        <w:tab w:val="num" w:pos="720"/>
      </w:tabs>
      <w:overflowPunct/>
      <w:autoSpaceDE/>
      <w:autoSpaceDN/>
      <w:adjustRightInd/>
      <w:spacing w:before="100" w:after="200"/>
      <w:ind w:left="720" w:hanging="720"/>
      <w:jc w:val="left"/>
      <w:textAlignment w:val="auto"/>
    </w:pPr>
    <w:rPr>
      <w:rFonts w:ascii="Arial" w:hAnsi="Arial" w:cs="Times New Roman"/>
      <w:b/>
      <w:sz w:val="24"/>
      <w:szCs w:val="24"/>
    </w:rPr>
  </w:style>
  <w:style w:type="paragraph" w:customStyle="1" w:styleId="AppendixText2">
    <w:name w:val="Appendix Text 2"/>
    <w:basedOn w:val="AppendixText1"/>
    <w:next w:val="Normal"/>
    <w:rsid w:val="006B02AC"/>
    <w:pPr>
      <w:numPr>
        <w:ilvl w:val="1"/>
      </w:numPr>
      <w:tabs>
        <w:tab w:val="num" w:pos="720"/>
      </w:tabs>
      <w:ind w:left="720" w:hanging="720"/>
    </w:pPr>
    <w:rPr>
      <w:b w:val="0"/>
    </w:rPr>
  </w:style>
  <w:style w:type="paragraph" w:customStyle="1" w:styleId="AppendixText3">
    <w:name w:val="Appendix Text 3"/>
    <w:basedOn w:val="Normal"/>
    <w:next w:val="Normal"/>
    <w:rsid w:val="006B02AC"/>
    <w:pPr>
      <w:numPr>
        <w:ilvl w:val="2"/>
        <w:numId w:val="4"/>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4">
    <w:name w:val="Appendix Text 4"/>
    <w:basedOn w:val="Normal"/>
    <w:next w:val="Normal"/>
    <w:rsid w:val="006B02AC"/>
    <w:pPr>
      <w:numPr>
        <w:ilvl w:val="3"/>
        <w:numId w:val="4"/>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5">
    <w:name w:val="Appendix Text 5"/>
    <w:basedOn w:val="Normal"/>
    <w:next w:val="Normal"/>
    <w:rsid w:val="006B02AC"/>
    <w:pPr>
      <w:numPr>
        <w:ilvl w:val="4"/>
        <w:numId w:val="4"/>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6">
    <w:name w:val="Appendix Text 6"/>
    <w:basedOn w:val="AppendixText5"/>
    <w:rsid w:val="006B02AC"/>
    <w:pPr>
      <w:numPr>
        <w:ilvl w:val="5"/>
      </w:numPr>
    </w:pPr>
  </w:style>
  <w:style w:type="numbering" w:customStyle="1" w:styleId="Level">
    <w:name w:val="Level"/>
    <w:uiPriority w:val="99"/>
    <w:rsid w:val="0034142A"/>
  </w:style>
  <w:style w:type="numbering" w:customStyle="1" w:styleId="Scheduleheading">
    <w:name w:val="Schedule heading"/>
    <w:uiPriority w:val="99"/>
    <w:rsid w:val="0034142A"/>
  </w:style>
  <w:style w:type="paragraph" w:customStyle="1" w:styleId="StdBodyText4">
    <w:name w:val="Std Body Text 4"/>
    <w:basedOn w:val="Normal"/>
    <w:rsid w:val="0034142A"/>
    <w:pPr>
      <w:overflowPunct/>
      <w:autoSpaceDE/>
      <w:autoSpaceDN/>
      <w:adjustRightInd/>
      <w:spacing w:before="100" w:after="200"/>
      <w:ind w:left="1803"/>
      <w:jc w:val="left"/>
      <w:textAlignment w:val="auto"/>
    </w:pPr>
    <w:rPr>
      <w:rFonts w:ascii="Arial" w:hAnsi="Arial" w:cs="Times New Roman"/>
      <w:sz w:val="24"/>
      <w:szCs w:val="24"/>
    </w:rPr>
  </w:style>
  <w:style w:type="character" w:customStyle="1" w:styleId="Heading1Char">
    <w:name w:val="Heading 1 Char"/>
    <w:basedOn w:val="DefaultParagraphFont"/>
    <w:link w:val="Heading1"/>
    <w:rsid w:val="00A96D9C"/>
    <w:rPr>
      <w:rFonts w:ascii="Calibri" w:eastAsia="Times New Roman" w:hAnsi="Calibri" w:cs="Arial"/>
      <w:b/>
      <w:sz w:val="48"/>
      <w:szCs w:val="48"/>
      <w:lang w:eastAsia="en-GB"/>
    </w:rPr>
  </w:style>
  <w:style w:type="character" w:customStyle="1" w:styleId="Heading2Char">
    <w:name w:val="Heading 2 Char"/>
    <w:basedOn w:val="DefaultParagraphFont"/>
    <w:link w:val="Heading2"/>
    <w:rsid w:val="00A96D9C"/>
    <w:rPr>
      <w:rFonts w:ascii="Calibri" w:eastAsia="Times New Roman" w:hAnsi="Calibri" w:cs="Arial"/>
      <w:b/>
      <w:sz w:val="36"/>
      <w:szCs w:val="36"/>
      <w:lang w:eastAsia="en-GB"/>
    </w:rPr>
  </w:style>
  <w:style w:type="character" w:customStyle="1" w:styleId="Heading3Char">
    <w:name w:val="Heading 3 Char"/>
    <w:basedOn w:val="DefaultParagraphFont"/>
    <w:link w:val="Heading3"/>
    <w:rsid w:val="00A96D9C"/>
    <w:rPr>
      <w:rFonts w:ascii="Calibri" w:eastAsia="Times New Roman" w:hAnsi="Calibri" w:cs="Arial"/>
      <w:b/>
      <w:sz w:val="28"/>
      <w:szCs w:val="28"/>
      <w:lang w:eastAsia="en-GB"/>
    </w:rPr>
  </w:style>
  <w:style w:type="character" w:customStyle="1" w:styleId="Heading4Char">
    <w:name w:val="Heading 4 Char"/>
    <w:basedOn w:val="DefaultParagraphFont"/>
    <w:link w:val="Heading4"/>
    <w:rsid w:val="00A96D9C"/>
    <w:rPr>
      <w:rFonts w:ascii="Calibri" w:eastAsia="Times New Roman" w:hAnsi="Calibri" w:cs="Arial"/>
      <w:b/>
      <w:sz w:val="24"/>
      <w:szCs w:val="24"/>
      <w:lang w:eastAsia="en-GB"/>
    </w:rPr>
  </w:style>
  <w:style w:type="character" w:customStyle="1" w:styleId="Heading5Char">
    <w:name w:val="Heading 5 Char"/>
    <w:basedOn w:val="DefaultParagraphFont"/>
    <w:link w:val="Heading5"/>
    <w:rsid w:val="00A96D9C"/>
    <w:rPr>
      <w:rFonts w:ascii="Calibri" w:eastAsia="Times New Roman" w:hAnsi="Calibri" w:cs="Arial"/>
      <w:b/>
      <w:lang w:eastAsia="en-GB"/>
    </w:rPr>
  </w:style>
  <w:style w:type="character" w:customStyle="1" w:styleId="Heading6Char">
    <w:name w:val="Heading 6 Char"/>
    <w:basedOn w:val="DefaultParagraphFont"/>
    <w:link w:val="Heading6"/>
    <w:rsid w:val="00A96D9C"/>
    <w:rPr>
      <w:rFonts w:ascii="Calibri" w:eastAsia="Times New Roman" w:hAnsi="Calibri" w:cs="Arial"/>
      <w:b/>
      <w:sz w:val="20"/>
      <w:szCs w:val="20"/>
      <w:lang w:eastAsia="en-GB"/>
    </w:rPr>
  </w:style>
  <w:style w:type="character" w:customStyle="1" w:styleId="TitleChar">
    <w:name w:val="Title Char"/>
    <w:basedOn w:val="DefaultParagraphFont"/>
    <w:link w:val="Title"/>
    <w:rsid w:val="00A96D9C"/>
    <w:rPr>
      <w:rFonts w:ascii="Calibri" w:eastAsia="Times New Roman" w:hAnsi="Calibri" w:cs="Arial"/>
      <w:b/>
      <w:sz w:val="72"/>
      <w:szCs w:val="72"/>
      <w:lang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96D9C"/>
    <w:rPr>
      <w:rFonts w:ascii="Georgia" w:eastAsia="Georgia" w:hAnsi="Georgia" w:cs="Georgia"/>
      <w:i/>
      <w:color w:val="666666"/>
      <w:sz w:val="48"/>
      <w:szCs w:val="48"/>
      <w:lang w:eastAsia="en-GB"/>
    </w:rPr>
  </w:style>
  <w:style w:type="table" w:customStyle="1" w:styleId="a">
    <w:basedOn w:val="TableNormal"/>
    <w:pPr>
      <w:spacing w:after="0"/>
    </w:pPr>
    <w:rPr>
      <w:sz w:val="20"/>
      <w:szCs w:val="20"/>
    </w:rPr>
    <w:tblPr>
      <w:tblStyleRowBandSize w:val="1"/>
      <w:tblStyleColBandSize w:val="1"/>
    </w:tblPr>
  </w:style>
  <w:style w:type="table" w:customStyle="1" w:styleId="a0">
    <w:basedOn w:val="TableNormal"/>
    <w:pPr>
      <w:spacing w:after="0"/>
    </w:pPr>
    <w:rPr>
      <w:sz w:val="20"/>
      <w:szCs w:val="20"/>
    </w:rPr>
    <w:tblPr>
      <w:tblStyleRowBandSize w:val="1"/>
      <w:tblStyleColBandSize w:val="1"/>
    </w:tblPr>
  </w:style>
  <w:style w:type="table" w:customStyle="1" w:styleId="a1">
    <w:basedOn w:val="TableNormal"/>
    <w:pPr>
      <w:spacing w:after="0"/>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pPr>
    <w:rPr>
      <w:sz w:val="20"/>
      <w:szCs w:val="20"/>
    </w:rPr>
    <w:tblPr>
      <w:tblStyleRowBandSize w:val="1"/>
      <w:tblStyleColBandSize w:val="1"/>
    </w:tblPr>
  </w:style>
  <w:style w:type="table" w:customStyle="1" w:styleId="a4">
    <w:basedOn w:val="TableNormal"/>
    <w:pPr>
      <w:spacing w:after="0"/>
    </w:pPr>
    <w:rPr>
      <w:sz w:val="20"/>
      <w:szCs w:val="20"/>
    </w:rPr>
    <w:tblPr>
      <w:tblStyleRowBandSize w:val="1"/>
      <w:tblStyleColBandSize w:val="1"/>
      <w:tblCellMar>
        <w:left w:w="115" w:type="dxa"/>
        <w:right w:w="115" w:type="dxa"/>
      </w:tblCellMar>
    </w:tblPr>
  </w:style>
  <w:style w:type="table" w:customStyle="1" w:styleId="a5">
    <w:basedOn w:val="TableNormal"/>
    <w:pPr>
      <w:spacing w:after="0"/>
    </w:pPr>
    <w:rPr>
      <w:sz w:val="20"/>
      <w:szCs w:val="20"/>
    </w:rPr>
    <w:tblPr>
      <w:tblStyleRowBandSize w:val="1"/>
      <w:tblStyleColBandSize w:val="1"/>
      <w:tblCellMar>
        <w:left w:w="115" w:type="dxa"/>
        <w:right w:w="115" w:type="dxa"/>
      </w:tblCellMar>
    </w:tblPr>
  </w:style>
  <w:style w:type="table" w:customStyle="1" w:styleId="a6">
    <w:basedOn w:val="TableNormal"/>
    <w:pPr>
      <w:spacing w:after="0"/>
    </w:pPr>
    <w:rPr>
      <w:sz w:val="20"/>
      <w:szCs w:val="20"/>
    </w:rPr>
    <w:tblPr>
      <w:tblStyleRowBandSize w:val="1"/>
      <w:tblStyleColBandSize w:val="1"/>
      <w:tblCellMar>
        <w:left w:w="115" w:type="dxa"/>
        <w:right w:w="115" w:type="dxa"/>
      </w:tblCellMar>
    </w:tblPr>
  </w:style>
  <w:style w:type="table" w:customStyle="1" w:styleId="a7">
    <w:basedOn w:val="TableNormal"/>
    <w:pPr>
      <w:spacing w:after="0"/>
    </w:pPr>
    <w:rPr>
      <w:sz w:val="20"/>
      <w:szCs w:val="20"/>
    </w:rPr>
    <w:tblPr>
      <w:tblStyleRowBandSize w:val="1"/>
      <w:tblStyleColBandSize w:val="1"/>
      <w:tblCellMar>
        <w:left w:w="115" w:type="dxa"/>
        <w:right w:w="115" w:type="dxa"/>
      </w:tblCellMar>
    </w:tblPr>
  </w:style>
  <w:style w:type="table" w:customStyle="1" w:styleId="a8">
    <w:basedOn w:val="TableNormal"/>
    <w:pPr>
      <w:spacing w:after="0"/>
    </w:pPr>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4C24D2"/>
    <w:pPr>
      <w:overflowPunct/>
      <w:autoSpaceDE/>
      <w:autoSpaceDN/>
      <w:adjustRightInd/>
      <w:spacing w:before="100" w:beforeAutospacing="1" w:after="100" w:afterAutospacing="1"/>
      <w:jc w:val="left"/>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D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rategic-suppli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KU72uuv9wp5bFWH/zfZPcsa8Bg==">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4731</Words>
  <Characters>26968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Kendal</dc:creator>
  <cp:lastModifiedBy>Baljinder Sall</cp:lastModifiedBy>
  <cp:revision>2</cp:revision>
  <dcterms:created xsi:type="dcterms:W3CDTF">2024-05-17T09:59:00Z</dcterms:created>
  <dcterms:modified xsi:type="dcterms:W3CDTF">2024-05-17T09:59:00Z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