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26C82" w:rsidRDefault="00DF469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Arial" w:eastAsia="Arial" w:hAnsi="Arial"/>
          <w:b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color w:val="000000"/>
          <w:sz w:val="36"/>
          <w:szCs w:val="36"/>
        </w:rPr>
        <w:t>Joint Schedule 9 (</w:t>
      </w:r>
      <w:r>
        <w:rPr>
          <w:rFonts w:ascii="Arial" w:eastAsia="Arial" w:hAnsi="Arial"/>
          <w:b/>
          <w:sz w:val="36"/>
          <w:szCs w:val="36"/>
        </w:rPr>
        <w:t>Minimum Standards of Reliability</w:t>
      </w:r>
      <w:r>
        <w:rPr>
          <w:rFonts w:ascii="Arial" w:eastAsia="Arial" w:hAnsi="Arial"/>
          <w:b/>
          <w:color w:val="000000"/>
          <w:sz w:val="36"/>
          <w:szCs w:val="36"/>
        </w:rPr>
        <w:t>)</w:t>
      </w:r>
    </w:p>
    <w:p w14:paraId="00000002" w14:textId="77777777" w:rsidR="00026C82" w:rsidRDefault="00DF469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rFonts w:ascii="Arial" w:eastAsia="Arial" w:hAnsi="Arial"/>
          <w:b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1</w:t>
      </w:r>
      <w:r>
        <w:rPr>
          <w:rFonts w:ascii="Arial" w:eastAsia="Arial" w:hAnsi="Arial"/>
          <w:b/>
          <w:color w:val="000000"/>
          <w:sz w:val="32"/>
          <w:szCs w:val="32"/>
        </w:rPr>
        <w:t xml:space="preserve">. </w:t>
      </w:r>
      <w:r>
        <w:rPr>
          <w:rFonts w:ascii="Arial" w:eastAsia="Arial" w:hAnsi="Arial"/>
          <w:b/>
          <w:color w:val="000000"/>
          <w:sz w:val="24"/>
          <w:szCs w:val="24"/>
        </w:rPr>
        <w:t>Standards</w:t>
      </w:r>
    </w:p>
    <w:p w14:paraId="00000003" w14:textId="3EFE7765" w:rsidR="00026C82" w:rsidRDefault="00DF469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360" w:hanging="360"/>
        <w:rPr>
          <w:rFonts w:ascii="Arial" w:eastAsia="Arial" w:hAnsi="Arial"/>
          <w:color w:val="000000"/>
          <w:sz w:val="24"/>
          <w:szCs w:val="24"/>
        </w:rPr>
      </w:pPr>
      <w:r w:rsidRPr="008B5D39">
        <w:rPr>
          <w:rFonts w:ascii="Arial" w:eastAsia="Arial" w:hAnsi="Arial"/>
          <w:color w:val="000000"/>
          <w:sz w:val="24"/>
          <w:szCs w:val="24"/>
        </w:rPr>
        <w:t>1.1</w:t>
      </w:r>
      <w:r>
        <w:rPr>
          <w:rFonts w:ascii="Arial" w:eastAsia="Arial" w:hAnsi="Arial"/>
          <w:color w:val="000000"/>
          <w:sz w:val="24"/>
          <w:szCs w:val="24"/>
        </w:rPr>
        <w:t xml:space="preserve"> No Call-Off Contract with an anticipated contract value in excess of £20 million (excluding VAT) shall be awarded to the Supplier if it does not show that it meets the minimum standards of reliability as set out in the </w:t>
      </w:r>
      <w:bookmarkStart w:id="1" w:name="bookmark=id.gjdgxs" w:colFirst="0" w:colLast="0"/>
      <w:bookmarkEnd w:id="1"/>
      <w:sdt>
        <w:sdtPr>
          <w:tag w:val="goog_rdk_0"/>
          <w:id w:val="-23486925"/>
          <w:showingPlcHdr/>
        </w:sdtPr>
        <w:sdtEndPr/>
        <w:sdtContent>
          <w:r w:rsidR="00874730">
            <w:t xml:space="preserve">     </w:t>
          </w:r>
        </w:sdtContent>
      </w:sdt>
      <w:sdt>
        <w:sdtPr>
          <w:tag w:val="goog_rdk_1"/>
          <w:id w:val="1677694893"/>
        </w:sdtPr>
        <w:sdtEndPr/>
        <w:sdtContent>
          <w:r>
            <w:rPr>
              <w:rFonts w:ascii="Arial" w:eastAsia="Arial" w:hAnsi="Arial"/>
              <w:color w:val="000000"/>
              <w:sz w:val="24"/>
              <w:szCs w:val="24"/>
            </w:rPr>
            <w:t xml:space="preserve">Find a Tender Service Contract </w:t>
          </w:r>
        </w:sdtContent>
      </w:sdt>
      <w:r>
        <w:rPr>
          <w:rFonts w:ascii="Arial" w:eastAsia="Arial" w:hAnsi="Arial"/>
          <w:color w:val="000000"/>
          <w:sz w:val="24"/>
          <w:szCs w:val="24"/>
        </w:rPr>
        <w:t xml:space="preserve">Notice 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(“Minimum Standards of Reliability”) </w:t>
      </w:r>
      <w:r>
        <w:rPr>
          <w:rFonts w:ascii="Arial" w:eastAsia="Arial" w:hAnsi="Arial"/>
          <w:color w:val="000000"/>
          <w:sz w:val="24"/>
          <w:szCs w:val="24"/>
        </w:rPr>
        <w:t xml:space="preserve">at the time of the proposed award of that Call-Off Contract. </w:t>
      </w:r>
    </w:p>
    <w:p w14:paraId="00000004" w14:textId="77777777" w:rsidR="00026C82" w:rsidRDefault="00DF469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/>
        <w:jc w:val="left"/>
        <w:rPr>
          <w:rFonts w:ascii="Arial" w:eastAsia="Arial" w:hAnsi="Arial"/>
          <w:color w:val="000000"/>
          <w:sz w:val="24"/>
          <w:szCs w:val="24"/>
        </w:rPr>
      </w:pPr>
      <w:r w:rsidRPr="008B5D39">
        <w:rPr>
          <w:rFonts w:ascii="Arial" w:eastAsia="Arial" w:hAnsi="Arial"/>
          <w:color w:val="000000"/>
          <w:sz w:val="24"/>
          <w:szCs w:val="24"/>
        </w:rPr>
        <w:t>1.2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CCS shall assess the Supplier’s compliance with the Minimum S</w:t>
      </w:r>
      <w:bookmarkStart w:id="2" w:name="_GoBack"/>
      <w:bookmarkEnd w:id="2"/>
      <w:r>
        <w:rPr>
          <w:rFonts w:ascii="Arial" w:eastAsia="Arial" w:hAnsi="Arial"/>
          <w:color w:val="000000"/>
          <w:sz w:val="24"/>
          <w:szCs w:val="24"/>
        </w:rPr>
        <w:t>tandards of Reliability:</w:t>
      </w:r>
    </w:p>
    <w:p w14:paraId="00000005" w14:textId="77777777" w:rsidR="00026C82" w:rsidRDefault="00DF4698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/>
        <w:ind w:left="720"/>
        <w:rPr>
          <w:rFonts w:ascii="Arial" w:eastAsia="Arial" w:hAnsi="Arial"/>
          <w:color w:val="000000"/>
          <w:sz w:val="24"/>
          <w:szCs w:val="24"/>
        </w:rPr>
      </w:pPr>
      <w:r w:rsidRPr="008B5D39">
        <w:rPr>
          <w:rFonts w:ascii="Arial" w:eastAsia="Arial" w:hAnsi="Arial"/>
          <w:color w:val="000000"/>
          <w:sz w:val="24"/>
          <w:szCs w:val="24"/>
        </w:rPr>
        <w:t>1.2.1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upon the request of any Buyer; or </w:t>
      </w:r>
    </w:p>
    <w:p w14:paraId="00000006" w14:textId="77777777" w:rsidR="00026C82" w:rsidRDefault="00DF4698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/>
        <w:ind w:left="720"/>
        <w:rPr>
          <w:rFonts w:ascii="Arial" w:eastAsia="Arial" w:hAnsi="Arial"/>
          <w:color w:val="000000"/>
          <w:sz w:val="24"/>
          <w:szCs w:val="24"/>
        </w:rPr>
      </w:pPr>
      <w:r w:rsidRPr="008B5D39">
        <w:rPr>
          <w:rFonts w:ascii="Arial" w:eastAsia="Arial" w:hAnsi="Arial"/>
          <w:color w:val="000000"/>
          <w:sz w:val="24"/>
          <w:szCs w:val="24"/>
        </w:rPr>
        <w:t>1.2.2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whenever it considers (in its absolute discretion) that it is appropriate to do so. </w:t>
      </w:r>
    </w:p>
    <w:p w14:paraId="00000007" w14:textId="292E07D1" w:rsidR="00026C82" w:rsidRDefault="00DF469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rFonts w:ascii="Arial" w:eastAsia="Arial" w:hAnsi="Arial"/>
          <w:color w:val="000000"/>
          <w:sz w:val="24"/>
          <w:szCs w:val="24"/>
        </w:rPr>
      </w:pPr>
      <w:r w:rsidRPr="008B5D39">
        <w:rPr>
          <w:rFonts w:ascii="Arial" w:eastAsia="Arial" w:hAnsi="Arial"/>
          <w:color w:val="000000"/>
          <w:sz w:val="24"/>
          <w:szCs w:val="24"/>
        </w:rPr>
        <w:t>1.3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In the event that the Supplier does not demonstrate that it meets the Minimum Standards of Reliability in an assessment carried out pursuant to Paragraph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1.2, CCS shall so notify the Supplier (and any Buyer in writing) and the CCS reserves the right to terminate its Framework Contract for material Default under </w:t>
      </w:r>
      <w:r w:rsidR="002D1214">
        <w:rPr>
          <w:rFonts w:ascii="Arial" w:eastAsia="Arial" w:hAnsi="Arial"/>
          <w:color w:val="000000"/>
          <w:sz w:val="24"/>
          <w:szCs w:val="24"/>
        </w:rPr>
        <w:t xml:space="preserve">Core Terms </w:t>
      </w:r>
      <w:r>
        <w:rPr>
          <w:rFonts w:ascii="Arial" w:eastAsia="Arial" w:hAnsi="Arial"/>
          <w:color w:val="000000"/>
          <w:sz w:val="24"/>
          <w:szCs w:val="24"/>
        </w:rPr>
        <w:t>Clause 10.4 (When CCS or the Buyer can end this contract).</w:t>
      </w:r>
    </w:p>
    <w:p w14:paraId="00000008" w14:textId="77777777" w:rsidR="00026C82" w:rsidRDefault="00026C8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sz w:val="28"/>
          <w:szCs w:val="28"/>
        </w:rPr>
      </w:pPr>
    </w:p>
    <w:p w14:paraId="00000009" w14:textId="77777777" w:rsidR="00026C82" w:rsidRDefault="00026C8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sz w:val="28"/>
          <w:szCs w:val="28"/>
        </w:rPr>
      </w:pPr>
    </w:p>
    <w:p w14:paraId="0000000A" w14:textId="77777777" w:rsidR="00026C82" w:rsidRDefault="00026C8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sz w:val="28"/>
          <w:szCs w:val="28"/>
        </w:rPr>
      </w:pPr>
    </w:p>
    <w:p w14:paraId="0000000B" w14:textId="77777777" w:rsidR="00026C82" w:rsidRDefault="00026C82">
      <w:pPr>
        <w:tabs>
          <w:tab w:val="left" w:pos="2440"/>
        </w:tabs>
      </w:pPr>
      <w:bookmarkStart w:id="3" w:name="_heading=h.30j0zll" w:colFirst="0" w:colLast="0"/>
      <w:bookmarkEnd w:id="3"/>
    </w:p>
    <w:sectPr w:rsidR="00026C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1F276" w14:textId="77777777" w:rsidR="000822CC" w:rsidRDefault="000822CC">
      <w:pPr>
        <w:spacing w:after="0"/>
      </w:pPr>
      <w:r>
        <w:separator/>
      </w:r>
    </w:p>
  </w:endnote>
  <w:endnote w:type="continuationSeparator" w:id="0">
    <w:p w14:paraId="6CF00467" w14:textId="77777777" w:rsidR="000822CC" w:rsidRDefault="00082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026C82" w:rsidRDefault="00DF4698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RM6345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0000000F" w14:textId="413D489E" w:rsidR="00026C82" w:rsidRDefault="00DF46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 xml:space="preserve">Project Version: </w:t>
    </w:r>
    <w:r w:rsidR="00874730">
      <w:rPr>
        <w:rFonts w:ascii="Arial" w:eastAsia="Arial" w:hAnsi="Arial"/>
        <w:color w:val="000000"/>
        <w:sz w:val="20"/>
        <w:szCs w:val="20"/>
      </w:rPr>
      <w:t>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2D1214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00000010" w14:textId="77777777" w:rsidR="00026C82" w:rsidRDefault="00DF469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v3.3</w:t>
    </w:r>
    <w:r>
      <w:rPr>
        <w:rFonts w:ascii="Arial" w:eastAsia="Arial" w:hAnsi="Arial"/>
        <w:sz w:val="20"/>
        <w:szCs w:val="20"/>
      </w:rPr>
      <w:tab/>
    </w:r>
    <w:r>
      <w:rPr>
        <w:rFonts w:ascii="Arial" w:eastAsia="Arial" w:hAnsi="Arial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A57ED" w14:textId="77777777" w:rsidR="000822CC" w:rsidRDefault="000822CC">
      <w:pPr>
        <w:spacing w:after="0"/>
      </w:pPr>
      <w:r>
        <w:separator/>
      </w:r>
    </w:p>
  </w:footnote>
  <w:footnote w:type="continuationSeparator" w:id="0">
    <w:p w14:paraId="5B264EB2" w14:textId="77777777" w:rsidR="000822CC" w:rsidRDefault="000822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7777777" w:rsidR="00026C82" w:rsidRDefault="00DF46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Joint Schedule (Minimum Standards of Reliability)</w:t>
    </w:r>
  </w:p>
  <w:p w14:paraId="0000000D" w14:textId="77777777" w:rsidR="00026C82" w:rsidRDefault="00DF46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134E9"/>
    <w:multiLevelType w:val="multilevel"/>
    <w:tmpl w:val="23F285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82"/>
    <w:rsid w:val="00026C82"/>
    <w:rsid w:val="000822CC"/>
    <w:rsid w:val="002D1214"/>
    <w:rsid w:val="007C378C"/>
    <w:rsid w:val="00874730"/>
    <w:rsid w:val="008B5D39"/>
    <w:rsid w:val="00C442DA"/>
    <w:rsid w:val="00DF4698"/>
    <w:rsid w:val="00E8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68B"/>
  <w15:docId w15:val="{82051158-A7B2-4A95-BE3F-5D77054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120" w:after="120"/>
      <w:ind w:left="360" w:hanging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numPr>
        <w:ilvl w:val="1"/>
        <w:numId w:val="1"/>
      </w:numPr>
      <w:spacing w:before="120" w:after="120"/>
      <w:ind w:left="936" w:hanging="576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numPr>
        <w:ilvl w:val="2"/>
        <w:numId w:val="1"/>
      </w:numPr>
      <w:spacing w:before="120" w:after="120"/>
      <w:ind w:left="1656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numPr>
        <w:ilvl w:val="3"/>
        <w:numId w:val="1"/>
      </w:numPr>
      <w:spacing w:before="120" w:after="120"/>
      <w:ind w:left="2592" w:hanging="936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" w:eastAsia="Times New Roman" w:hAnsi="Calibri" w:cs="Arial"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/>
      <w:textAlignment w:val="auto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  <w:ind w:left="2552" w:hanging="567"/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overflowPunct/>
      <w:autoSpaceDE/>
      <w:autoSpaceDN/>
      <w:spacing w:before="120" w:after="120"/>
      <w:textAlignment w:val="auto"/>
    </w:pPr>
    <w:rPr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175"/>
        <w:tab w:val="num" w:pos="720"/>
      </w:tabs>
      <w:spacing w:after="120"/>
      <w:ind w:left="720" w:hanging="720"/>
    </w:p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tabs>
        <w:tab w:val="num" w:pos="720"/>
      </w:tabs>
      <w:ind w:left="720" w:hanging="544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4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4"/>
    </w:p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paragraph" w:customStyle="1" w:styleId="GPSL2Guidance">
    <w:name w:val="GPS L2 Guidance"/>
    <w:basedOn w:val="Normal"/>
    <w:link w:val="GPSL2GuidanceChar"/>
    <w:qFormat/>
    <w:pPr>
      <w:tabs>
        <w:tab w:val="left" w:pos="1134"/>
      </w:tabs>
      <w:overflowPunct/>
      <w:autoSpaceDE/>
      <w:autoSpaceDN/>
      <w:spacing w:before="120" w:after="120"/>
      <w:ind w:left="1134"/>
      <w:textAlignment w:val="auto"/>
    </w:pPr>
    <w:rPr>
      <w:b/>
      <w:i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spacing w:after="220"/>
      <w:ind w:left="1134"/>
    </w:pPr>
    <w:rPr>
      <w:szCs w:val="24"/>
    </w:rPr>
  </w:style>
  <w:style w:type="paragraph" w:customStyle="1" w:styleId="GPSL4indent">
    <w:name w:val="GPS L4 indent"/>
    <w:basedOn w:val="GPSL4numberedclause"/>
    <w:link w:val="GPSL4indentChar"/>
    <w:qFormat/>
    <w:pPr>
      <w:numPr>
        <w:ilvl w:val="0"/>
      </w:numPr>
      <w:ind w:left="3119" w:hanging="567"/>
    </w:p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GPSSchPart">
    <w:name w:val="GPS Sch Part"/>
    <w:basedOn w:val="Normal"/>
    <w:link w:val="GPSSchPartChar"/>
    <w:qFormat/>
    <w:pPr>
      <w:keepNext/>
      <w:overflowPunct/>
      <w:autoSpaceDE/>
      <w:autoSpaceDN/>
      <w:spacing w:before="240"/>
      <w:ind w:firstLine="426"/>
      <w:jc w:val="center"/>
      <w:textAlignment w:val="auto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indent">
    <w:name w:val="GPS L1 indent"/>
    <w:basedOn w:val="Normal"/>
    <w:link w:val="GPSL1indentChar"/>
    <w:qFormat/>
    <w:pPr>
      <w:tabs>
        <w:tab w:val="left" w:pos="851"/>
      </w:tabs>
      <w:ind w:left="70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GPSL1indentChar">
    <w:name w:val="GPS L1 indent Char"/>
    <w:link w:val="GPSL1indent"/>
    <w:locked/>
    <w:rPr>
      <w:rFonts w:ascii="Calibri" w:eastAsia="Times New Roman" w:hAnsi="Calibri" w:cs="Arial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character" w:customStyle="1" w:styleId="GPSL2GuidanceChar">
    <w:name w:val="GPS L2 Guidance Char"/>
    <w:link w:val="GPSL2Guidance"/>
    <w:rPr>
      <w:rFonts w:ascii="Calibri" w:eastAsia="Times New Roman" w:hAnsi="Calibri" w:cs="Arial"/>
      <w:b/>
      <w:i/>
      <w:lang w:eastAsia="zh-CN"/>
    </w:rPr>
  </w:style>
  <w:style w:type="character" w:customStyle="1" w:styleId="GPSSchPartChar">
    <w:name w:val="GPS Sch Part Char"/>
    <w:link w:val="GPSSchPart"/>
    <w:rPr>
      <w:rFonts w:ascii="Arial Bold" w:eastAsia="STZhongsong" w:hAnsi="Arial Bold" w:cs="Times New Roman"/>
      <w:b/>
      <w:caps/>
      <w:lang w:eastAsia="zh-CN"/>
    </w:rPr>
  </w:style>
  <w:style w:type="character" w:customStyle="1" w:styleId="GPSL4indentChar">
    <w:name w:val="GPS L4 indent Char"/>
    <w:link w:val="GPSL4indent"/>
    <w:rPr>
      <w:rFonts w:ascii="Calibri" w:eastAsia="Times New Roman" w:hAnsi="Calibri" w:cs="Arial"/>
      <w:lang w:eastAsia="zh-CN"/>
    </w:rPr>
  </w:style>
  <w:style w:type="character" w:customStyle="1" w:styleId="GPSDefinitionL2Char">
    <w:name w:val="GPS Definition L2 Char"/>
    <w:link w:val="GPSDefinitionL2"/>
    <w:locked/>
    <w:rPr>
      <w:rFonts w:ascii="Calibri" w:eastAsia="Times New Roman" w:hAnsi="Calibri" w:cs="Arial"/>
    </w:rPr>
  </w:style>
  <w:style w:type="paragraph" w:customStyle="1" w:styleId="GPSL3Indent">
    <w:name w:val="GPS L3 Indent"/>
    <w:basedOn w:val="Normal"/>
    <w:link w:val="GPSL3IndentChar"/>
    <w:pPr>
      <w:tabs>
        <w:tab w:val="left" w:pos="2127"/>
      </w:tabs>
      <w:overflowPunct/>
      <w:autoSpaceDE/>
      <w:autoSpaceDN/>
      <w:spacing w:before="120" w:after="120"/>
      <w:ind w:left="2127"/>
      <w:textAlignment w:val="auto"/>
    </w:pPr>
    <w:rPr>
      <w:rFonts w:ascii="Arial" w:hAnsi="Arial"/>
      <w:lang w:val="en-US" w:eastAsia="zh-CN"/>
    </w:rPr>
  </w:style>
  <w:style w:type="character" w:customStyle="1" w:styleId="GPSL3IndentChar">
    <w:name w:val="GPS L3 Indent Char"/>
    <w:link w:val="GPSL3Indent"/>
    <w:locked/>
    <w:rPr>
      <w:rFonts w:ascii="Arial" w:eastAsia="Times New Roman" w:hAnsi="Arial" w:cs="Arial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overflowPunct/>
      <w:autoSpaceDE/>
      <w:autoSpaceDN/>
      <w:spacing w:before="120" w:after="120"/>
      <w:ind w:left="1134" w:hanging="567"/>
      <w:textAlignment w:val="auto"/>
    </w:pPr>
    <w:rPr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Theme="majorEastAsia" w:hAnsi="Calibr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Theme="majorEastAsia" w:hAnsi="Calibr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Theme="majorEastAsia" w:hAnsi="Calibr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before="120" w:after="12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Calibri" w:eastAsia="Times New Roman" w:hAnsi="Calibri" w:cs="Arial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Calibri" w:eastAsia="Times New Roman" w:hAnsi="Calibri" w:cs="Arial"/>
      <w:sz w:val="16"/>
      <w:szCs w:val="16"/>
    </w:rPr>
  </w:style>
  <w:style w:type="paragraph" w:styleId="Revision">
    <w:name w:val="Revision"/>
    <w:hidden/>
    <w:uiPriority w:val="99"/>
    <w:semiHidden/>
    <w:pPr>
      <w:spacing w:after="0"/>
    </w:pPr>
    <w:rPr>
      <w:rFonts w:eastAsia="Times New Roman" w:cs="Arial"/>
    </w:rPr>
  </w:style>
  <w:style w:type="paragraph" w:customStyle="1" w:styleId="ORDERFORML1PraraNo">
    <w:name w:val="ORDER FORM L1 Prara No"/>
    <w:basedOn w:val="Normal"/>
    <w:qFormat/>
    <w:rsid w:val="00804755"/>
    <w:pPr>
      <w:tabs>
        <w:tab w:val="num" w:pos="720"/>
      </w:tabs>
      <w:overflowPunct/>
      <w:autoSpaceDE/>
      <w:autoSpaceDN/>
      <w:spacing w:after="0"/>
      <w:ind w:left="426" w:hanging="426"/>
      <w:textAlignment w:val="auto"/>
    </w:pPr>
    <w:rPr>
      <w:rFonts w:eastAsia="STZhongsong" w:cs="Times New Roman"/>
      <w:b/>
      <w:caps/>
      <w:lang w:eastAsia="zh-CN"/>
    </w:rPr>
  </w:style>
  <w:style w:type="paragraph" w:customStyle="1" w:styleId="ORDERFORML2Title">
    <w:name w:val="ORDER FORM L2 Title"/>
    <w:basedOn w:val="Normal"/>
    <w:qFormat/>
    <w:rsid w:val="00804755"/>
    <w:pPr>
      <w:tabs>
        <w:tab w:val="num" w:pos="1440"/>
      </w:tabs>
      <w:overflowPunct/>
      <w:autoSpaceDE/>
      <w:autoSpaceDN/>
      <w:spacing w:after="120"/>
      <w:ind w:left="993" w:hanging="567"/>
      <w:textAlignment w:val="auto"/>
    </w:pPr>
    <w:rPr>
      <w:rFonts w:ascii="Arial" w:eastAsia="STZhongsong" w:hAnsi="Arial" w:cs="Times New Roman"/>
      <w:b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0fpzflMq5O+FHrf/4V0V90GSA==">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C93816-8350-487F-98D1-EEEAA286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Kendal</dc:creator>
  <cp:lastModifiedBy>Baljinder Sall</cp:lastModifiedBy>
  <cp:revision>2</cp:revision>
  <dcterms:created xsi:type="dcterms:W3CDTF">2024-05-17T10:11:00Z</dcterms:created>
  <dcterms:modified xsi:type="dcterms:W3CDTF">2024-05-17T10:11:00Z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