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120" w:before="120" w:lineRule="auto"/>
        <w:ind w:left="0" w:firstLine="0"/>
        <w:jc w:val="left"/>
        <w:rPr>
          <w:b w:val="1"/>
          <w:sz w:val="36"/>
          <w:szCs w:val="36"/>
        </w:rPr>
      </w:pPr>
      <w:r w:rsidDel="00000000" w:rsidR="00000000" w:rsidRPr="00000000">
        <w:rPr>
          <w:b w:val="1"/>
          <w:sz w:val="36"/>
          <w:szCs w:val="36"/>
          <w:rtl w:val="0"/>
        </w:rPr>
        <w:t xml:space="preserve">Call-Off Schedule 24 (Corporate Resolution Planning)</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20" w:lineRule="auto"/>
        <w:ind w:left="0" w:firstLine="0"/>
        <w:jc w:val="left"/>
        <w:rPr>
          <w:b w:val="1"/>
          <w:i w:val="1"/>
          <w:highlight w:val="yellow"/>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20" w:lineRule="auto"/>
        <w:ind w:left="0" w:firstLine="0"/>
        <w:jc w:val="left"/>
        <w:rPr>
          <w:b w:val="1"/>
          <w:i w:val="1"/>
          <w:highlight w:val="yellow"/>
        </w:rPr>
      </w:pPr>
      <w:r w:rsidDel="00000000" w:rsidR="00000000" w:rsidRPr="00000000">
        <w:rPr>
          <w:b w:val="1"/>
          <w:i w:val="1"/>
          <w:highlight w:val="yellow"/>
          <w:rtl w:val="0"/>
        </w:rPr>
        <w:t xml:space="preserve">[Buyer Guidance: This Schedule should only be used if one or more of the following applies to this Contract:</w:t>
      </w:r>
    </w:p>
    <w:p w:rsidR="00000000" w:rsidDel="00000000" w:rsidP="00000000" w:rsidRDefault="00000000" w:rsidRPr="00000000" w14:paraId="000000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83"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It is a Critical Service Contract (as defined below)</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83"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It is a service contract for over £10m per annum</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83"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The Supplier for this contract is a Public Sector Dependent Supplier (as defined below).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Rule="auto"/>
        <w:ind w:left="0" w:firstLine="0"/>
        <w:jc w:val="left"/>
        <w:rPr/>
      </w:pPr>
      <w:r w:rsidDel="00000000" w:rsidR="00000000" w:rsidRPr="00000000">
        <w:rPr>
          <w:b w:val="1"/>
          <w:i w:val="1"/>
          <w:highlight w:val="yellow"/>
          <w:rtl w:val="0"/>
        </w:rPr>
        <w:t xml:space="preserve">This Schedule requires Suppliers to provide CRP information, in line with the Playbook </w:t>
      </w:r>
      <w:hyperlink r:id="rId7">
        <w:r w:rsidDel="00000000" w:rsidR="00000000" w:rsidRPr="00000000">
          <w:rPr>
            <w:b w:val="1"/>
            <w:i w:val="1"/>
            <w:color w:val="0000ff"/>
            <w:highlight w:val="yellow"/>
            <w:u w:val="single"/>
            <w:rtl w:val="0"/>
          </w:rPr>
          <w:t xml:space="preserve">Guidance about Resolution Planning</w:t>
        </w:r>
      </w:hyperlink>
      <w:r w:rsidDel="00000000" w:rsidR="00000000" w:rsidRPr="00000000">
        <w:rPr>
          <w:b w:val="1"/>
          <w:i w:val="1"/>
          <w:highlight w:val="yellow"/>
          <w:rtl w:val="0"/>
        </w:rPr>
        <w:t xml:space="preserve">, to ensure that all applicable Suppliers have a Corporate Resolution Plan in place.]</w:t>
      </w:r>
      <w:r w:rsidDel="00000000" w:rsidR="00000000" w:rsidRPr="00000000">
        <w:rPr>
          <w:rtl w:val="0"/>
        </w:rPr>
      </w:r>
    </w:p>
    <w:p w:rsidR="00000000" w:rsidDel="00000000" w:rsidP="00000000" w:rsidRDefault="00000000" w:rsidRPr="00000000" w14:paraId="00000008">
      <w:pPr>
        <w:keepNext w:val="1"/>
        <w:numPr>
          <w:ilvl w:val="0"/>
          <w:numId w:val="8"/>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b w:val="1"/>
          <w:smallCaps w:val="1"/>
        </w:rPr>
      </w:pPr>
      <w:bookmarkStart w:colFirst="0" w:colLast="0" w:name="_heading=h.gjdgxs" w:id="0"/>
      <w:bookmarkEnd w:id="0"/>
      <w:r w:rsidDel="00000000" w:rsidR="00000000" w:rsidRPr="00000000">
        <w:rPr>
          <w:b w:val="1"/>
          <w:smallCaps w:val="1"/>
          <w:rtl w:val="0"/>
        </w:rPr>
        <w:t xml:space="preserve">D</w:t>
      </w:r>
      <w:r w:rsidDel="00000000" w:rsidR="00000000" w:rsidRPr="00000000">
        <w:rPr>
          <w:b w:val="1"/>
          <w:rtl w:val="0"/>
        </w:rPr>
        <w:t xml:space="preserve">efinitions</w:t>
      </w:r>
      <w:r w:rsidDel="00000000" w:rsidR="00000000" w:rsidRPr="00000000">
        <w:rPr>
          <w:rtl w:val="0"/>
        </w:rPr>
      </w:r>
    </w:p>
    <w:p w:rsidR="00000000" w:rsidDel="00000000" w:rsidP="00000000" w:rsidRDefault="00000000" w:rsidRPr="00000000" w14:paraId="00000009">
      <w:pPr>
        <w:keepNext w:val="1"/>
        <w:numPr>
          <w:ilvl w:val="1"/>
          <w:numId w:val="8"/>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In this Schedule, the following words shall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p>
    <w:tbl>
      <w:tblPr>
        <w:tblStyle w:val="Table1"/>
        <w:tblW w:w="8046.0" w:type="dxa"/>
        <w:jc w:val="left"/>
        <w:tblInd w:w="1134.0" w:type="dxa"/>
        <w:tblLayout w:type="fixed"/>
        <w:tblLook w:val="0400"/>
      </w:tblPr>
      <w:tblGrid>
        <w:gridCol w:w="2971"/>
        <w:gridCol w:w="5075"/>
        <w:tblGridChange w:id="0">
          <w:tblGrid>
            <w:gridCol w:w="2971"/>
            <w:gridCol w:w="5075"/>
          </w:tblGrid>
        </w:tblGridChange>
      </w:tblGrid>
      <w:tr>
        <w:trPr>
          <w:cantSplit w:val="0"/>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“Annual Revenue”</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000000" w:rsidDel="00000000" w:rsidP="00000000" w:rsidRDefault="00000000" w:rsidRPr="00000000" w14:paraId="0000000C">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738" w:right="0" w:hanging="70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figures for accounting periods of other than twelve (12) months should be scaled pro rata to produce a proforma figure for a twelve (12) month period; and</w:t>
            </w:r>
          </w:p>
          <w:p w:rsidR="00000000" w:rsidDel="00000000" w:rsidP="00000000" w:rsidRDefault="00000000" w:rsidRPr="00000000" w14:paraId="0000000D">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9"/>
              </w:tabs>
              <w:spacing w:after="120" w:before="120" w:line="240" w:lineRule="auto"/>
              <w:ind w:left="738" w:right="0" w:hanging="70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the Supplier Group and/or their joint ventures and Associates report in a foreign currency, revenue should be converted to British Pound Sterling at the closing exchange rate on the Accounting Reference Date;</w:t>
            </w:r>
          </w:p>
        </w:tc>
      </w:tr>
      <w:tr>
        <w:trPr>
          <w:cantSplit w:val="0"/>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“Appropriate Authority” or “Appropriate Authorities”</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Buyer and the Cabinet Office Markets and Suppliers Team or, where the Supplier is a Strategic Supplier, the Cabinet Office Markets and Suppliers Team;</w:t>
            </w:r>
          </w:p>
        </w:tc>
      </w:tr>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“Assurance”</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written confirmation from a Relevant Buyer to the Supplier that the CRP Information is approved by the Relevant Buyer; </w:t>
            </w:r>
          </w:p>
        </w:tc>
      </w:tr>
      <w:tr>
        <w:trPr>
          <w:cantSplit w:val="0"/>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"Cabinet Office Markets and Suppliers Team"</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1 Transaction”</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set out in the listing rules issued by the UK Listing Authority;</w:t>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Change Event”</w:t>
            </w:r>
          </w:p>
        </w:tc>
        <w:tc>
          <w:tcPr/>
          <w:p w:rsidR="00000000" w:rsidDel="00000000" w:rsidP="00000000" w:rsidRDefault="00000000" w:rsidRPr="00000000" w14:paraId="00000019">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60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of Control of the Supplier or a Parent Undertaking of the Supplier;</w:t>
            </w:r>
          </w:p>
          <w:p w:rsidR="00000000" w:rsidDel="00000000" w:rsidP="00000000" w:rsidRDefault="00000000" w:rsidRPr="00000000" w14:paraId="0000001A">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60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of Control of any member of the Supplier Group which, in the reasonable opinion of the Buyer, could have a material adverse effect on the Deliverables; </w:t>
            </w:r>
          </w:p>
          <w:p w:rsidR="00000000" w:rsidDel="00000000" w:rsidP="00000000" w:rsidRDefault="00000000" w:rsidRPr="00000000" w14:paraId="0000001B">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60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to the business of the Supplier or any member of the Supplier Group which, in the reasonable opinion of the Buyer, could have a material adverse effect on the Deliverables;</w:t>
            </w:r>
          </w:p>
          <w:p w:rsidR="00000000" w:rsidDel="00000000" w:rsidP="00000000" w:rsidRDefault="00000000" w:rsidRPr="00000000" w14:paraId="0000001C">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60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Class 1 Transaction taking place in relation to the shares of the Supplier or any Parent Undertaking of the Supplier whose shares are listed on the main market of the London Stock Exchange plc;</w:t>
            </w:r>
          </w:p>
          <w:p w:rsidR="00000000" w:rsidDel="00000000" w:rsidP="00000000" w:rsidRDefault="00000000" w:rsidRPr="00000000" w14:paraId="0000001D">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60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event that could reasonably be regarded as being equivalent to a Class 1 Transaction taking place in respect of the Supplier or any Parent Undertaking of the Supplier;</w:t>
            </w:r>
          </w:p>
          <w:p w:rsidR="00000000" w:rsidDel="00000000" w:rsidP="00000000" w:rsidRDefault="00000000" w:rsidRPr="00000000" w14:paraId="0000001E">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60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of dividends by the Supplier or the ultimate Parent Undertaking of the Supplier Group exceeding 25% of the Net Asset Value of the Supplier or the ultimate Parent Undertaking of the Supplier Group respectively in any 12 month period;</w:t>
            </w:r>
          </w:p>
          <w:p w:rsidR="00000000" w:rsidDel="00000000" w:rsidP="00000000" w:rsidRDefault="00000000" w:rsidRPr="00000000" w14:paraId="0000001F">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60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order is made or an effective resolution is passed for the winding up of any member of the Supplier Group; </w:t>
            </w:r>
          </w:p>
          <w:p w:rsidR="00000000" w:rsidDel="00000000" w:rsidP="00000000" w:rsidRDefault="00000000" w:rsidRPr="00000000" w14:paraId="00000020">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60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000000" w:rsidDel="00000000" w:rsidP="00000000" w:rsidRDefault="00000000" w:rsidRPr="00000000" w14:paraId="00000021">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60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receiver, administrative receiver or administrator in respect of or over all or a material part of the undertaking or assets of any member of the Supplier Group; and/or</w:t>
            </w:r>
          </w:p>
          <w:p w:rsidR="00000000" w:rsidDel="00000000" w:rsidP="00000000" w:rsidRDefault="00000000" w:rsidRPr="00000000" w14:paraId="00000022">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60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process or events with an effect analogous to those in paragraphs (e) to (g) inclusive above occurring to a member of the Supplier Group in a jurisdiction outside England and Wales;</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Change Event Grace Period"</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grace period agreed to by the Appropriate Authority for providing CRP Information and/or updates to Business  Continuity Plan after a Corporate Change Event;</w:t>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Resolvability Assessment (Structural Review)"</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part of the CRP Information relating to the Supplier Group to be provided by the Supplier in accordance with Paragraph 3and Annex 2 of this Schedule;</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National Infrastructure” or “CNI”</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those critical elements of UK national infrastructure (namely assets, facilities, systems, networks or processes and the essential workers that operate and facilitate them), the loss or compromise of which could result in:</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69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
              </w:tabs>
              <w:spacing w:after="120" w:before="120" w:line="240" w:lineRule="auto"/>
              <w:ind w:left="720" w:right="0" w:hanging="69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significant impact on the national security, national defence, or the functioning of the UK;</w:t>
            </w:r>
          </w:p>
        </w:tc>
      </w:tr>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Service Contract”</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overall status of the Services provided under the Contract as determined by the Buyer and specified in Paragraph 2 of this Schedule;</w:t>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“CRP Information”</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corporate resolution planning information, together, the: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96" w:right="0" w:hanging="59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Exposure Information (Contracts List);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96" w:right="0" w:hanging="59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Corporate Resolvability Assessment (Structural Review); and</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9"/>
              </w:tabs>
              <w:spacing w:after="120" w:before="120" w:lineRule="auto"/>
              <w:ind w:left="596" w:hanging="59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    Financial Information and Commentary;</w:t>
            </w:r>
          </w:p>
        </w:tc>
      </w:tr>
      <w:tr>
        <w:trPr>
          <w:cantSplit w:val="0"/>
          <w:tblHeader w:val="0"/>
        </w:trPr>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“Public Sector Dependent Supplier”</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supplier where that supplier, or that supplier’s group has Annual Revenue of £50 million or more of which over 50% is generated from UK Public Sector Business;</w:t>
            </w:r>
          </w:p>
        </w:tc>
      </w:tr>
      <w:tr>
        <w:trPr>
          <w:cantSplit w:val="0"/>
          <w:trHeight w:val="567" w:hRule="atLeast"/>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“Strategic Supplier”</w:t>
            </w:r>
          </w:p>
        </w:tc>
        <w:tc>
          <w:tcPr/>
          <w:p w:rsidR="00000000" w:rsidDel="00000000" w:rsidP="00000000" w:rsidRDefault="00000000" w:rsidRPr="00000000" w14:paraId="00000037">
            <w:pP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those suppliers to government listed at</w:t>
            </w:r>
          </w:p>
          <w:p w:rsidR="00000000" w:rsidDel="00000000" w:rsidP="00000000" w:rsidRDefault="00000000" w:rsidRPr="00000000" w14:paraId="00000038">
            <w:pP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https://www.gov.uk/government/publications/strategic-suppliers; and</w:t>
            </w:r>
          </w:p>
        </w:tc>
      </w:tr>
      <w:tr>
        <w:trPr>
          <w:cantSplit w:val="0"/>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Business”</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trPr>
          <w:cantSplit w:val="0"/>
          <w:tblHeader w:val="0"/>
        </w:trPr>
        <w:tc>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120" w:before="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 CNI Contract Information”</w:t>
            </w:r>
          </w:p>
        </w:tc>
        <w:tc>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information relating to the Supplier Group to be provided by the Supplier in accordance with Paragraphs 3 to 5 and Annex 1.</w:t>
            </w:r>
          </w:p>
        </w:tc>
      </w:tr>
    </w:tbl>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tabs>
          <w:tab w:val="left" w:leader="none" w:pos="0"/>
        </w:tabs>
        <w:spacing w:after="120" w:before="120" w:lineRule="auto"/>
        <w:ind w:left="0" w:firstLine="0"/>
        <w:jc w:val="left"/>
        <w:rPr>
          <w:b w:val="1"/>
        </w:rPr>
      </w:pPr>
      <w:bookmarkStart w:colFirst="0" w:colLast="0" w:name="_heading=h.2xcytpi" w:id="1"/>
      <w:bookmarkEnd w:id="1"/>
      <w:r w:rsidDel="00000000" w:rsidR="00000000" w:rsidRPr="00000000">
        <w:rPr>
          <w:rtl w:val="0"/>
        </w:rPr>
      </w:r>
    </w:p>
    <w:p w:rsidR="00000000" w:rsidDel="00000000" w:rsidP="00000000" w:rsidRDefault="00000000" w:rsidRPr="00000000" w14:paraId="0000003E">
      <w:pPr>
        <w:widowControl w:val="0"/>
        <w:numPr>
          <w:ilvl w:val="0"/>
          <w:numId w:val="1"/>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Service Status and Supplier Status</w:t>
      </w:r>
    </w:p>
    <w:p w:rsidR="00000000" w:rsidDel="00000000" w:rsidP="00000000" w:rsidRDefault="00000000" w:rsidRPr="00000000" w14:paraId="0000003F">
      <w:pPr>
        <w:widowControl w:val="0"/>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This Contract </w:t>
      </w:r>
      <w:r w:rsidDel="00000000" w:rsidR="00000000" w:rsidRPr="00000000">
        <w:rPr>
          <w:highlight w:val="yellow"/>
          <w:rtl w:val="0"/>
        </w:rPr>
        <w:t xml:space="preserve">[insert ‘is’ or ‘is not’</w:t>
      </w:r>
      <w:r w:rsidDel="00000000" w:rsidR="00000000" w:rsidRPr="00000000">
        <w:rPr>
          <w:rtl w:val="0"/>
        </w:rPr>
        <w:t xml:space="preserve">] a Critical Service Contract.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r w:rsidDel="00000000" w:rsidR="00000000" w:rsidRPr="00000000">
        <w:rPr>
          <w:rtl w:val="0"/>
        </w:rPr>
      </w:r>
    </w:p>
    <w:p w:rsidR="00000000" w:rsidDel="00000000" w:rsidP="00000000" w:rsidRDefault="00000000" w:rsidRPr="00000000" w14:paraId="00000041">
      <w:pPr>
        <w:widowControl w:val="0"/>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The Supplier shall notify the Buyer and the Cabinet Office Markets and Suppliers Team in writing within 5 Working Days of the Effective Date and throughout the Call-Off Contract Period within 120 days after each Accounting Reference Date as to whether or not it is a Public Sector Dependent Supplier. The contact email address for the Markets and Suppliers Team is </w:t>
      </w:r>
      <w:hyperlink r:id="rId8">
        <w:r w:rsidDel="00000000" w:rsidR="00000000" w:rsidRPr="00000000">
          <w:rPr>
            <w:color w:val="0000ff"/>
            <w:u w:val="single"/>
            <w:rtl w:val="0"/>
          </w:rPr>
          <w:t xml:space="preserve">resolution.planning@cabinetoffice.gov.uk</w:t>
        </w:r>
      </w:hyperlink>
      <w:r w:rsidDel="00000000" w:rsidR="00000000" w:rsidRPr="00000000">
        <w:rPr>
          <w:rtl w:val="0"/>
        </w:rPr>
        <w:t xml:space="preserve">.</w:t>
      </w:r>
    </w:p>
    <w:p w:rsidR="00000000" w:rsidDel="00000000" w:rsidP="00000000" w:rsidRDefault="00000000" w:rsidRPr="00000000" w14:paraId="00000042">
      <w:pPr>
        <w:keepNext w:val="1"/>
        <w:numPr>
          <w:ilvl w:val="0"/>
          <w:numId w:val="1"/>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Provision of Corporate Resolution Planning Information</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Paragraphs 3 to 5 shall apply if the Contract has been specified as a Critical Service Contract under Paragraph 2.1 or the Supplier is or becomes a Public Sector Dependent Supplier.</w:t>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Subject to Paragraphs 3.6, 3.10 and 3.11:</w:t>
      </w:r>
    </w:p>
    <w:p w:rsidR="00000000" w:rsidDel="00000000" w:rsidP="00000000" w:rsidRDefault="00000000" w:rsidRPr="00000000" w14:paraId="00000045">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where the Contract is a Critical Service Contract, the Supplier shall provide the Appropriate Authority or Appropriate Authorities with the CRP Information within 60 days of the Effective Date; and</w:t>
      </w:r>
    </w:p>
    <w:p w:rsidR="00000000" w:rsidDel="00000000" w:rsidP="00000000" w:rsidRDefault="00000000" w:rsidRPr="00000000" w14:paraId="00000046">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The Supplier shall ensure that the CRP Information provided pursuant to Paragraphs 3.2, 3.8 and 3.9:</w:t>
      </w:r>
    </w:p>
    <w:p w:rsidR="00000000" w:rsidDel="00000000" w:rsidP="00000000" w:rsidRDefault="00000000" w:rsidRPr="00000000" w14:paraId="00000048">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is full, comprehensive, accurate and up to date;</w:t>
      </w:r>
    </w:p>
    <w:p w:rsidR="00000000" w:rsidDel="00000000" w:rsidP="00000000" w:rsidRDefault="00000000" w:rsidRPr="00000000" w14:paraId="00000049">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is split into three parts:</w:t>
      </w:r>
    </w:p>
    <w:p w:rsidR="00000000" w:rsidDel="00000000" w:rsidP="00000000" w:rsidRDefault="00000000" w:rsidRPr="00000000" w14:paraId="0000004A">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Exposure Information (Contracts List);</w:t>
      </w:r>
    </w:p>
    <w:p w:rsidR="00000000" w:rsidDel="00000000" w:rsidP="00000000" w:rsidRDefault="00000000" w:rsidRPr="00000000" w14:paraId="0000004B">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Corporate Resolvability Assessment (Structural Review);</w:t>
      </w:r>
    </w:p>
    <w:p w:rsidR="00000000" w:rsidDel="00000000" w:rsidP="00000000" w:rsidRDefault="00000000" w:rsidRPr="00000000" w14:paraId="0000004C">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 Financial Information and Commentary</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8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https://www.gov.uk/government/publications/the-sourcing-and-consultancy-playbooks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contains the level of detail required (adapted as necessary to the Supplier’s circumstances);</w:t>
      </w:r>
    </w:p>
    <w:p w:rsidR="00000000" w:rsidDel="00000000" w:rsidP="00000000" w:rsidRDefault="00000000" w:rsidRPr="00000000" w14:paraId="0000004E">
      <w:pPr>
        <w:widowControl w:val="0"/>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incorporates any additional commentary, supporting documents and evidence which would reasonably be required by the Appropriate Authority or Appropriate Authorities to understand and consider the information for approval;</w:t>
      </w:r>
    </w:p>
    <w:p w:rsidR="00000000" w:rsidDel="00000000" w:rsidP="00000000" w:rsidRDefault="00000000" w:rsidRPr="00000000" w14:paraId="0000004F">
      <w:pPr>
        <w:widowControl w:val="0"/>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provides a clear description and explanation of the Supplier Group members that have agreements for goods, services or works provision in respect of UK Public Sector Business and/or Critical National Infrastructure and the nature of those agreements; and</w:t>
      </w:r>
    </w:p>
    <w:p w:rsidR="00000000" w:rsidDel="00000000" w:rsidP="00000000" w:rsidRDefault="00000000" w:rsidRPr="00000000" w14:paraId="00000050">
      <w:pPr>
        <w:widowControl w:val="0"/>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complies with the requirements set out at Annex 1 (Exposure Information (Contracts List)), Annex 2 (Corporate Resolvability Assessment (Structural Review)) and Annex 3 (Financial Information and Commentary) respectively.</w:t>
      </w:r>
    </w:p>
    <w:p w:rsidR="00000000" w:rsidDel="00000000" w:rsidP="00000000" w:rsidRDefault="00000000" w:rsidRPr="00000000" w14:paraId="00000051">
      <w:pPr>
        <w:widowControl w:val="0"/>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000000" w:rsidDel="00000000" w:rsidP="00000000" w:rsidRDefault="00000000" w:rsidRPr="00000000" w14:paraId="00000052">
      <w:pPr>
        <w:widowControl w:val="0"/>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If the Appropriate Authority or Appropriate Authorities reject the CRP Information:</w:t>
      </w:r>
    </w:p>
    <w:p w:rsidR="00000000" w:rsidDel="00000000" w:rsidP="00000000" w:rsidRDefault="00000000" w:rsidRPr="00000000" w14:paraId="00000053">
      <w:pPr>
        <w:widowControl w:val="0"/>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the Buyer shall (and shall procure that the Cabinet Office Markets and Suppliers Team shall) inform the Supplier in writing of its reasons for its rejection; and</w:t>
      </w:r>
    </w:p>
    <w:p w:rsidR="00000000" w:rsidDel="00000000" w:rsidP="00000000" w:rsidRDefault="00000000" w:rsidRPr="00000000" w14:paraId="00000054">
      <w:pPr>
        <w:widowControl w:val="0"/>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by the Dispute Resolution Procedure under Clause 38 </w:t>
      </w:r>
      <w:r w:rsidDel="00000000" w:rsidR="00000000" w:rsidRPr="00000000">
        <w:rPr>
          <w:i w:val="1"/>
          <w:rtl w:val="0"/>
        </w:rPr>
        <w:t xml:space="preserve">(Resolving disputes)</w:t>
      </w:r>
      <w:r w:rsidDel="00000000" w:rsidR="00000000" w:rsidRPr="00000000">
        <w:rPr>
          <w:rtl w:val="0"/>
        </w:rPr>
        <w:t xml:space="preserve"> of the General Terms at any time.</w:t>
      </w:r>
    </w:p>
    <w:p w:rsidR="00000000" w:rsidDel="00000000" w:rsidP="00000000" w:rsidRDefault="00000000" w:rsidRPr="00000000" w14:paraId="00000055">
      <w:pPr>
        <w:widowControl w:val="0"/>
        <w:numPr>
          <w:ilvl w:val="1"/>
          <w:numId w:val="1"/>
        </w:numPr>
        <w:pBdr>
          <w:top w:space="0" w:sz="0" w:val="nil"/>
          <w:left w:space="0" w:sz="0" w:val="nil"/>
          <w:bottom w:space="0" w:sz="0" w:val="nil"/>
          <w:right w:space="0" w:sz="0" w:val="nil"/>
          <w:between w:space="0" w:sz="0" w:val="nil"/>
        </w:pBdr>
        <w:spacing w:after="120" w:before="120" w:lineRule="auto"/>
        <w:ind w:left="1134" w:hanging="567"/>
        <w:jc w:val="left"/>
        <w:rPr/>
      </w:pPr>
      <w:r w:rsidDel="00000000" w:rsidR="00000000" w:rsidRPr="00000000">
        <w:rPr>
          <w:rtl w:val="0"/>
        </w:rPr>
        <w:t xml:space="preserve">Where the Supplier or a member of the Supplier Group has already provided CRP Information to a Crown Body or the Cabinet Office Markets and Suppliers Team (or, in the case of a Strategic Supplier, solely to the Cabinet Office Markets and Suppliers Team) and has received an Assurance of its CRP Information from that Crown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000000" w:rsidDel="00000000" w:rsidP="00000000" w:rsidRDefault="00000000" w:rsidRPr="00000000" w14:paraId="00000056">
      <w:pPr>
        <w:widowControl w:val="0"/>
        <w:numPr>
          <w:ilvl w:val="1"/>
          <w:numId w:val="1"/>
        </w:numPr>
        <w:pBdr>
          <w:top w:space="0" w:sz="0" w:val="nil"/>
          <w:left w:space="0" w:sz="0" w:val="nil"/>
          <w:bottom w:space="0" w:sz="0" w:val="nil"/>
          <w:right w:space="0" w:sz="0" w:val="nil"/>
          <w:between w:space="0" w:sz="0" w:val="nil"/>
        </w:pBdr>
        <w:spacing w:after="120" w:before="120" w:lineRule="auto"/>
        <w:ind w:left="1134" w:hanging="567"/>
        <w:jc w:val="left"/>
        <w:rPr/>
      </w:pPr>
      <w:r w:rsidDel="00000000" w:rsidR="00000000" w:rsidRPr="00000000">
        <w:rPr>
          <w:rtl w:val="0"/>
        </w:rPr>
        <w:t xml:space="preserve">An Assurance shall be deemed Valid for the purposes of Paragraph 3.6 if:</w:t>
      </w:r>
    </w:p>
    <w:p w:rsidR="00000000" w:rsidDel="00000000" w:rsidP="00000000" w:rsidRDefault="00000000" w:rsidRPr="00000000" w14:paraId="00000057">
      <w:pPr>
        <w:widowControl w:val="0"/>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the Assurance is within the validity period stated in the Assurance (or, if no validity period is stated, no more than twelve (12) months has elapsed since it was issued and no more than eighteen (18) months has elapsed since the Accounting Reference Date on which the CRP Information was based); and</w:t>
      </w:r>
    </w:p>
    <w:p w:rsidR="00000000" w:rsidDel="00000000" w:rsidP="00000000" w:rsidRDefault="00000000" w:rsidRPr="00000000" w14:paraId="00000058">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no Corporate Change Events or Financial Distress Events (or events which would be deemed to be Corporate Change Events or Financial Distress Events if this Contract had then been in force) have occurred since the date of issue of the Assurance.</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If the Contract is a Critical Service Contract, the Supplier shall provide an updated version of the CRP Information (or, in the case of Paragraph 3.8.3 of its initial CRP Information) to the Appropriate Authority or Appropriate Authorities:</w:t>
      </w:r>
    </w:p>
    <w:p w:rsidR="00000000" w:rsidDel="00000000" w:rsidP="00000000" w:rsidRDefault="00000000" w:rsidRPr="00000000" w14:paraId="0000005A">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within fourteen (14) days of the occurrence of a Financial Distress Event (along with any additional highly confidential information no longer exempted from disclosure under Paragraph 3.11) unless the Supplier is relieved of the consequences of the Financial Distress Event under Paragraph 7.1 of Joint Schedule 7 </w:t>
      </w:r>
      <w:r w:rsidDel="00000000" w:rsidR="00000000" w:rsidRPr="00000000">
        <w:rPr>
          <w:i w:val="1"/>
          <w:rtl w:val="0"/>
        </w:rPr>
        <w:t xml:space="preserve">(Financial Distress)</w:t>
      </w:r>
      <w:r w:rsidDel="00000000" w:rsidR="00000000" w:rsidRPr="00000000">
        <w:rPr>
          <w:rtl w:val="0"/>
        </w:rPr>
        <w:t xml:space="preserve"> (if applicable);</w:t>
      </w:r>
    </w:p>
    <w:p w:rsidR="00000000" w:rsidDel="00000000" w:rsidP="00000000" w:rsidRDefault="00000000" w:rsidRPr="00000000" w14:paraId="0000005B">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within thirty (30) days of a Corporate Change Event unless:</w:t>
      </w:r>
    </w:p>
    <w:p w:rsidR="00000000" w:rsidDel="00000000" w:rsidP="00000000" w:rsidRDefault="00000000" w:rsidRPr="00000000" w14:paraId="0000005C">
      <w:pPr>
        <w:keepNext w:val="1"/>
        <w:numPr>
          <w:ilvl w:val="3"/>
          <w:numId w:val="1"/>
        </w:numPr>
        <w:pBdr>
          <w:top w:space="0" w:sz="0" w:val="nil"/>
          <w:left w:space="0" w:sz="0" w:val="nil"/>
          <w:bottom w:space="0" w:sz="0" w:val="nil"/>
          <w:right w:space="0" w:sz="0" w:val="nil"/>
          <w:between w:space="0" w:sz="0" w:val="nil"/>
        </w:pBdr>
        <w:spacing w:after="120" w:before="120" w:lineRule="auto"/>
        <w:ind w:left="2835" w:hanging="850"/>
        <w:jc w:val="left"/>
        <w:rPr/>
      </w:pPr>
      <w:r w:rsidDel="00000000" w:rsidR="00000000" w:rsidRPr="00000000">
        <w:rPr>
          <w:rtl w:val="0"/>
        </w:rPr>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rsidR="00000000" w:rsidDel="00000000" w:rsidP="00000000" w:rsidRDefault="00000000" w:rsidRPr="00000000" w14:paraId="0000005D">
      <w:pPr>
        <w:keepNext w:val="1"/>
        <w:numPr>
          <w:ilvl w:val="3"/>
          <w:numId w:val="1"/>
        </w:numPr>
        <w:pBdr>
          <w:top w:space="0" w:sz="0" w:val="nil"/>
          <w:left w:space="0" w:sz="0" w:val="nil"/>
          <w:bottom w:space="0" w:sz="0" w:val="nil"/>
          <w:right w:space="0" w:sz="0" w:val="nil"/>
          <w:between w:space="0" w:sz="0" w:val="nil"/>
        </w:pBdr>
        <w:spacing w:after="120" w:before="120" w:lineRule="auto"/>
        <w:ind w:left="2835" w:hanging="850"/>
        <w:jc w:val="left"/>
        <w:rPr/>
      </w:pPr>
      <w:r w:rsidDel="00000000" w:rsidR="00000000" w:rsidRPr="00000000">
        <w:rPr>
          <w:rtl w:val="0"/>
        </w:rPr>
        <w:t xml:space="preserve"> not required pursuant to Paragraph 3.10;</w:t>
      </w:r>
    </w:p>
    <w:p w:rsidR="00000000" w:rsidDel="00000000" w:rsidP="00000000" w:rsidRDefault="00000000" w:rsidRPr="00000000" w14:paraId="0000005E">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within 30 days of the date that:</w:t>
      </w:r>
    </w:p>
    <w:p w:rsidR="00000000" w:rsidDel="00000000" w:rsidP="00000000" w:rsidRDefault="00000000" w:rsidRPr="00000000" w14:paraId="0000005F">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the credit rating(s) of each of the Supplier and its Parent Undertakings fail to meet any of the criteria specified in Paragraph 3.10; or</w:t>
      </w:r>
    </w:p>
    <w:p w:rsidR="00000000" w:rsidDel="00000000" w:rsidP="00000000" w:rsidRDefault="00000000" w:rsidRPr="00000000" w14:paraId="00000060">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none of the credit rating agencies specified at Paragraph 3.10 hold a public credit rating for the Supplier or any of its Parent Undertakings; and</w:t>
      </w:r>
    </w:p>
    <w:p w:rsidR="00000000" w:rsidDel="00000000" w:rsidP="00000000" w:rsidRDefault="00000000" w:rsidRPr="00000000" w14:paraId="00000061">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in any event, within 6 months after each Accounting Reference Date or within 15 months of the date of the previous Assurance received from the Appropriate Authority (whichever is the earlier), unless:</w:t>
      </w:r>
    </w:p>
    <w:p w:rsidR="00000000" w:rsidDel="00000000" w:rsidP="00000000" w:rsidRDefault="00000000" w:rsidRPr="00000000" w14:paraId="00000062">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rsidR="00000000" w:rsidDel="00000000" w:rsidP="00000000" w:rsidRDefault="00000000" w:rsidRPr="00000000" w14:paraId="00000063">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not required pursuant to Paragraph 3.10.</w:t>
      </w:r>
    </w:p>
    <w:p w:rsidR="00000000" w:rsidDel="00000000" w:rsidP="00000000" w:rsidRDefault="00000000" w:rsidRPr="00000000" w14:paraId="00000064">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Where the Supplier is a Public Sector Dependent Supplier and the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000000" w:rsidDel="00000000" w:rsidP="00000000" w:rsidRDefault="00000000" w:rsidRPr="00000000" w14:paraId="00000065">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Where the Supplier or a Parent Undertaking of the Supplier has a credit rating of either:</w:t>
      </w:r>
    </w:p>
    <w:p w:rsidR="00000000" w:rsidDel="00000000" w:rsidP="00000000" w:rsidRDefault="00000000" w:rsidRPr="00000000" w14:paraId="00000066">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AA3 or better from Moody’s;</w:t>
      </w:r>
    </w:p>
    <w:p w:rsidR="00000000" w:rsidDel="00000000" w:rsidP="00000000" w:rsidRDefault="00000000" w:rsidRPr="00000000" w14:paraId="00000067">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AA- or better from Standard and Poors;</w:t>
      </w:r>
    </w:p>
    <w:p w:rsidR="00000000" w:rsidDel="00000000" w:rsidP="00000000" w:rsidRDefault="00000000" w:rsidRPr="00000000" w14:paraId="00000068">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AA- or better from Fitch;</w:t>
      </w:r>
    </w:p>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spacing w:after="120" w:before="120" w:lineRule="auto"/>
        <w:ind w:left="1134" w:firstLine="0"/>
        <w:jc w:val="left"/>
        <w:rPr/>
      </w:pPr>
      <w:r w:rsidDel="00000000" w:rsidR="00000000" w:rsidRPr="00000000">
        <w:rPr>
          <w:rtl w:val="0"/>
        </w:rPr>
        <w:t xml:space="preserve">the Supplier will not be required to provide any CRP Information unless or until either (i) a Financial Distress Event occurs (unless the Supplier is relieved of the consequences of the Financial Distress Event under Paragraph 7.1 of Annex 3 to Joint Schedule 7 </w:t>
      </w:r>
      <w:r w:rsidDel="00000000" w:rsidR="00000000" w:rsidRPr="00000000">
        <w:rPr>
          <w:i w:val="1"/>
          <w:rtl w:val="0"/>
        </w:rPr>
        <w:t xml:space="preserve">(Financial Distress)</w:t>
      </w:r>
      <w:r w:rsidDel="00000000" w:rsidR="00000000" w:rsidRPr="00000000">
        <w:rPr>
          <w:rtl w:val="0"/>
        </w:rPr>
        <w:t xml:space="preserve">, if applicable) or (ii) the Supplier and its Parent Undertakings cease to fulfil the criteria set out in this Paragraph 3.10, in which cases the Supplier shall provide the updated version of the CRP Information in accordance with paragraph 3.8.</w:t>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000000" w:rsidDel="00000000" w:rsidP="00000000" w:rsidRDefault="00000000" w:rsidRPr="00000000" w14:paraId="0000006B">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b w:val="1"/>
        </w:rPr>
      </w:pPr>
      <w:r w:rsidDel="00000000" w:rsidR="00000000" w:rsidRPr="00000000">
        <w:rPr>
          <w:b w:val="1"/>
          <w:rtl w:val="0"/>
        </w:rPr>
        <w:t xml:space="preserve">Termination Rights</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bookmarkStart w:colFirst="0" w:colLast="0" w:name="_heading=h.y3o7gavrvvkl" w:id="2"/>
      <w:bookmarkEnd w:id="2"/>
      <w:r w:rsidDel="00000000" w:rsidR="00000000" w:rsidRPr="00000000">
        <w:rPr>
          <w:rtl w:val="0"/>
        </w:rPr>
        <w:t xml:space="preserve">The Buyer shall be entitled to terminate this Contract under Clause 13.3 </w:t>
      </w:r>
      <w:r w:rsidDel="00000000" w:rsidR="00000000" w:rsidRPr="00000000">
        <w:rPr>
          <w:i w:val="1"/>
          <w:rtl w:val="0"/>
        </w:rPr>
        <w:t xml:space="preserve">(When CCS or the Buyer can end a contract)</w:t>
      </w:r>
      <w:r w:rsidDel="00000000" w:rsidR="00000000" w:rsidRPr="00000000">
        <w:rPr>
          <w:rtl w:val="0"/>
        </w:rPr>
        <w:t xml:space="preserve"> of the General Terms if the Supplier is required to provide CRP Information under Paragraph 3 and either:</w:t>
      </w:r>
    </w:p>
    <w:p w:rsidR="00000000" w:rsidDel="00000000" w:rsidP="00000000" w:rsidRDefault="00000000" w:rsidRPr="00000000" w14:paraId="0000006D">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the Supplier fails to provide the CRP Information within 4 months of the Effective Date if this is a Critical Service Contract or otherwise within 4 months of the Appropriate Authority’s or Appropriate Authorities’ request; or</w:t>
      </w:r>
    </w:p>
    <w:p w:rsidR="00000000" w:rsidDel="00000000" w:rsidP="00000000" w:rsidRDefault="00000000" w:rsidRPr="00000000" w14:paraId="0000006E">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the Supplier fails to obtain an Assurance from the Appropriate Authority or Appropriate Authorities within four (4) months of the date that it was first required to provide the CRP Information under the Contract.</w:t>
      </w:r>
    </w:p>
    <w:p w:rsidR="00000000" w:rsidDel="00000000" w:rsidP="00000000" w:rsidRDefault="00000000" w:rsidRPr="00000000" w14:paraId="0000006F">
      <w:pPr>
        <w:keepNext w:val="1"/>
        <w:numPr>
          <w:ilvl w:val="0"/>
          <w:numId w:val="1"/>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Confidentiality and usage of CRP Information</w:t>
      </w:r>
    </w:p>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The Buyer agrees to keep the CRP Information confidential and use it only to understand the implications of an Insolvency Event of the Supplier and/or Supplier Group members on its UK Public Sector Business and/or services in respect of Critical National Infrastructure and to enable contingency planning to maintain service continuity for end users and protect Critical National Infrastructure  in such eventuality.</w:t>
      </w:r>
    </w:p>
    <w:p w:rsidR="00000000" w:rsidDel="00000000" w:rsidP="00000000" w:rsidRDefault="00000000" w:rsidRPr="00000000" w14:paraId="00000071">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bookmarkStart w:colFirst="0" w:colLast="0" w:name="_heading=h.23ckvvd" w:id="3"/>
      <w:bookmarkEnd w:id="3"/>
      <w:r w:rsidDel="00000000" w:rsidR="00000000" w:rsidRPr="00000000">
        <w:rPr>
          <w:rtl w:val="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Clause 18 of the General Terms </w:t>
      </w:r>
      <w:r w:rsidDel="00000000" w:rsidR="00000000" w:rsidRPr="00000000">
        <w:rPr>
          <w:i w:val="1"/>
          <w:rtl w:val="0"/>
        </w:rPr>
        <w:t xml:space="preserve">(What you must keep Confidential)</w:t>
      </w:r>
      <w:r w:rsidDel="00000000" w:rsidR="00000000" w:rsidRPr="00000000">
        <w:rPr>
          <w:rtl w:val="0"/>
        </w:rPr>
        <w:t xml:space="preserve">.</w:t>
      </w:r>
    </w:p>
    <w:p w:rsidR="00000000" w:rsidDel="00000000" w:rsidP="00000000" w:rsidRDefault="00000000" w:rsidRPr="00000000" w14:paraId="00000072">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Where the Supplier is unable to procure consent pursuant to Paragraph 5.3, the Supplier shall use all reasonable endeavours to disclose the CRP Information to the fullest extent possible by limiting the amount of information it withholds including by:</w:t>
      </w:r>
    </w:p>
    <w:p w:rsidR="00000000" w:rsidDel="00000000" w:rsidP="00000000" w:rsidRDefault="00000000" w:rsidRPr="00000000" w14:paraId="00000074">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redacting only those parts of the information which are subject to such obligations of confidentiality;</w:t>
      </w:r>
    </w:p>
    <w:p w:rsidR="00000000" w:rsidDel="00000000" w:rsidP="00000000" w:rsidRDefault="00000000" w:rsidRPr="00000000" w14:paraId="00000075">
      <w:pPr>
        <w:keepNext w:val="1"/>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pPr>
      <w:r w:rsidDel="00000000" w:rsidR="00000000" w:rsidRPr="00000000">
        <w:rPr>
          <w:rtl w:val="0"/>
        </w:rPr>
        <w:t xml:space="preserve">providing the information in a form that does not breach its obligations of confidentiality including (where possible) by:</w:t>
      </w:r>
    </w:p>
    <w:p w:rsidR="00000000" w:rsidDel="00000000" w:rsidP="00000000" w:rsidRDefault="00000000" w:rsidRPr="00000000" w14:paraId="00000076">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summarising the information;</w:t>
      </w:r>
    </w:p>
    <w:p w:rsidR="00000000" w:rsidDel="00000000" w:rsidP="00000000" w:rsidRDefault="00000000" w:rsidRPr="00000000" w14:paraId="00000077">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grouping the information;</w:t>
      </w:r>
    </w:p>
    <w:p w:rsidR="00000000" w:rsidDel="00000000" w:rsidP="00000000" w:rsidRDefault="00000000" w:rsidRPr="00000000" w14:paraId="00000078">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anonymising the information; and</w:t>
      </w:r>
    </w:p>
    <w:p w:rsidR="00000000" w:rsidDel="00000000" w:rsidP="00000000" w:rsidRDefault="00000000" w:rsidRPr="00000000" w14:paraId="00000079">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presenting the information in general terms</w:t>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Rule="auto"/>
        <w:ind w:left="720" w:hanging="720"/>
        <w:jc w:val="left"/>
        <w:rPr/>
      </w:pPr>
      <w:r w:rsidDel="00000000" w:rsidR="00000000" w:rsidRPr="00000000">
        <w:rPr>
          <w:rtl w:val="0"/>
        </w:rPr>
      </w:r>
    </w:p>
    <w:p w:rsidR="00000000" w:rsidDel="00000000" w:rsidP="00000000" w:rsidRDefault="00000000" w:rsidRPr="00000000" w14:paraId="0000007C">
      <w:pPr>
        <w:spacing w:after="120" w:before="120" w:lineRule="auto"/>
        <w:ind w:firstLine="1418"/>
        <w:jc w:val="left"/>
        <w:rPr/>
      </w:pPr>
      <w:r w:rsidDel="00000000" w:rsidR="00000000" w:rsidRPr="00000000">
        <w:br w:type="page"/>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Exposure: Critical Contracts List</w:t>
      </w:r>
    </w:p>
    <w:p w:rsidR="00000000" w:rsidDel="00000000" w:rsidP="00000000" w:rsidRDefault="00000000" w:rsidRPr="00000000" w14:paraId="0000007E">
      <w:pPr>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pPr>
      <w:r w:rsidDel="00000000" w:rsidR="00000000" w:rsidRPr="00000000">
        <w:rPr>
          <w:rtl w:val="0"/>
        </w:rPr>
        <w:t xml:space="preserve">The Supplier shall:</w:t>
      </w:r>
    </w:p>
    <w:p w:rsidR="00000000" w:rsidDel="00000000" w:rsidP="00000000" w:rsidRDefault="00000000" w:rsidRPr="00000000" w14:paraId="0000007F">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provide details of all agreements held by members of the Supplier Group where those agreements are for goods, services or works provision and:</w:t>
      </w:r>
    </w:p>
    <w:p w:rsidR="00000000" w:rsidDel="00000000" w:rsidP="00000000" w:rsidRDefault="00000000" w:rsidRPr="00000000" w14:paraId="00000080">
      <w:pPr>
        <w:numPr>
          <w:ilvl w:val="3"/>
          <w:numId w:val="2"/>
        </w:numPr>
        <w:pBdr>
          <w:top w:space="0" w:sz="0" w:val="nil"/>
          <w:left w:space="0" w:sz="0" w:val="nil"/>
          <w:bottom w:space="0" w:sz="0" w:val="nil"/>
          <w:right w:space="0" w:sz="0" w:val="nil"/>
          <w:between w:space="0" w:sz="0" w:val="nil"/>
        </w:pBdr>
        <w:tabs>
          <w:tab w:val="left" w:leader="none" w:pos="720"/>
          <w:tab w:val="left" w:leader="none" w:pos="1985"/>
        </w:tabs>
        <w:spacing w:after="120" w:before="120" w:lineRule="auto"/>
        <w:ind w:left="1985" w:hanging="851"/>
        <w:jc w:val="left"/>
        <w:rPr/>
      </w:pPr>
      <w:bookmarkStart w:colFirst="0" w:colLast="0" w:name="_heading=h.1baon6m" w:id="4"/>
      <w:bookmarkEnd w:id="4"/>
      <w:r w:rsidDel="00000000" w:rsidR="00000000" w:rsidRPr="00000000">
        <w:rPr>
          <w:rtl w:val="0"/>
        </w:rPr>
        <w:t xml:space="preserve">are with any UK public sector bodies including: central Crown Bodies and their arms-length bodies and agencies, non-departmental public bodies, NHS bodies, local buyers, health bodies, police fire and rescue, education bodies and the devolved administrations;</w:t>
      </w:r>
    </w:p>
    <w:p w:rsidR="00000000" w:rsidDel="00000000" w:rsidP="00000000" w:rsidRDefault="00000000" w:rsidRPr="00000000" w14:paraId="00000081">
      <w:pPr>
        <w:numPr>
          <w:ilvl w:val="3"/>
          <w:numId w:val="2"/>
        </w:numPr>
        <w:pBdr>
          <w:top w:space="0" w:sz="0" w:val="nil"/>
          <w:left w:space="0" w:sz="0" w:val="nil"/>
          <w:bottom w:space="0" w:sz="0" w:val="nil"/>
          <w:right w:space="0" w:sz="0" w:val="nil"/>
          <w:between w:space="0" w:sz="0" w:val="nil"/>
        </w:pBdr>
        <w:tabs>
          <w:tab w:val="left" w:leader="none" w:pos="720"/>
          <w:tab w:val="left" w:leader="none" w:pos="1985"/>
        </w:tabs>
        <w:spacing w:after="120" w:before="120" w:lineRule="auto"/>
        <w:ind w:left="1985" w:hanging="851"/>
        <w:jc w:val="left"/>
        <w:rPr/>
      </w:pPr>
      <w:bookmarkStart w:colFirst="0" w:colLast="0" w:name="_heading=h.3vac5uf" w:id="5"/>
      <w:bookmarkEnd w:id="5"/>
      <w:r w:rsidDel="00000000" w:rsidR="00000000" w:rsidRPr="00000000">
        <w:rPr>
          <w:rtl w:val="0"/>
        </w:rP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000000" w:rsidDel="00000000" w:rsidP="00000000" w:rsidRDefault="00000000" w:rsidRPr="00000000" w14:paraId="00000082">
      <w:pPr>
        <w:numPr>
          <w:ilvl w:val="3"/>
          <w:numId w:val="2"/>
        </w:numPr>
        <w:pBdr>
          <w:top w:space="0" w:sz="0" w:val="nil"/>
          <w:left w:space="0" w:sz="0" w:val="nil"/>
          <w:bottom w:space="0" w:sz="0" w:val="nil"/>
          <w:right w:space="0" w:sz="0" w:val="nil"/>
          <w:between w:space="0" w:sz="0" w:val="nil"/>
        </w:pBdr>
        <w:tabs>
          <w:tab w:val="left" w:leader="none" w:pos="720"/>
          <w:tab w:val="left" w:leader="none" w:pos="1985"/>
        </w:tabs>
        <w:spacing w:after="120" w:before="120" w:lineRule="auto"/>
        <w:ind w:left="1985" w:hanging="851"/>
        <w:jc w:val="left"/>
        <w:rPr/>
      </w:pPr>
      <w:r w:rsidDel="00000000" w:rsidR="00000000" w:rsidRPr="00000000">
        <w:rPr>
          <w:rtl w:val="0"/>
        </w:rPr>
        <w:t xml:space="preserve">involve or could reasonably be considered to involve Critical National Infrastructure;</w:t>
      </w:r>
    </w:p>
    <w:p w:rsidR="00000000" w:rsidDel="00000000" w:rsidP="00000000" w:rsidRDefault="00000000" w:rsidRPr="00000000" w14:paraId="00000083">
      <w:pPr>
        <w:numPr>
          <w:ilvl w:val="1"/>
          <w:numId w:val="2"/>
        </w:numPr>
        <w:pBdr>
          <w:top w:space="0" w:sz="0" w:val="nil"/>
          <w:left w:space="0" w:sz="0" w:val="nil"/>
          <w:bottom w:space="0" w:sz="0" w:val="nil"/>
          <w:right w:space="0" w:sz="0" w:val="nil"/>
          <w:between w:space="0" w:sz="0" w:val="nil"/>
        </w:pBdr>
        <w:spacing w:after="120" w:before="120" w:lineRule="auto"/>
        <w:ind w:left="1134" w:hanging="992"/>
        <w:jc w:val="left"/>
        <w:rPr/>
      </w:pPr>
      <w:r w:rsidDel="00000000" w:rsidR="00000000" w:rsidRPr="00000000">
        <w:rPr>
          <w:rtl w:val="0"/>
        </w:rP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rsidR="00000000" w:rsidDel="00000000" w:rsidP="00000000" w:rsidRDefault="00000000" w:rsidRPr="00000000" w14:paraId="00000084">
      <w:pPr>
        <w:spacing w:after="120" w:before="120" w:lineRule="auto"/>
        <w:ind w:firstLine="1418"/>
        <w:jc w:val="left"/>
        <w:rPr/>
      </w:pPr>
      <w:r w:rsidDel="00000000" w:rsidR="00000000" w:rsidRPr="00000000">
        <w:br w:type="page"/>
      </w:r>
      <w:r w:rsidDel="00000000" w:rsidR="00000000" w:rsidRPr="00000000">
        <w:rPr>
          <w:rtl w:val="0"/>
        </w:rPr>
      </w:r>
    </w:p>
    <w:p w:rsidR="00000000" w:rsidDel="00000000" w:rsidP="00000000" w:rsidRDefault="00000000" w:rsidRPr="00000000" w14:paraId="00000085">
      <w:pPr>
        <w:spacing w:after="120" w:before="120" w:lineRule="auto"/>
        <w:ind w:left="0" w:firstLine="0"/>
        <w:jc w:val="left"/>
        <w:rPr>
          <w:b w:val="1"/>
          <w:sz w:val="36"/>
          <w:szCs w:val="36"/>
        </w:rPr>
      </w:pPr>
      <w:r w:rsidDel="00000000" w:rsidR="00000000" w:rsidRPr="00000000">
        <w:rPr>
          <w:b w:val="1"/>
          <w:sz w:val="36"/>
          <w:szCs w:val="36"/>
          <w:rtl w:val="0"/>
        </w:rPr>
        <w:t xml:space="preserve">Annex 2: Corporate Resolvability Assessment (Structural Review)</w:t>
      </w:r>
    </w:p>
    <w:p w:rsidR="00000000" w:rsidDel="00000000" w:rsidP="00000000" w:rsidRDefault="00000000" w:rsidRPr="00000000" w14:paraId="00000086">
      <w:pPr>
        <w:spacing w:after="120" w:before="120" w:lineRule="auto"/>
        <w:ind w:firstLine="1418"/>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x8lu9jisy91"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sufficient information to allow the Appropriate Authority to understand the implications on the Supplier Group’s UK Public Sector Business and Critical National Infrastructure  agreements listed pursuant to Annex 1 if the Supplier or another member of the Supplier Group is subject to an Insolvency Event;</w:t>
      </w:r>
    </w:p>
    <w:p w:rsidR="00000000" w:rsidDel="00000000" w:rsidP="00000000" w:rsidRDefault="00000000" w:rsidRPr="00000000" w14:paraId="0000008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information is presented so as to provide a simple, effective and easily understood overview of the Supplier Group; and</w:t>
      </w:r>
    </w:p>
    <w:p w:rsidR="00000000" w:rsidDel="00000000" w:rsidP="00000000" w:rsidRDefault="00000000" w:rsidRPr="00000000" w14:paraId="000000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full details of the importance of each member of the Supplier Group to the Supplier Group’s UK Public Sector Business and Critical National Infrastructure  agreements listed pursuant to Annex 1 and the dependencies between each.</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Annex 3: Financial Information and Commentary</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8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rsidR="00000000" w:rsidDel="00000000" w:rsidP="00000000" w:rsidRDefault="00000000" w:rsidRPr="00000000" w14:paraId="0000008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information is presented in a simple, effective and easily understood manner.</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rsidR="00000000" w:rsidDel="00000000" w:rsidP="00000000" w:rsidRDefault="00000000" w:rsidRPr="00000000" w14:paraId="00000091">
      <w:pPr>
        <w:spacing w:after="120" w:before="120" w:lineRule="auto"/>
        <w:ind w:firstLine="1418"/>
        <w:jc w:val="left"/>
        <w:rPr/>
      </w:pPr>
      <w:r w:rsidDel="00000000" w:rsidR="00000000" w:rsidRPr="00000000">
        <w:rPr>
          <w:rtl w:val="0"/>
        </w:rPr>
      </w:r>
    </w:p>
    <w:p w:rsidR="00000000" w:rsidDel="00000000" w:rsidP="00000000" w:rsidRDefault="00000000" w:rsidRPr="00000000" w14:paraId="00000092">
      <w:pPr>
        <w:spacing w:after="120" w:before="120" w:lineRule="auto"/>
        <w:ind w:left="0" w:firstLine="0"/>
        <w:jc w:val="left"/>
        <w:rPr/>
      </w:pPr>
      <w:r w:rsidDel="00000000" w:rsidR="00000000" w:rsidRPr="00000000">
        <w:rPr>
          <w:rtl w:val="0"/>
        </w:rPr>
      </w:r>
    </w:p>
    <w:sectPr>
      <w:headerReference r:id="rId10" w:type="default"/>
      <w:footerReference r:id="rId11" w:type="default"/>
      <w:footerReference r:id="rId12"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Framework Ref: RM6347</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3488"/>
      </w:tabs>
      <w:spacing w:after="0" w:lineRule="auto"/>
      <w:ind w:left="0" w:firstLine="0"/>
      <w:rPr>
        <w:sz w:val="14"/>
        <w:szCs w:val="14"/>
      </w:rPr>
    </w:pPr>
    <w:r w:rsidDel="00000000" w:rsidR="00000000" w:rsidRPr="00000000">
      <w:rPr>
        <w:sz w:val="20"/>
        <w:szCs w:val="20"/>
        <w:rtl w:val="0"/>
      </w:rPr>
      <w:t xml:space="preserve">Model Version: v1.0 PA</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Project Version: v1.0</w:t>
      <w:tab/>
      <w:tab/>
      <w:tab/>
      <w:t xml:space="preserve">-</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Model Version: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tabs>
        <w:tab w:val="center" w:leader="none" w:pos="4513"/>
        <w:tab w:val="right" w:leader="none" w:pos="9026"/>
      </w:tabs>
      <w:spacing w:after="0" w:lineRule="auto"/>
      <w:ind w:left="0" w:firstLine="0"/>
      <w:jc w:val="left"/>
      <w:rPr>
        <w:sz w:val="22"/>
        <w:szCs w:val="22"/>
      </w:rPr>
    </w:pPr>
    <w:r w:rsidDel="00000000" w:rsidR="00000000" w:rsidRPr="00000000">
      <w:rPr>
        <w:b w:val="1"/>
        <w:sz w:val="22"/>
        <w:szCs w:val="22"/>
        <w:rtl w:val="0"/>
      </w:rPr>
      <w:t xml:space="preserve">Call-Off Schedule 24 (Corporate Resolution Planning)</w:t>
    </w:r>
    <w:r w:rsidDel="00000000" w:rsidR="00000000" w:rsidRPr="00000000">
      <w:rPr>
        <w:rtl w:val="0"/>
      </w:rPr>
    </w:r>
  </w:p>
  <w:p w:rsidR="00000000" w:rsidDel="00000000" w:rsidP="00000000" w:rsidRDefault="00000000" w:rsidRPr="00000000" w14:paraId="00000094">
    <w:pPr>
      <w:tabs>
        <w:tab w:val="center" w:leader="none" w:pos="4513"/>
        <w:tab w:val="right" w:leader="none" w:pos="9026"/>
      </w:tabs>
      <w:spacing w:after="0" w:lineRule="auto"/>
      <w:ind w:left="0" w:firstLine="0"/>
      <w:jc w:val="left"/>
      <w:rPr>
        <w:sz w:val="22"/>
        <w:szCs w:val="22"/>
      </w:rPr>
    </w:pPr>
    <w:r w:rsidDel="00000000" w:rsidR="00000000" w:rsidRPr="00000000">
      <w:rPr>
        <w:sz w:val="22"/>
        <w:szCs w:val="22"/>
        <w:rtl w:val="0"/>
      </w:rPr>
      <w:t xml:space="preserve">Call-Off Ref:</w:t>
    </w:r>
  </w:p>
  <w:p w:rsidR="00000000" w:rsidDel="00000000" w:rsidP="00000000" w:rsidRDefault="00000000" w:rsidRPr="00000000" w14:paraId="00000095">
    <w:pPr>
      <w:tabs>
        <w:tab w:val="center" w:leader="none" w:pos="4513"/>
        <w:tab w:val="right" w:leader="none" w:pos="9026"/>
      </w:tabs>
      <w:spacing w:after="0" w:lineRule="auto"/>
      <w:ind w:left="0" w:firstLine="0"/>
      <w:jc w:val="left"/>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96">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3">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4">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5">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ind w:left="1418"/>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rsid w:val="0052154C"/>
    <w:pPr>
      <w:numPr>
        <w:numId w:val="4"/>
      </w:numPr>
      <w:tabs>
        <w:tab w:val="left" w:pos="0"/>
      </w:tabs>
      <w:overflowPunct w:val="1"/>
      <w:autoSpaceDE w:val="1"/>
      <w:autoSpaceDN w:val="1"/>
      <w:spacing w:before="240"/>
      <w:textAlignment w:val="auto"/>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rsid w:val="0052154C"/>
    <w:pPr>
      <w:numPr>
        <w:ilvl w:val="1"/>
        <w:numId w:val="4"/>
      </w:numPr>
      <w:overflowPunct w:val="1"/>
      <w:autoSpaceDE w:val="1"/>
      <w:autoSpaceDN w:val="1"/>
      <w:spacing w:after="120" w:before="120"/>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rsid w:val="0052154C"/>
    <w:pPr>
      <w:numPr>
        <w:ilvl w:val="2"/>
      </w:numPr>
      <w:tabs>
        <w:tab w:val="left" w:pos="1985"/>
        <w:tab w:val="left" w:pos="2127"/>
      </w:tabs>
    </w:pPr>
  </w:style>
  <w:style w:type="paragraph" w:styleId="GPSL4numberedclause" w:customStyle="1">
    <w:name w:val="GPS L4 numbered clause"/>
    <w:basedOn w:val="GPSL3numberedclause"/>
    <w:link w:val="GPSL4numberedclauseChar"/>
    <w:qFormat w:val="1"/>
    <w:rsid w:val="0052154C"/>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eastAsia="Times New Roman" w:hAnsi="Calibri"/>
      <w:lang w:eastAsia="zh-CN"/>
    </w:rPr>
  </w:style>
  <w:style w:type="character" w:styleId="GPSL3numberedclauseChar" w:customStyle="1">
    <w:name w:val="GPS L3 numbered clause Char"/>
    <w:link w:val="GPSL3numberedclause"/>
    <w:rPr>
      <w:rFonts w:ascii="Calibri" w:eastAsia="Times New Roman" w:hAnsi="Calibri"/>
      <w:lang w:eastAsia="zh-CN"/>
    </w:rPr>
  </w:style>
  <w:style w:type="character" w:styleId="GPSL4numberedclauseChar" w:customStyle="1">
    <w:name w:val="GPS L4 numbered clause Char"/>
    <w:link w:val="GPSL4numberedclause"/>
    <w:rPr>
      <w:rFonts w:ascii="Calibri" w:eastAsia="Times New Roman" w:hAnsi="Calibri"/>
      <w:szCs w:val="20"/>
      <w:lang w:eastAsia="zh-CN"/>
    </w:rPr>
  </w:style>
  <w:style w:type="paragraph" w:styleId="GPSL5numberedclause" w:customStyle="1">
    <w:name w:val="GPS L5 numbered clause"/>
    <w:basedOn w:val="GPSL4numberedclause"/>
    <w:qFormat w:val="1"/>
    <w:rsid w:val="0052154C"/>
    <w:pPr>
      <w:numPr>
        <w:ilvl w:val="4"/>
      </w:numPr>
      <w:tabs>
        <w:tab w:val="num" w:pos="360"/>
        <w:tab w:val="left" w:pos="3402"/>
      </w:tabs>
    </w:pPr>
  </w:style>
  <w:style w:type="paragraph" w:styleId="GPSL6numbered" w:customStyle="1">
    <w:name w:val="GPS L6 numbered"/>
    <w:basedOn w:val="GPSL5numberedclause"/>
    <w:qFormat w:val="1"/>
    <w:rsid w:val="0052154C"/>
    <w:pPr>
      <w:numPr>
        <w:ilvl w:val="5"/>
      </w:numPr>
      <w:tabs>
        <w:tab w:val="num" w:pos="36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rsid w:val="0052154C"/>
    <w:pPr>
      <w:numPr>
        <w:numId w:val="2"/>
      </w:numPr>
      <w:tabs>
        <w:tab w:val="left" w:pos="-9"/>
      </w:tabs>
      <w:spacing w:after="120"/>
    </w:p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rsid w:val="0052154C"/>
    <w:pPr>
      <w:spacing w:after="0"/>
    </w:pPr>
    <w:rPr>
      <w:rFonts w:eastAsia="Times New Roman"/>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15.0" w:type="dxa"/>
        <w:right w:w="115.0" w:type="dxa"/>
      </w:tblCellMar>
    </w:tblPr>
  </w:style>
  <w:style w:type="paragraph" w:styleId="GPSL2NumberedBoldHeading" w:customStyle="1">
    <w:name w:val="GPS L2 Numbered Bold Heading"/>
    <w:basedOn w:val="Normal"/>
    <w:qFormat w:val="1"/>
    <w:rsid w:val="00831E6E"/>
    <w:pPr>
      <w:tabs>
        <w:tab w:val="left" w:pos="1134"/>
      </w:tabs>
      <w:overflowPunct w:val="1"/>
      <w:autoSpaceDE w:val="1"/>
      <w:autoSpaceDN w:val="1"/>
      <w:spacing w:after="120" w:before="120"/>
      <w:ind w:left="644" w:hanging="218"/>
      <w:textAlignment w:val="auto"/>
    </w:pPr>
    <w:rPr>
      <w:rFonts w:ascii="Calibri" w:hAnsi="Calibri"/>
      <w:b w:val="1"/>
      <w:lang w:eastAsia="zh-CN"/>
    </w:rPr>
  </w:style>
  <w:style w:type="paragraph" w:styleId="GPSL2Numbered" w:customStyle="1">
    <w:name w:val="GPS L2 Numbered"/>
    <w:basedOn w:val="GPSL2NumberedBoldHeading"/>
    <w:link w:val="GPSL2NumberedChar"/>
    <w:qFormat w:val="1"/>
    <w:rsid w:val="00831E6E"/>
    <w:pPr>
      <w:tabs>
        <w:tab w:val="clear" w:pos="1134"/>
      </w:tabs>
      <w:ind w:hanging="360"/>
    </w:pPr>
    <w:rPr>
      <w:b w:val="0"/>
    </w:rPr>
  </w:style>
  <w:style w:type="character" w:styleId="GPSL2NumberedChar" w:customStyle="1">
    <w:name w:val="GPS L2 Numbered Char"/>
    <w:link w:val="GPSL2Numbered"/>
    <w:locked w:val="1"/>
    <w:rsid w:val="00831E6E"/>
    <w:rPr>
      <w:rFonts w:ascii="Calibri" w:eastAsia="Times New Roman" w:hAnsi="Calibri"/>
      <w:lang w:eastAsia="zh-CN"/>
    </w:rPr>
  </w:style>
  <w:style w:type="paragraph" w:styleId="ScheduleText1" w:customStyle="1">
    <w:name w:val="Schedule Text 1"/>
    <w:basedOn w:val="Normal"/>
    <w:next w:val="Normal"/>
    <w:rsid w:val="003C22E1"/>
    <w:pPr>
      <w:numPr>
        <w:numId w:val="7"/>
      </w:numPr>
      <w:overflowPunct w:val="1"/>
      <w:autoSpaceDE w:val="1"/>
      <w:autoSpaceDN w:val="1"/>
      <w:adjustRightInd w:val="1"/>
      <w:spacing w:after="200" w:before="100"/>
      <w:jc w:val="left"/>
      <w:textAlignment w:val="auto"/>
    </w:pPr>
    <w:rPr>
      <w:rFonts w:cs="Times New Roman"/>
      <w:b w:val="1"/>
    </w:rPr>
  </w:style>
  <w:style w:type="paragraph" w:styleId="ScheduleText2" w:customStyle="1">
    <w:name w:val="Schedule Text 2"/>
    <w:basedOn w:val="ScheduleText1"/>
    <w:next w:val="Normal"/>
    <w:rsid w:val="003C22E1"/>
    <w:pPr>
      <w:numPr>
        <w:ilvl w:val="1"/>
      </w:numPr>
    </w:pPr>
    <w:rPr>
      <w:b w:val="0"/>
    </w:rPr>
  </w:style>
  <w:style w:type="paragraph" w:styleId="ScheduleText3" w:customStyle="1">
    <w:name w:val="Schedule Text 3"/>
    <w:basedOn w:val="Normal"/>
    <w:next w:val="Normal"/>
    <w:rsid w:val="003C22E1"/>
    <w:pPr>
      <w:numPr>
        <w:ilvl w:val="2"/>
        <w:numId w:val="7"/>
      </w:numPr>
      <w:tabs>
        <w:tab w:val="left" w:pos="720"/>
        <w:tab w:val="left" w:pos="1803"/>
      </w:tabs>
      <w:overflowPunct w:val="1"/>
      <w:autoSpaceDE w:val="1"/>
      <w:autoSpaceDN w:val="1"/>
      <w:adjustRightInd w:val="1"/>
      <w:spacing w:after="200" w:before="100"/>
      <w:jc w:val="left"/>
      <w:textAlignment w:val="auto"/>
    </w:pPr>
    <w:rPr>
      <w:rFonts w:cs="Times New Roman"/>
    </w:rPr>
  </w:style>
  <w:style w:type="paragraph" w:styleId="ScheduleText4" w:customStyle="1">
    <w:name w:val="Schedule Text 4"/>
    <w:basedOn w:val="Normal"/>
    <w:next w:val="Normal"/>
    <w:rsid w:val="003C22E1"/>
    <w:pPr>
      <w:numPr>
        <w:ilvl w:val="3"/>
        <w:numId w:val="7"/>
      </w:numPr>
      <w:tabs>
        <w:tab w:val="left" w:pos="720"/>
        <w:tab w:val="left" w:pos="1803"/>
      </w:tabs>
      <w:overflowPunct w:val="1"/>
      <w:autoSpaceDE w:val="1"/>
      <w:autoSpaceDN w:val="1"/>
      <w:adjustRightInd w:val="1"/>
      <w:spacing w:after="200" w:before="100"/>
      <w:jc w:val="left"/>
      <w:textAlignment w:val="auto"/>
    </w:pPr>
    <w:rPr>
      <w:rFonts w:cs="Times New Roman"/>
    </w:rPr>
  </w:style>
  <w:style w:type="paragraph" w:styleId="ScheduleText5" w:customStyle="1">
    <w:name w:val="Schedule Text 5"/>
    <w:basedOn w:val="Normal"/>
    <w:next w:val="Normal"/>
    <w:rsid w:val="003C22E1"/>
    <w:pPr>
      <w:numPr>
        <w:ilvl w:val="4"/>
        <w:numId w:val="7"/>
      </w:numPr>
      <w:tabs>
        <w:tab w:val="left" w:pos="720"/>
        <w:tab w:val="left" w:pos="2523"/>
      </w:tabs>
      <w:overflowPunct w:val="1"/>
      <w:autoSpaceDE w:val="1"/>
      <w:autoSpaceDN w:val="1"/>
      <w:adjustRightInd w:val="1"/>
      <w:spacing w:after="200" w:before="100"/>
      <w:jc w:val="left"/>
      <w:textAlignment w:val="auto"/>
    </w:pPr>
    <w:rPr>
      <w:rFonts w:cs="Times New Roman"/>
    </w:rPr>
  </w:style>
  <w:style w:type="paragraph" w:styleId="ScheduleText6" w:customStyle="1">
    <w:name w:val="Schedule Text 6"/>
    <w:basedOn w:val="ScheduleText5"/>
    <w:rsid w:val="003C22E1"/>
    <w:pPr>
      <w:numPr>
        <w:ilvl w:val="5"/>
      </w:numPr>
    </w:pPr>
  </w:style>
  <w:style w:type="paragraph" w:styleId="ScheduleText7" w:customStyle="1">
    <w:name w:val="Schedule Text 7"/>
    <w:basedOn w:val="ScheduleText6"/>
    <w:rsid w:val="003C22E1"/>
    <w:pPr>
      <w:numPr>
        <w:ilvl w:val="6"/>
      </w:numPr>
    </w:pPr>
  </w:style>
  <w:style w:type="paragraph" w:styleId="BulletsBody" w:customStyle="1">
    <w:name w:val="Bullets Body"/>
    <w:basedOn w:val="Normal"/>
    <w:rsid w:val="009009FB"/>
    <w:pPr>
      <w:numPr>
        <w:numId w:val="8"/>
      </w:numPr>
      <w:overflowPunct w:val="1"/>
      <w:autoSpaceDE w:val="1"/>
      <w:autoSpaceDN w:val="1"/>
      <w:adjustRightInd w:val="1"/>
      <w:spacing w:after="200" w:before="100"/>
      <w:jc w:val="left"/>
      <w:textAlignment w:val="auto"/>
    </w:pPr>
    <w:rPr>
      <w:rFonts w:cs="Times New Roman"/>
    </w:rPr>
  </w:style>
  <w:style w:type="paragraph" w:styleId="BulletsLevel1" w:customStyle="1">
    <w:name w:val="Bullets Level 1"/>
    <w:basedOn w:val="Normal"/>
    <w:rsid w:val="009009FB"/>
    <w:pPr>
      <w:numPr>
        <w:ilvl w:val="1"/>
        <w:numId w:val="8"/>
      </w:numPr>
      <w:tabs>
        <w:tab w:val="left" w:pos="1797"/>
      </w:tabs>
      <w:overflowPunct w:val="1"/>
      <w:autoSpaceDE w:val="1"/>
      <w:autoSpaceDN w:val="1"/>
      <w:adjustRightInd w:val="1"/>
      <w:spacing w:after="200" w:before="100"/>
      <w:jc w:val="left"/>
      <w:textAlignment w:val="auto"/>
    </w:pPr>
    <w:rPr>
      <w:rFonts w:cs="Times New Roman"/>
    </w:rPr>
  </w:style>
  <w:style w:type="paragraph" w:styleId="BulletsLevel2" w:customStyle="1">
    <w:name w:val="Bullets Level 2"/>
    <w:basedOn w:val="BulletsLevel1"/>
    <w:rsid w:val="009009FB"/>
    <w:pPr>
      <w:numPr>
        <w:ilvl w:val="2"/>
      </w:numPr>
      <w:tabs>
        <w:tab w:val="clear" w:pos="1797"/>
      </w:tabs>
    </w:pPr>
  </w:style>
  <w:style w:type="numbering" w:styleId="Scheduleheading" w:customStyle="1">
    <w:name w:val="Schedule heading"/>
    <w:uiPriority w:val="99"/>
    <w:rsid w:val="004E1995"/>
  </w:style>
  <w:style w:type="paragraph" w:styleId="AnnexHeading" w:customStyle="1">
    <w:name w:val="Annex Heading"/>
    <w:basedOn w:val="Normal"/>
    <w:next w:val="Normal"/>
    <w:rsid w:val="004E1995"/>
    <w:pPr>
      <w:tabs>
        <w:tab w:val="num" w:pos="720"/>
      </w:tabs>
      <w:overflowPunct w:val="1"/>
      <w:autoSpaceDE w:val="1"/>
      <w:autoSpaceDN w:val="1"/>
      <w:adjustRightInd w:val="1"/>
      <w:spacing w:after="300" w:before="100"/>
      <w:ind w:left="720" w:hanging="720"/>
      <w:jc w:val="center"/>
      <w:textAlignment w:val="auto"/>
    </w:pPr>
    <w:rPr>
      <w:rFonts w:ascii="Arial Bold" w:cs="Times New Roman" w:hAnsi="Arial Bold"/>
      <w:b w:val="1"/>
      <w:caps w:val="1"/>
    </w:rPr>
  </w:style>
  <w:style w:type="paragraph" w:styleId="StdBodyText" w:customStyle="1">
    <w:name w:val="Std Body Text"/>
    <w:basedOn w:val="Normal"/>
    <w:qFormat w:val="1"/>
    <w:rsid w:val="004E1995"/>
    <w:pPr>
      <w:overflowPunct w:val="1"/>
      <w:autoSpaceDE w:val="1"/>
      <w:autoSpaceDN w:val="1"/>
      <w:adjustRightInd w:val="1"/>
      <w:spacing w:after="200" w:before="100"/>
      <w:ind w:left="0"/>
      <w:jc w:val="left"/>
      <w:textAlignment w:val="auto"/>
    </w:pPr>
    <w:rPr>
      <w:rFonts w:cs="Times New Roman"/>
    </w:rPr>
  </w:style>
  <w:style w:type="paragraph" w:styleId="DefinitionList" w:customStyle="1">
    <w:name w:val="Definition List"/>
    <w:basedOn w:val="Normal"/>
    <w:rsid w:val="004E1995"/>
    <w:pPr>
      <w:overflowPunct w:val="1"/>
      <w:autoSpaceDE w:val="1"/>
      <w:autoSpaceDN w:val="1"/>
      <w:adjustRightInd w:val="1"/>
      <w:spacing w:after="200" w:before="100"/>
      <w:ind w:left="0"/>
      <w:jc w:val="left"/>
      <w:textAlignment w:val="auto"/>
    </w:pPr>
    <w:rPr>
      <w:rFonts w:cs="Times New Roman"/>
    </w:rPr>
  </w:style>
  <w:style w:type="paragraph" w:styleId="DefinitionListLevel1" w:customStyle="1">
    <w:name w:val="Definition List Level 1"/>
    <w:basedOn w:val="DefinitionList"/>
    <w:rsid w:val="004E1995"/>
  </w:style>
  <w:style w:type="paragraph" w:styleId="DefinitionListLevel2" w:customStyle="1">
    <w:name w:val="Definition List Level 2"/>
    <w:basedOn w:val="DefinitionListLevel1"/>
    <w:rsid w:val="004E1995"/>
  </w:style>
  <w:style w:type="paragraph" w:styleId="StdBodyTextBold" w:customStyle="1">
    <w:name w:val="Std Body Text Bold"/>
    <w:basedOn w:val="Normal"/>
    <w:next w:val="StdBodyText"/>
    <w:link w:val="StdBodyTextBoldChar"/>
    <w:qFormat w:val="1"/>
    <w:rsid w:val="00B74DBD"/>
    <w:pPr>
      <w:overflowPunct w:val="1"/>
      <w:autoSpaceDE w:val="1"/>
      <w:autoSpaceDN w:val="1"/>
      <w:adjustRightInd w:val="1"/>
      <w:spacing w:after="200" w:before="100"/>
      <w:ind w:left="0"/>
      <w:jc w:val="left"/>
      <w:textAlignment w:val="auto"/>
    </w:pPr>
    <w:rPr>
      <w:rFonts w:cs="Times New Roman"/>
      <w:b w:val="1"/>
    </w:rPr>
  </w:style>
  <w:style w:type="character" w:styleId="StdBodyTextBoldChar" w:customStyle="1">
    <w:name w:val="Std Body Text Bold Char"/>
    <w:basedOn w:val="DefaultParagraphFont"/>
    <w:link w:val="StdBodyTextBold"/>
    <w:rsid w:val="00B74DBD"/>
    <w:rPr>
      <w:rFonts w:cs="Times New Roman" w:eastAsia="Times New Roman"/>
      <w:b w:val="1"/>
      <w:sz w:val="24"/>
      <w:szCs w:val="24"/>
    </w:rPr>
  </w:style>
  <w:style w:type="paragraph" w:styleId="AppendixText1" w:customStyle="1">
    <w:name w:val="Appendix Text 1"/>
    <w:basedOn w:val="Normal"/>
    <w:rsid w:val="00666034"/>
    <w:pPr>
      <w:tabs>
        <w:tab w:val="num" w:pos="720"/>
      </w:tabs>
      <w:ind w:left="720" w:hanging="720"/>
    </w:pPr>
  </w:style>
  <w:style w:type="paragraph" w:styleId="AppendixText2" w:customStyle="1">
    <w:name w:val="Appendix Text 2"/>
    <w:basedOn w:val="Normal"/>
    <w:rsid w:val="00666034"/>
    <w:pPr>
      <w:tabs>
        <w:tab w:val="num" w:pos="1440"/>
      </w:tabs>
      <w:ind w:left="1440" w:hanging="720"/>
    </w:pPr>
  </w:style>
  <w:style w:type="paragraph" w:styleId="AppendixText3" w:customStyle="1">
    <w:name w:val="Appendix Text 3"/>
    <w:basedOn w:val="Normal"/>
    <w:rsid w:val="00666034"/>
    <w:pPr>
      <w:tabs>
        <w:tab w:val="num" w:pos="2160"/>
      </w:tabs>
      <w:ind w:left="2160" w:hanging="720"/>
    </w:pPr>
  </w:style>
  <w:style w:type="paragraph" w:styleId="AppendixText4" w:customStyle="1">
    <w:name w:val="Appendix Text 4"/>
    <w:basedOn w:val="Normal"/>
    <w:rsid w:val="00666034"/>
    <w:pPr>
      <w:numPr>
        <w:ilvl w:val="3"/>
        <w:numId w:val="11"/>
      </w:numPr>
    </w:pPr>
  </w:style>
  <w:style w:type="paragraph" w:styleId="AppendixText5" w:customStyle="1">
    <w:name w:val="Appendix Text 5"/>
    <w:basedOn w:val="Normal"/>
    <w:rsid w:val="00666034"/>
    <w:pPr>
      <w:numPr>
        <w:ilvl w:val="4"/>
        <w:numId w:val="11"/>
      </w:numPr>
    </w:pPr>
  </w:style>
  <w:style w:type="table" w:styleId="a0"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a1"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A203BD"/>
    <w:pPr>
      <w:ind w:left="720"/>
      <w:contextualSpacing w:val="1"/>
    </w:pPr>
  </w:style>
  <w:style w:type="paragraph" w:styleId="StdBodyText2" w:customStyle="1">
    <w:name w:val="Std Body Text 2"/>
    <w:basedOn w:val="Normal"/>
    <w:rsid w:val="00F71ABD"/>
    <w:pPr>
      <w:overflowPunct w:val="1"/>
      <w:autoSpaceDE w:val="1"/>
      <w:autoSpaceDN w:val="1"/>
      <w:adjustRightInd w:val="1"/>
      <w:spacing w:after="200" w:before="100"/>
      <w:ind w:left="720"/>
      <w:jc w:val="left"/>
      <w:textAlignment w:val="auto"/>
    </w:pPr>
    <w:rPr>
      <w:rFonts w:cs="Times New Roman"/>
    </w:rPr>
  </w:style>
  <w:style w:type="paragraph" w:styleId="AppendixText6" w:customStyle="1">
    <w:name w:val="Appendix Text 6"/>
    <w:basedOn w:val="AppendixText5"/>
    <w:rsid w:val="00F71ABD"/>
    <w:pPr>
      <w:numPr>
        <w:ilvl w:val="0"/>
        <w:numId w:val="0"/>
      </w:numPr>
      <w:tabs>
        <w:tab w:val="left" w:pos="720"/>
        <w:tab w:val="left" w:pos="2523"/>
        <w:tab w:val="num" w:pos="4320"/>
      </w:tabs>
      <w:overflowPunct w:val="1"/>
      <w:autoSpaceDE w:val="1"/>
      <w:autoSpaceDN w:val="1"/>
      <w:adjustRightInd w:val="1"/>
      <w:spacing w:after="200" w:before="100"/>
      <w:ind w:left="4320" w:hanging="720"/>
      <w:jc w:val="left"/>
      <w:textAlignment w:val="auto"/>
    </w:pPr>
    <w:rPr>
      <w:rFonts w:cs="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www.gov.uk/government/publications/the-sourcing-and-consultancy-playbook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government/uploads/system/uploads/attachment_data/file/987142/Resolution_planning_guidance_note_May_2021.pdf" TargetMode="External"/><Relationship Id="rId8" Type="http://schemas.openxmlformats.org/officeDocument/2006/relationships/hyperlink" Target="mailto:resolution.planning@cabinetoffice.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wiofcw/f4ho8S7c8FDUXU3og==">CgMxLjAyCGguZ2pkZ3hzMgloLjJ4Y3l0cGkyDmgueTNvN2dhdnJ2dmtsMgloLjIzY2t2dmQyCWguMWJhb242bTIJaC4zdmFjNXVmMg5oLjJ4OGx1OWppc3k5MTgAciExVms1ZDZ4UEVzaHhzRVZIMW5HVTN1QW4wMy1BUWNHRUM=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90441057-1</vt:lpwstr>
  </property>
</Properties>
</file>