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Rule="auto"/>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0"/>
        </w:tabs>
        <w:spacing w:after="120" w:before="120" w:lineRule="auto"/>
        <w:ind w:left="0" w:firstLine="0"/>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pPr>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1"/>
        <w:tblW w:w="8172.0" w:type="dxa"/>
        <w:jc w:val="left"/>
        <w:tblInd w:w="1008.0" w:type="dxa"/>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"BCDR Plan"</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2.1 of this Schedule;</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"Business Continuity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2.</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"Disaster Recovery Plan"</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2.3.3 of this Schedule;</w:t>
            </w:r>
          </w:p>
        </w:tc>
      </w:tr>
      <w:tr>
        <w:trPr>
          <w:cantSplit w:val="0"/>
          <w:trHeight w:val="560"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"Related Supplier"</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who provides Deliverables to the Buyer which are related to the Deliverables from time to time;</w:t>
            </w:r>
          </w:p>
        </w:tc>
      </w:tr>
      <w:tr>
        <w:trPr>
          <w:cantSplit w:val="0"/>
          <w:trHeight w:val="560"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"Review Report"</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6.3 of this Schedule; and</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Proposals"</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6.3 of this Schedule.</w:t>
            </w:r>
          </w:p>
        </w:tc>
      </w:tr>
    </w:tbl>
    <w:p w:rsidR="00000000" w:rsidDel="00000000" w:rsidP="00000000" w:rsidRDefault="00000000" w:rsidRPr="00000000" w14:paraId="00000011">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pPr>
      <w:r w:rsidDel="00000000" w:rsidR="00000000" w:rsidRPr="00000000">
        <w:rPr>
          <w:b w:val="1"/>
          <w:color w:val="000000"/>
          <w:rtl w:val="0"/>
        </w:rPr>
        <w:t xml:space="preserve">BCDR Plan</w:t>
      </w:r>
      <w:r w:rsidDel="00000000" w:rsidR="00000000" w:rsidRPr="00000000">
        <w:rPr>
          <w:rtl w:val="0"/>
        </w:rPr>
      </w:r>
    </w:p>
    <w:p w:rsidR="00000000" w:rsidDel="00000000" w:rsidP="00000000" w:rsidRDefault="00000000" w:rsidRPr="00000000" w14:paraId="00000012">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pPr>
      <w:r w:rsidDel="00000000" w:rsidR="00000000" w:rsidRPr="00000000">
        <w:rPr>
          <w:color w:val="000000"/>
          <w:rtl w:val="0"/>
        </w:rPr>
        <w:t xml:space="preserve">The Buyer and the Supplier recognise that, where specified in Framework Schedule 4 </w:t>
      </w:r>
      <w:r w:rsidDel="00000000" w:rsidR="00000000" w:rsidRPr="00000000">
        <w:rPr>
          <w:i w:val="1"/>
          <w:color w:val="000000"/>
          <w:rtl w:val="0"/>
        </w:rPr>
        <w:t xml:space="preserve">(Framework Management)</w:t>
      </w:r>
      <w:r w:rsidDel="00000000" w:rsidR="00000000" w:rsidRPr="00000000">
        <w:rPr>
          <w:color w:val="000000"/>
          <w:rtl w:val="0"/>
        </w:rPr>
        <w:t xml:space="preserve">, CCS shall have the right to enforce the Buyer's rights under this Schedule.</w:t>
      </w:r>
      <w:r w:rsidDel="00000000" w:rsidR="00000000" w:rsidRPr="00000000">
        <w:rPr>
          <w:rtl w:val="0"/>
        </w:rPr>
      </w:r>
    </w:p>
    <w:p w:rsidR="00000000" w:rsidDel="00000000" w:rsidP="00000000" w:rsidRDefault="00000000" w:rsidRPr="00000000" w14:paraId="00000013">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0j0zll" w:id="1"/>
      <w:bookmarkEnd w:id="1"/>
      <w:r w:rsidDel="00000000" w:rsidR="00000000" w:rsidRPr="00000000">
        <w:rPr>
          <w:color w:val="000000"/>
          <w:rtl w:val="0"/>
        </w:rPr>
        <w:t xml:space="preserve">Within forty</w:t>
      </w:r>
      <w:r w:rsidDel="00000000" w:rsidR="00000000" w:rsidRPr="00000000">
        <w:rPr>
          <w:rtl w:val="0"/>
        </w:rPr>
        <w:t xml:space="preserve"> </w:t>
      </w:r>
      <w:r w:rsidDel="00000000" w:rsidR="00000000" w:rsidRPr="00000000">
        <w:rPr>
          <w:color w:val="000000"/>
          <w:rtl w:val="0"/>
        </w:rPr>
        <w:t xml:space="preserve">(40) Working Days of the </w:t>
      </w:r>
      <w:r w:rsidDel="00000000" w:rsidR="00000000" w:rsidRPr="00000000">
        <w:rPr>
          <w:rtl w:val="0"/>
        </w:rPr>
        <w:t xml:space="preserve">Effective</w:t>
      </w:r>
      <w:r w:rsidDel="00000000" w:rsidR="00000000" w:rsidRPr="00000000">
        <w:rPr>
          <w:color w:val="000000"/>
          <w:rtl w:val="0"/>
        </w:rPr>
        <w:t xml:space="preserve"> Date the Supplier shall prepare and deliver to the Buyer for the Buyer’s written approval a plan (a </w:t>
      </w:r>
      <w:r w:rsidDel="00000000" w:rsidR="00000000" w:rsidRPr="00000000">
        <w:rPr>
          <w:b w:val="1"/>
          <w:color w:val="000000"/>
          <w:rtl w:val="0"/>
        </w:rPr>
        <w:t xml:space="preserve">"BCDR Plan"</w:t>
      </w:r>
      <w:r w:rsidDel="00000000" w:rsidR="00000000" w:rsidRPr="00000000">
        <w:rPr>
          <w:color w:val="000000"/>
          <w:rtl w:val="0"/>
        </w:rPr>
        <w:t xml:space="preserve">), which shall detail the processes and arrangements that the Supplier shall follow to:</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1fob9te" w:id="2"/>
      <w:bookmarkEnd w:id="2"/>
      <w:r w:rsidDel="00000000" w:rsidR="00000000" w:rsidRPr="00000000">
        <w:rPr>
          <w:color w:val="000000"/>
          <w:rtl w:val="0"/>
        </w:rPr>
        <w:t xml:space="preserve">the recovery of the Deliverables in the event of a Disaster.</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134" w:hanging="708"/>
        <w:jc w:val="left"/>
        <w:rPr>
          <w:color w:val="000000"/>
        </w:rPr>
      </w:pPr>
      <w:r w:rsidDel="00000000" w:rsidR="00000000" w:rsidRPr="00000000">
        <w:rPr>
          <w:color w:val="000000"/>
          <w:rtl w:val="0"/>
        </w:rPr>
        <w:t xml:space="preserve">The BCDR Plan shall be divided into the following sections:</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3znysh7" w:id="3"/>
      <w:bookmarkEnd w:id="3"/>
      <w:r w:rsidDel="00000000" w:rsidR="00000000" w:rsidRPr="00000000">
        <w:rPr>
          <w:color w:val="000000"/>
          <w:rtl w:val="0"/>
        </w:rPr>
        <w:t xml:space="preserve">Section 1 which shall set out general principles applicable to the BCDR Plan;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2et92p0" w:id="4"/>
      <w:bookmarkEnd w:id="4"/>
      <w:r w:rsidDel="00000000" w:rsidR="00000000" w:rsidRPr="00000000">
        <w:rPr>
          <w:color w:val="000000"/>
          <w:rtl w:val="0"/>
        </w:rPr>
        <w:t xml:space="preserve">Section 2 which shall relate to business continuity (the </w:t>
      </w:r>
      <w:r w:rsidDel="00000000" w:rsidR="00000000" w:rsidRPr="00000000">
        <w:rPr>
          <w:b w:val="1"/>
          <w:color w:val="000000"/>
          <w:rtl w:val="0"/>
        </w:rPr>
        <w:t xml:space="preserve">"Business Continuity Plan"</w:t>
      </w:r>
      <w:r w:rsidDel="00000000" w:rsidR="00000000" w:rsidRPr="00000000">
        <w:rPr>
          <w:color w:val="000000"/>
          <w:rtl w:val="0"/>
        </w:rPr>
        <w:t xml:space="preserve">); and</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tyjcwt" w:id="5"/>
      <w:bookmarkEnd w:id="5"/>
      <w:r w:rsidDel="00000000" w:rsidR="00000000" w:rsidRPr="00000000">
        <w:rPr>
          <w:color w:val="000000"/>
          <w:rtl w:val="0"/>
        </w:rPr>
        <w:t xml:space="preserve">Section 3 which shall relate to disaster recovery (the </w:t>
      </w:r>
      <w:r w:rsidDel="00000000" w:rsidR="00000000" w:rsidRPr="00000000">
        <w:rPr>
          <w:b w:val="1"/>
          <w:color w:val="000000"/>
          <w:rtl w:val="0"/>
        </w:rPr>
        <w:t xml:space="preserve">"Disaster Recovery Plan"</w:t>
      </w:r>
      <w:r w:rsidDel="00000000" w:rsidR="00000000" w:rsidRPr="00000000">
        <w:rPr>
          <w:color w:val="000000"/>
          <w:rtl w:val="0"/>
        </w:rPr>
        <w:t xml:space="preserve">); </w:t>
      </w:r>
      <w:r w:rsidDel="00000000" w:rsidR="00000000" w:rsidRPr="00000000">
        <w:rPr>
          <w:color w:val="000000"/>
          <w:highlight w:val="yellow"/>
          <w:rtl w:val="0"/>
        </w:rPr>
        <w:t xml:space="preserve">[and</w:t>
      </w:r>
      <w:r w:rsidDel="00000000" w:rsidR="00000000" w:rsidRPr="00000000">
        <w:rPr>
          <w:color w:val="000000"/>
          <w:rtl w:val="0"/>
        </w:rPr>
        <w:t xml:space="preserve">.</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highlight w:val="yellow"/>
          <w:rtl w:val="0"/>
        </w:rPr>
        <w:t xml:space="preserve">Section 4 which shall relate to an Insolvency Event of the Supplier, and Key-Subcontractors and/or any Supplier Group member (the “</w:t>
      </w:r>
      <w:r w:rsidDel="00000000" w:rsidR="00000000" w:rsidRPr="00000000">
        <w:rPr>
          <w:b w:val="1"/>
          <w:color w:val="000000"/>
          <w:highlight w:val="yellow"/>
          <w:rtl w:val="0"/>
        </w:rPr>
        <w:t xml:space="preserve">Insolvency Continuity Plan</w:t>
      </w:r>
      <w:r w:rsidDel="00000000" w:rsidR="00000000" w:rsidRPr="00000000">
        <w:rPr>
          <w:color w:val="000000"/>
          <w:highlight w:val="yellow"/>
          <w:rtl w:val="0"/>
        </w:rPr>
        <w:t xml:space="preserve">”).]</w:t>
      </w:r>
      <w:r w:rsidDel="00000000" w:rsidR="00000000" w:rsidRPr="00000000">
        <w:rPr>
          <w:color w:val="000000"/>
          <w:rtl w:val="0"/>
        </w:rPr>
        <w:t xml:space="preserve"> </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dy6vkm" w:id="6"/>
      <w:bookmarkEnd w:id="6"/>
      <w:r w:rsidDel="00000000" w:rsidR="00000000" w:rsidRPr="00000000">
        <w:rPr>
          <w:color w:val="000000"/>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1C">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smallCaps w:val="1"/>
          <w:color w:val="000000"/>
        </w:rPr>
      </w:pPr>
      <w:bookmarkStart w:colFirst="0" w:colLast="0" w:name="_heading=h.1t3h5sf" w:id="7"/>
      <w:bookmarkEnd w:id="7"/>
      <w:r w:rsidDel="00000000" w:rsidR="00000000" w:rsidRPr="00000000">
        <w:rPr>
          <w:b w:val="1"/>
          <w:color w:val="000000"/>
          <w:rtl w:val="0"/>
        </w:rPr>
        <w:t xml:space="preserve">General Principles of the BCDR Plan (Section </w:t>
      </w:r>
      <w:r w:rsidDel="00000000" w:rsidR="00000000" w:rsidRPr="00000000">
        <w:rPr>
          <w:color w:val="000000"/>
          <w:rtl w:val="0"/>
        </w:rPr>
        <w:t xml:space="preserve">1</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1D">
      <w:pPr>
        <w:keepNext w:val="1"/>
        <w:numPr>
          <w:ilvl w:val="1"/>
          <w:numId w:val="1"/>
        </w:numPr>
        <w:pBdr>
          <w:top w:space="0" w:sz="0" w:val="nil"/>
          <w:left w:space="0" w:sz="0" w:val="nil"/>
          <w:bottom w:space="0" w:sz="0" w:val="nil"/>
          <w:right w:space="0" w:sz="0" w:val="nil"/>
          <w:between w:space="0" w:sz="0" w:val="nil"/>
        </w:pBdr>
        <w:spacing w:after="120" w:before="120" w:lineRule="auto"/>
        <w:ind w:left="907" w:hanging="481"/>
        <w:jc w:val="left"/>
        <w:rPr>
          <w:color w:val="000000"/>
        </w:rPr>
      </w:pPr>
      <w:r w:rsidDel="00000000" w:rsidR="00000000" w:rsidRPr="00000000">
        <w:rPr>
          <w:color w:val="000000"/>
          <w:rtl w:val="0"/>
        </w:rPr>
        <w:t xml:space="preserve">Section 1 of the BCDR Plan shall:</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set out how the business continuity and disaster recovery elements of the BCDR Plan link to each other;</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detail how the BCDR Plan interoperates with any overarching disaster recovery or business continuity plan of the Buyer and any of its other Related Suppliers in each case as notified to the Supplier by the Buyer from time to time;</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contain a risk analysis, including:</w:t>
      </w:r>
    </w:p>
    <w:p w:rsidR="00000000" w:rsidDel="00000000" w:rsidP="00000000" w:rsidRDefault="00000000" w:rsidRPr="00000000" w14:paraId="00000024">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color w:val="000000"/>
        </w:rPr>
      </w:pPr>
      <w:r w:rsidDel="00000000" w:rsidR="00000000" w:rsidRPr="00000000">
        <w:rPr>
          <w:color w:val="000000"/>
          <w:rtl w:val="0"/>
        </w:rPr>
        <w:t xml:space="preserve">failure or disruption scenarios and assessments of likely frequency of occurrence;</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color w:val="000000"/>
        </w:rPr>
      </w:pPr>
      <w:r w:rsidDel="00000000" w:rsidR="00000000" w:rsidRPr="00000000">
        <w:rPr>
          <w:color w:val="000000"/>
          <w:rtl w:val="0"/>
        </w:rPr>
        <w:t xml:space="preserve">identification of any single points of failure within the provision of Deliverables and processes for managing those risks;</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color w:val="000000"/>
        </w:rPr>
      </w:pPr>
      <w:r w:rsidDel="00000000" w:rsidR="00000000" w:rsidRPr="00000000">
        <w:rPr>
          <w:color w:val="000000"/>
          <w:rtl w:val="0"/>
        </w:rPr>
        <w:t xml:space="preserve">identification of risks arising from an Insolvency Event of the Supplier, any Key Subcontractors and/or Supplier Group member;</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color w:val="000000"/>
        </w:rPr>
      </w:pPr>
      <w:r w:rsidDel="00000000" w:rsidR="00000000" w:rsidRPr="00000000">
        <w:rPr>
          <w:color w:val="000000"/>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color w:val="000000"/>
        </w:rPr>
      </w:pPr>
      <w:r w:rsidDel="00000000" w:rsidR="00000000" w:rsidRPr="00000000">
        <w:rPr>
          <w:color w:val="000000"/>
          <w:rtl w:val="0"/>
        </w:rPr>
        <w:t xml:space="preserve">a business impact analysis of different anticipated failures or disruptions;</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provide for documentation of processes, including business processes, and procedures;</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set out key contact details for the Supplier (and any Subcontractors) and for the Buyer;</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identify the procedures for reverting to "normal service";</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identify the responsibilities (if any) that the Buyer has agreed it will assume in the event of the invocation of the BCDR Plan;</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contain an obligation upon the Supplier to liaise with the Buyer and (at the Buyer’s request) any Related Supplier with respect to issues concerning insolvency continuity where applicable; and</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detail how the BCDR Plan links and interoperates with any overarching and/or connected insolvency continuity plan of the Buyer and any of its other Related Suppliers in each case as notified to the Supplier by the Buyer from time to time.</w:t>
      </w:r>
    </w:p>
    <w:p w:rsidR="00000000" w:rsidDel="00000000" w:rsidP="00000000" w:rsidRDefault="00000000" w:rsidRPr="00000000" w14:paraId="00000031">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BCDR Plan shall be designed so as to ensure that:</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Deliverables are provided in accordance with the Contract at all times during and after the invocation of the BCDR Plan;</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adverse impact of any Disaster is minimised as far as reasonably possible;</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it details a process for the management of disaster recovery testing.</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not be entitled to any relief from its obligations under the Framework Performance Measures (FPMs) or Key Performance Indicators, or to any increase in the Charges to the extent that a Disaster occurs as a consequence of any Default by the Supplier of the Contract.</w:t>
      </w:r>
    </w:p>
    <w:p w:rsidR="00000000" w:rsidDel="00000000" w:rsidP="00000000" w:rsidRDefault="00000000" w:rsidRPr="00000000" w14:paraId="00000038">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smallCaps w:val="1"/>
          <w:color w:val="000000"/>
        </w:rPr>
      </w:pPr>
      <w:r w:rsidDel="00000000" w:rsidR="00000000" w:rsidRPr="00000000">
        <w:rPr>
          <w:b w:val="1"/>
          <w:color w:val="000000"/>
          <w:rtl w:val="0"/>
        </w:rPr>
        <w:t xml:space="preserve">Business Continuity (Section 2)</w:t>
      </w:r>
      <w:r w:rsidDel="00000000" w:rsidR="00000000" w:rsidRPr="00000000">
        <w:rPr>
          <w:rtl w:val="0"/>
        </w:rPr>
      </w:r>
    </w:p>
    <w:p w:rsidR="00000000" w:rsidDel="00000000" w:rsidP="00000000" w:rsidRDefault="00000000" w:rsidRPr="00000000" w14:paraId="00000039">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d34og8" w:id="8"/>
      <w:bookmarkEnd w:id="8"/>
      <w:r w:rsidDel="00000000" w:rsidR="00000000" w:rsidRPr="00000000">
        <w:rPr>
          <w:color w:val="000000"/>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3C">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Business Continuity Plan shall:</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address the various possible levels of failures of or disruptions to the provision of Deliverables;</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2s8eyo1" w:id="9"/>
      <w:bookmarkEnd w:id="9"/>
      <w:r w:rsidDel="00000000" w:rsidR="00000000" w:rsidRPr="00000000">
        <w:rPr>
          <w:color w:val="000000"/>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x26c152ntwxe" w:id="10"/>
      <w:bookmarkEnd w:id="10"/>
      <w:r w:rsidDel="00000000" w:rsidR="00000000" w:rsidRPr="00000000">
        <w:rPr>
          <w:color w:val="000000"/>
          <w:rtl w:val="0"/>
        </w:rPr>
        <w:t xml:space="preserve">specify any applicable Framework Performance Measures (FPMs) and/or Key Performance Indicators with respect to the provision of the business continuity Services and details of any agreed relaxation to the Key Performance Indicators in respect of the provision of other Deliverables during any period of invocation of the Business Continuity Plan; and</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set out the circumstances in which the Business Continuity Plan is invoked.</w:t>
      </w:r>
    </w:p>
    <w:p w:rsidR="00000000" w:rsidDel="00000000" w:rsidP="00000000" w:rsidRDefault="00000000" w:rsidRPr="00000000" w14:paraId="00000041">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smallCaps w:val="1"/>
          <w:color w:val="000000"/>
        </w:rPr>
      </w:pPr>
      <w:r w:rsidDel="00000000" w:rsidR="00000000" w:rsidRPr="00000000">
        <w:rPr>
          <w:b w:val="1"/>
          <w:color w:val="000000"/>
          <w:rtl w:val="0"/>
        </w:rPr>
        <w:t xml:space="preserve">Disaster Recovery (Section </w:t>
      </w:r>
      <w:r w:rsidDel="00000000" w:rsidR="00000000" w:rsidRPr="00000000">
        <w:rPr>
          <w:color w:val="000000"/>
          <w:rtl w:val="0"/>
        </w:rPr>
        <w:t xml:space="preserve">3</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7dp8vu" w:id="11"/>
      <w:bookmarkEnd w:id="11"/>
      <w:r w:rsidDel="00000000" w:rsidR="00000000" w:rsidRPr="00000000">
        <w:rPr>
          <w:color w:val="000000"/>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3">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Supplier's BCDR Plan shall include an approach to business continuity and disaster recovery that addresses the following:</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loss of access to the Buyer Premises;</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loss of utilities to the Buyer Premises;</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loss of the Supplier's helpdesk or CAFM system;</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loss of a Subcontractor;</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emergency notification and escalation process;</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contact lists;</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staff training and awareness;</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BCDR Plan testing;</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post implementation review process;</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any applicable Framework Performance Measures (FPMs) and/or Key Performance Indicators with respect to the provision of the disaster recovery services and details of any agreed relaxation to the Framework Performance Measures (FPMs) and/or Key Performance Indicators in respect of the provision of other Deliverables during any period of invocation of the Disaster Recovery Plan;</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access controls to any disaster recovery sites used by the Supplier in relation to its obligations pursuant to this Schedule; and</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testing and management arrangements.</w:t>
      </w:r>
    </w:p>
    <w:p w:rsidR="00000000" w:rsidDel="00000000" w:rsidP="00000000" w:rsidRDefault="00000000" w:rsidRPr="00000000" w14:paraId="00000051">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smallCaps w:val="1"/>
          <w:color w:val="000000"/>
        </w:rPr>
      </w:pPr>
      <w:r w:rsidDel="00000000" w:rsidR="00000000" w:rsidRPr="00000000">
        <w:rPr>
          <w:b w:val="1"/>
          <w:color w:val="000000"/>
          <w:rtl w:val="0"/>
        </w:rPr>
        <w:t xml:space="preserve">Review and changing the BCDR Plan</w:t>
      </w:r>
      <w:r w:rsidDel="00000000" w:rsidR="00000000" w:rsidRPr="00000000">
        <w:rPr>
          <w:rtl w:val="0"/>
        </w:rPr>
      </w:r>
    </w:p>
    <w:p w:rsidR="00000000" w:rsidDel="00000000" w:rsidP="00000000" w:rsidRDefault="00000000" w:rsidRPr="00000000" w14:paraId="00000052">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rdcrjn" w:id="12"/>
      <w:bookmarkEnd w:id="12"/>
      <w:r w:rsidDel="00000000" w:rsidR="00000000" w:rsidRPr="00000000">
        <w:rPr>
          <w:color w:val="000000"/>
          <w:rtl w:val="0"/>
        </w:rPr>
        <w:t xml:space="preserve">The Supplier shall review the BCDR Plan:</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26in1rg" w:id="13"/>
      <w:bookmarkEnd w:id="13"/>
      <w:r w:rsidDel="00000000" w:rsidR="00000000" w:rsidRPr="00000000">
        <w:rPr>
          <w:color w:val="000000"/>
          <w:rtl w:val="0"/>
        </w:rPr>
        <w:t xml:space="preserve">on a regular basis and as a minimum once every six (6) Months;</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lnxbz9" w:id="14"/>
      <w:bookmarkEnd w:id="14"/>
      <w:r w:rsidDel="00000000" w:rsidR="00000000" w:rsidRPr="00000000">
        <w:rPr>
          <w:color w:val="000000"/>
          <w:rtl w:val="0"/>
        </w:rPr>
        <w:t xml:space="preserve">within three (3) calendar Months of the BCDR Plan (or any part) having been invoked pursuant to Paragraph 8; and</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bookmarkStart w:colFirst="0" w:colLast="0" w:name="_heading=h.35nkun2" w:id="15"/>
      <w:bookmarkEnd w:id="15"/>
      <w:r w:rsidDel="00000000" w:rsidR="00000000" w:rsidRPr="00000000">
        <w:rPr>
          <w:color w:val="000000"/>
          <w:rtl w:val="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ksv4uv" w:id="16"/>
      <w:bookmarkEnd w:id="16"/>
      <w:r w:rsidDel="00000000" w:rsidR="00000000" w:rsidRPr="00000000">
        <w:rPr>
          <w:color w:val="000000"/>
          <w:rtl w:val="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4sinio" w:id="17"/>
      <w:bookmarkEnd w:id="17"/>
      <w:r w:rsidDel="00000000" w:rsidR="00000000" w:rsidRPr="00000000">
        <w:rPr>
          <w:color w:val="000000"/>
          <w:rtl w:val="0"/>
        </w:rPr>
        <w:t xml:space="preserve">The Supplier shall, within twenty (20) Working Days of the conclusion of each such review of the BCDR Plan, provide to the Buyer a report (a </w:t>
      </w:r>
      <w:r w:rsidDel="00000000" w:rsidR="00000000" w:rsidRPr="00000000">
        <w:rPr>
          <w:b w:val="1"/>
          <w:color w:val="000000"/>
          <w:rtl w:val="0"/>
        </w:rPr>
        <w:t xml:space="preserve">"Review Report"</w:t>
      </w:r>
      <w:r w:rsidDel="00000000" w:rsidR="00000000" w:rsidRPr="00000000">
        <w:rPr>
          <w:color w:val="000000"/>
          <w:rtl w:val="0"/>
        </w:rPr>
        <w:t xml:space="preserve">) setting out the Supplier's proposals (the </w:t>
      </w:r>
      <w:r w:rsidDel="00000000" w:rsidR="00000000" w:rsidRPr="00000000">
        <w:rPr>
          <w:b w:val="1"/>
          <w:color w:val="000000"/>
          <w:rtl w:val="0"/>
        </w:rPr>
        <w:t xml:space="preserve">"Supplier's Proposals"</w:t>
      </w:r>
      <w:r w:rsidDel="00000000" w:rsidR="00000000" w:rsidRPr="00000000">
        <w:rPr>
          <w:color w:val="000000"/>
          <w:rtl w:val="0"/>
        </w:rPr>
        <w:t xml:space="preserve">) for addressing any changes in the risk profile and its proposals for amendments to the BCDR Plan.</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jxsxqh" w:id="18"/>
      <w:bookmarkEnd w:id="18"/>
      <w:r w:rsidDel="00000000" w:rsidR="00000000" w:rsidRPr="00000000">
        <w:rPr>
          <w:color w:val="000000"/>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5A">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pPr>
      <w:bookmarkStart w:colFirst="0" w:colLast="0" w:name="_heading=h.z337ya" w:id="19"/>
      <w:bookmarkEnd w:id="19"/>
      <w:r w:rsidDel="00000000" w:rsidR="00000000" w:rsidRPr="00000000">
        <w:rPr>
          <w:b w:val="1"/>
          <w:color w:val="000000"/>
          <w:rtl w:val="0"/>
        </w:rPr>
        <w:t xml:space="preserve">Testing the BCDR Plan</w:t>
      </w:r>
      <w:r w:rsidDel="00000000" w:rsidR="00000000" w:rsidRPr="00000000">
        <w:rPr>
          <w:rtl w:val="0"/>
        </w:rPr>
      </w:r>
    </w:p>
    <w:p w:rsidR="00000000" w:rsidDel="00000000" w:rsidP="00000000" w:rsidRDefault="00000000" w:rsidRPr="00000000" w14:paraId="0000005B">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j2qqm3" w:id="20"/>
      <w:bookmarkEnd w:id="20"/>
      <w:r w:rsidDel="00000000" w:rsidR="00000000" w:rsidRPr="00000000">
        <w:rPr>
          <w:color w:val="000000"/>
          <w:rtl w:val="0"/>
        </w:rPr>
        <w:t xml:space="preserve">The Supplier shall test the BCDR Plan: </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1" w:hanging="708"/>
        <w:jc w:val="left"/>
        <w:rPr>
          <w:color w:val="000000"/>
        </w:rPr>
      </w:pPr>
      <w:r w:rsidDel="00000000" w:rsidR="00000000" w:rsidRPr="00000000">
        <w:rPr>
          <w:color w:val="000000"/>
          <w:rtl w:val="0"/>
        </w:rPr>
        <w:t xml:space="preserve">regularly and in any event not less than once in every Contract Year;</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1" w:hanging="708"/>
        <w:jc w:val="left"/>
        <w:rPr>
          <w:color w:val="000000"/>
        </w:rPr>
      </w:pPr>
      <w:r w:rsidDel="00000000" w:rsidR="00000000" w:rsidRPr="00000000">
        <w:rPr>
          <w:color w:val="000000"/>
          <w:rtl w:val="0"/>
        </w:rPr>
        <w:t xml:space="preserve">in the event of any major reconfiguration of the Deliverables;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701" w:hanging="708"/>
        <w:jc w:val="left"/>
        <w:rPr>
          <w:color w:val="000000"/>
        </w:rPr>
      </w:pPr>
      <w:r w:rsidDel="00000000" w:rsidR="00000000" w:rsidRPr="00000000">
        <w:rPr>
          <w:color w:val="000000"/>
          <w:rtl w:val="0"/>
        </w:rPr>
        <w:t xml:space="preserve">at any time where the Buyer considers it necessary (acting in its sole discretion).</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y810tw" w:id="21"/>
      <w:bookmarkEnd w:id="21"/>
      <w:r w:rsidDel="00000000" w:rsidR="00000000" w:rsidRPr="00000000">
        <w:rPr>
          <w:color w:val="000000"/>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2">
      <w:pPr>
        <w:keepNext w:val="1"/>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within twenty (20) Working Days of the conclusion of each test, provide to the Buyer a report setting out:</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outcome of the test;</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any failures in the BCDR Plan (including the BCDR Plan's procedures) revealed by the test; and</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rPr>
      </w:pPr>
      <w:r w:rsidDel="00000000" w:rsidR="00000000" w:rsidRPr="00000000">
        <w:rPr>
          <w:color w:val="000000"/>
          <w:rtl w:val="0"/>
        </w:rPr>
        <w:t xml:space="preserve">the Supplier's proposals for remedying any such failures.</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i7ojhp" w:id="22"/>
      <w:bookmarkEnd w:id="22"/>
      <w:r w:rsidDel="00000000" w:rsidR="00000000" w:rsidRPr="00000000">
        <w:rPr>
          <w:color w:val="000000"/>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67">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pPr>
      <w:bookmarkStart w:colFirst="0" w:colLast="0" w:name="_heading=h.2xcytpi" w:id="23"/>
      <w:bookmarkEnd w:id="23"/>
      <w:r w:rsidDel="00000000" w:rsidR="00000000" w:rsidRPr="00000000">
        <w:rPr>
          <w:b w:val="1"/>
          <w:color w:val="000000"/>
          <w:rtl w:val="0"/>
        </w:rPr>
        <w:t xml:space="preserve">Invoking the BCDR Plan</w:t>
      </w:r>
      <w:r w:rsidDel="00000000" w:rsidR="00000000" w:rsidRPr="00000000">
        <w:rPr>
          <w:rtl w:val="0"/>
        </w:rPr>
      </w:r>
    </w:p>
    <w:p w:rsidR="00000000" w:rsidDel="00000000" w:rsidP="00000000" w:rsidRDefault="00000000" w:rsidRPr="00000000" w14:paraId="00000068">
      <w:pPr>
        <w:spacing w:after="120" w:before="120" w:lineRule="auto"/>
        <w:ind w:left="426" w:firstLine="0"/>
        <w:jc w:val="left"/>
        <w:rPr/>
      </w:pPr>
      <w:r w:rsidDel="00000000" w:rsidR="00000000" w:rsidRPr="00000000">
        <w:rPr>
          <w:rtl w:val="0"/>
        </w:rPr>
        <w:t xml:space="preserve">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69">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color w:val="000000"/>
        </w:rPr>
      </w:pPr>
      <w:r w:rsidDel="00000000" w:rsidR="00000000" w:rsidRPr="00000000">
        <w:rPr>
          <w:b w:val="1"/>
          <w:color w:val="000000"/>
          <w:rtl w:val="0"/>
        </w:rPr>
        <w:t xml:space="preserve">Circumstances beyond your control</w:t>
      </w:r>
      <w:r w:rsidDel="00000000" w:rsidR="00000000" w:rsidRPr="00000000">
        <w:rPr>
          <w:rtl w:val="0"/>
        </w:rPr>
      </w:r>
    </w:p>
    <w:p w:rsidR="00000000" w:rsidDel="00000000" w:rsidP="00000000" w:rsidRDefault="00000000" w:rsidRPr="00000000" w14:paraId="0000006A">
      <w:pPr>
        <w:spacing w:after="120" w:before="120" w:lineRule="auto"/>
        <w:ind w:left="426" w:firstLine="0"/>
        <w:rPr/>
      </w:pPr>
      <w:r w:rsidDel="00000000" w:rsidR="00000000" w:rsidRPr="00000000">
        <w:rPr>
          <w:rtl w:val="0"/>
        </w:rPr>
        <w:t xml:space="preserve">The Supplier shall not be entitled to relief under Clause 23 </w:t>
      </w:r>
      <w:r w:rsidDel="00000000" w:rsidR="00000000" w:rsidRPr="00000000">
        <w:rPr>
          <w:i w:val="1"/>
          <w:rtl w:val="0"/>
        </w:rPr>
        <w:t xml:space="preserve">(Circumstances beyond your control)</w:t>
      </w:r>
      <w:r w:rsidDel="00000000" w:rsidR="00000000" w:rsidRPr="00000000">
        <w:rPr>
          <w:rtl w:val="0"/>
        </w:rPr>
        <w:t xml:space="preserve"> of the General Terms if it would not have been impacted by the Force Majeure Event had it not failed to comply with its obligations under this Schedule.</w:t>
      </w:r>
    </w:p>
    <w:p w:rsidR="00000000" w:rsidDel="00000000" w:rsidP="00000000" w:rsidRDefault="00000000" w:rsidRPr="00000000" w14:paraId="0000006B">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color w:val="000000"/>
        </w:rPr>
      </w:pPr>
      <w:r w:rsidDel="00000000" w:rsidR="00000000" w:rsidRPr="00000000">
        <w:rPr>
          <w:b w:val="1"/>
          <w:color w:val="000000"/>
          <w:highlight w:val="yellow"/>
          <w:rtl w:val="0"/>
        </w:rPr>
        <w:t xml:space="preserve">[Insolvency Continuity Plan (Section 4)</w:t>
      </w:r>
      <w:r w:rsidDel="00000000" w:rsidR="00000000" w:rsidRPr="00000000">
        <w:rPr>
          <w:rtl w:val="0"/>
        </w:rPr>
      </w:r>
    </w:p>
    <w:p w:rsidR="00000000" w:rsidDel="00000000" w:rsidP="00000000" w:rsidRDefault="00000000" w:rsidRPr="00000000" w14:paraId="0000006C">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r w:rsidDel="00000000" w:rsidR="00000000" w:rsidRPr="00000000">
        <w:rPr>
          <w:rtl w:val="0"/>
        </w:rPr>
      </w:r>
    </w:p>
    <w:p w:rsidR="00000000" w:rsidDel="00000000" w:rsidP="00000000" w:rsidRDefault="00000000" w:rsidRPr="00000000" w14:paraId="0000006D">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 xml:space="preserve">The Insolvency Continuity Plan shall include the following:</w:t>
      </w:r>
      <w:r w:rsidDel="00000000" w:rsidR="00000000" w:rsidRPr="00000000">
        <w:rPr>
          <w:rtl w:val="0"/>
        </w:rPr>
      </w:r>
    </w:p>
    <w:p w:rsidR="00000000" w:rsidDel="00000000" w:rsidP="00000000" w:rsidRDefault="00000000" w:rsidRPr="00000000" w14:paraId="0000006E">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r w:rsidDel="00000000" w:rsidR="00000000" w:rsidRPr="00000000">
        <w:rPr>
          <w:rtl w:val="0"/>
        </w:rPr>
      </w:r>
    </w:p>
    <w:p w:rsidR="00000000" w:rsidDel="00000000" w:rsidP="00000000" w:rsidRDefault="00000000" w:rsidRPr="00000000" w14:paraId="0000006F">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identification, explanation, assessment and an impact analysis of risks in respect of dependencies between the Supplier, Key Subcontractors and Supplier Group members where failure of those dependencies could reasonably have an adverse impact on the Deliverables;</w:t>
      </w:r>
      <w:r w:rsidDel="00000000" w:rsidR="00000000" w:rsidRPr="00000000">
        <w:rPr>
          <w:rtl w:val="0"/>
        </w:rPr>
      </w:r>
    </w:p>
    <w:p w:rsidR="00000000" w:rsidDel="00000000" w:rsidP="00000000" w:rsidRDefault="00000000" w:rsidRPr="00000000" w14:paraId="00000070">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plans to manage and mitigate identified risks;</w:t>
      </w:r>
      <w:r w:rsidDel="00000000" w:rsidR="00000000" w:rsidRPr="00000000">
        <w:rPr>
          <w:rtl w:val="0"/>
        </w:rPr>
      </w:r>
    </w:p>
    <w:p w:rsidR="00000000" w:rsidDel="00000000" w:rsidP="00000000" w:rsidRDefault="00000000" w:rsidRPr="00000000" w14:paraId="00000071">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details of the roles and responsibilities of the Supplier, Key Subcontractors and/or Supplier Group members to minimise and mitigate the effects of an Insolvency Event of such persons on the Deliverables;</w:t>
      </w:r>
      <w:r w:rsidDel="00000000" w:rsidR="00000000" w:rsidRPr="00000000">
        <w:rPr>
          <w:rtl w:val="0"/>
        </w:rPr>
      </w:r>
    </w:p>
    <w:p w:rsidR="00000000" w:rsidDel="00000000" w:rsidP="00000000" w:rsidRDefault="00000000" w:rsidRPr="00000000" w14:paraId="00000072">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details of the recovery team to be put in place by the Supplier (which may include representatives of the Supplier, Key Subcontractors and Supplier Group members); and</w:t>
      </w:r>
      <w:r w:rsidDel="00000000" w:rsidR="00000000" w:rsidRPr="00000000">
        <w:rPr>
          <w:rtl w:val="0"/>
        </w:rPr>
      </w:r>
    </w:p>
    <w:p w:rsidR="00000000" w:rsidDel="00000000" w:rsidP="00000000" w:rsidRDefault="00000000" w:rsidRPr="00000000" w14:paraId="00000073">
      <w:pPr>
        <w:keepNext w:val="1"/>
        <w:numPr>
          <w:ilvl w:val="2"/>
          <w:numId w:val="1"/>
        </w:numPr>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sufficient detail to enable an appointed insolvency practitioner to invoke the plan in the event of an Insolvency Event of the Supplier.</w:t>
      </w:r>
      <w:r w:rsidDel="00000000" w:rsidR="00000000" w:rsidRPr="00000000">
        <w:rPr>
          <w:rtl w:val="0"/>
        </w:rPr>
      </w:r>
    </w:p>
    <w:p w:rsidR="00000000" w:rsidDel="00000000" w:rsidP="00000000" w:rsidRDefault="00000000" w:rsidRPr="00000000" w14:paraId="00000074">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 xml:space="preserve">Paragraph 3.1.6(c) is amended with the addition of the following words at the end of the Paragraph:</w:t>
      </w:r>
      <w:r w:rsidDel="00000000" w:rsidR="00000000" w:rsidRPr="00000000">
        <w:rPr>
          <w:rtl w:val="0"/>
        </w:rPr>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ab/>
        <w:t xml:space="preserve">as may be more fully described in the Insolvency Continuity Plan</w:t>
      </w:r>
      <w:r w:rsidDel="00000000" w:rsidR="00000000" w:rsidRPr="00000000">
        <w:rPr>
          <w:rtl w:val="0"/>
        </w:rPr>
      </w:r>
    </w:p>
    <w:p w:rsidR="00000000" w:rsidDel="00000000" w:rsidP="00000000" w:rsidRDefault="00000000" w:rsidRPr="00000000" w14:paraId="00000076">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 xml:space="preserve">Add new Paragraph 3.1.15:</w:t>
      </w:r>
      <w:r w:rsidDel="00000000" w:rsidR="00000000" w:rsidRPr="00000000">
        <w:rPr>
          <w:rtl w:val="0"/>
        </w:rPr>
      </w:r>
    </w:p>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tabs>
          <w:tab w:val="left" w:leader="none" w:pos="0"/>
        </w:tabs>
        <w:spacing w:after="120" w:before="120" w:lineRule="auto"/>
        <w:ind w:left="1985" w:hanging="851"/>
        <w:jc w:val="left"/>
        <w:rPr>
          <w:color w:val="000000"/>
        </w:rPr>
      </w:pPr>
      <w:r w:rsidDel="00000000" w:rsidR="00000000" w:rsidRPr="00000000">
        <w:rPr>
          <w:color w:val="000000"/>
          <w:highlight w:val="yellow"/>
          <w:rtl w:val="0"/>
        </w:rPr>
        <w:t xml:space="preserve">3.1.15</w:t>
        <w:tab/>
        <w:t xml:space="preserve">set out how the business continuity and disaster recovery elements of the BCDR Plan link to the Insolvency Continuity Plan, and how the Insolvency Continuity Plan links to the business continuity and disaster recovery elements of the BCDR Plan;</w:t>
      </w:r>
      <w:r w:rsidDel="00000000" w:rsidR="00000000" w:rsidRPr="00000000">
        <w:rPr>
          <w:rtl w:val="0"/>
        </w:rPr>
      </w:r>
    </w:p>
    <w:p w:rsidR="00000000" w:rsidDel="00000000" w:rsidP="00000000" w:rsidRDefault="00000000" w:rsidRPr="00000000" w14:paraId="00000078">
      <w:pPr>
        <w:keepNext w:val="1"/>
        <w:numPr>
          <w:ilvl w:val="1"/>
          <w:numId w:val="1"/>
        </w:numPr>
        <w:pBdr>
          <w:top w:space="0" w:sz="0" w:val="nil"/>
          <w:left w:space="0" w:sz="0" w:val="nil"/>
          <w:bottom w:space="0" w:sz="0" w:val="nil"/>
          <w:right w:space="0" w:sz="0" w:val="nil"/>
          <w:between w:space="0" w:sz="0" w:val="nil"/>
        </w:pBdr>
        <w:tabs>
          <w:tab w:val="left" w:leader="none" w:pos="0"/>
        </w:tabs>
        <w:spacing w:after="120" w:before="120" w:lineRule="auto"/>
        <w:ind w:left="1134" w:hanging="708"/>
        <w:jc w:val="left"/>
        <w:rPr>
          <w:color w:val="000000"/>
        </w:rPr>
      </w:pPr>
      <w:r w:rsidDel="00000000" w:rsidR="00000000" w:rsidRPr="00000000">
        <w:rPr>
          <w:color w:val="000000"/>
          <w:highlight w:val="yellow"/>
          <w:rtl w:val="0"/>
        </w:rPr>
        <w:t xml:space="preserve">Add new Paragraph 8.2:</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ind w:left="1985" w:hanging="851"/>
        <w:jc w:val="left"/>
        <w:rPr>
          <w:color w:val="000000"/>
          <w:highlight w:val="yellow"/>
        </w:rPr>
      </w:pPr>
      <w:r w:rsidDel="00000000" w:rsidR="00000000" w:rsidRPr="00000000">
        <w:rPr>
          <w:color w:val="000000"/>
          <w:highlight w:val="yellow"/>
          <w:rtl w:val="0"/>
        </w:rPr>
        <w:t xml:space="preserve">7.2</w:t>
        <w:tab/>
        <w:t xml:space="preserve">The Insolvency Continuity Plan element of the BCDR Plan, including any linked elements in other parts of the BCDR Plan, shall be invoked by the Supplier:</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ind w:left="1985" w:hanging="851"/>
        <w:jc w:val="left"/>
        <w:rPr>
          <w:color w:val="000000"/>
          <w:highlight w:val="yellow"/>
        </w:rPr>
      </w:pPr>
      <w:r w:rsidDel="00000000" w:rsidR="00000000" w:rsidRPr="00000000">
        <w:rPr>
          <w:color w:val="000000"/>
          <w:highlight w:val="yellow"/>
          <w:rtl w:val="0"/>
        </w:rPr>
        <w:t xml:space="preserve">7.2.1</w:t>
        <w:tab/>
        <w:t xml:space="preserve">where an Insolvency Event of a Key Sub-contractor and/or Supplier Group member (other than the Supplier) could reasonably be expected to adversely affect delivery of the Deliverables; and/or</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ind w:left="1985" w:hanging="851"/>
        <w:jc w:val="left"/>
        <w:rPr>
          <w:color w:val="000000"/>
          <w:highlight w:val="yellow"/>
        </w:rPr>
      </w:pPr>
      <w:r w:rsidDel="00000000" w:rsidR="00000000" w:rsidRPr="00000000">
        <w:rPr>
          <w:color w:val="000000"/>
          <w:highlight w:val="yellow"/>
          <w:rtl w:val="0"/>
        </w:rPr>
        <w:t xml:space="preserve">7.2.2</w:t>
        <w:tab/>
        <w:t xml:space="preserve">where there is an Insolvency Event of the Supplier and the insolvency arrangements enable the Supplier to invoke the plan.</w:t>
      </w:r>
    </w:p>
    <w:p w:rsidR="00000000" w:rsidDel="00000000" w:rsidP="00000000" w:rsidRDefault="00000000" w:rsidRPr="00000000" w14:paraId="0000007C">
      <w:pPr>
        <w:spacing w:after="120" w:before="120" w:lineRule="auto"/>
        <w:ind w:firstLine="1418"/>
        <w:rPr/>
      </w:pPr>
      <w:r w:rsidDel="00000000" w:rsidR="00000000" w:rsidRPr="00000000">
        <w:rPr>
          <w:rtl w:val="0"/>
        </w:rPr>
      </w:r>
    </w:p>
    <w:p w:rsidR="00000000" w:rsidDel="00000000" w:rsidP="00000000" w:rsidRDefault="00000000" w:rsidRPr="00000000" w14:paraId="0000007D">
      <w:pPr>
        <w:spacing w:after="120" w:before="120" w:lineRule="auto"/>
        <w:ind w:firstLine="1418"/>
        <w:rPr/>
      </w:pPr>
      <w:r w:rsidDel="00000000" w:rsidR="00000000" w:rsidRPr="00000000">
        <w:rPr>
          <w:rtl w:val="0"/>
        </w:rPr>
      </w:r>
    </w:p>
    <w:sectPr>
      <w:headerReference r:id="rId7" w:type="default"/>
      <w:footerReference r:id="rId8" w:type="default"/>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83">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spacing w:after="0" w:lineRule="auto"/>
      <w:ind w:left="0" w:firstLine="0"/>
      <w:rPr/>
    </w:pPr>
    <w:r w:rsidDel="00000000" w:rsidR="00000000" w:rsidRPr="00000000">
      <w:rPr>
        <w:sz w:val="20"/>
        <w:szCs w:val="20"/>
        <w:rtl w:val="0"/>
      </w:rPr>
      <w:t xml:space="preserve">Model Version: v1.0 PA</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tabs>
        <w:tab w:val="center" w:leader="none" w:pos="4513"/>
        <w:tab w:val="right" w:leader="none" w:pos="9026"/>
      </w:tabs>
      <w:spacing w:after="0" w:lineRule="auto"/>
      <w:ind w:left="0" w:firstLine="0"/>
      <w:rPr>
        <w:sz w:val="22"/>
        <w:szCs w:val="22"/>
      </w:rPr>
    </w:pPr>
    <w:r w:rsidDel="00000000" w:rsidR="00000000" w:rsidRPr="00000000">
      <w:rPr>
        <w:b w:val="1"/>
        <w:sz w:val="22"/>
        <w:szCs w:val="22"/>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7F">
    <w:pPr>
      <w:tabs>
        <w:tab w:val="center" w:leader="none" w:pos="4513"/>
        <w:tab w:val="right" w:leader="none" w:pos="9026"/>
      </w:tabs>
      <w:spacing w:after="0" w:lineRule="auto"/>
      <w:ind w:left="0" w:firstLine="0"/>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80">
    <w:pPr>
      <w:tabs>
        <w:tab w:val="center" w:leader="none" w:pos="4513"/>
        <w:tab w:val="right" w:leader="none" w:pos="9026"/>
      </w:tabs>
      <w:spacing w:after="0" w:lineRule="auto"/>
      <w:ind w:left="0" w:firstLine="0"/>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81">
    <w:pPr>
      <w:tabs>
        <w:tab w:val="center" w:leader="none" w:pos="4513"/>
        <w:tab w:val="right" w:leader="none" w:pos="9026"/>
      </w:tabs>
      <w:spacing w:after="0" w:lineRule="auto"/>
      <w:ind w:left="0" w:firstLine="0"/>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smallCaps w:val="0"/>
        <w:strike w:val="0"/>
        <w:color w:val="000000"/>
        <w:sz w:val="24"/>
        <w:szCs w:val="24"/>
        <w:u w:val="none"/>
        <w:vertAlign w:val="baseline"/>
      </w:rPr>
    </w:lvl>
    <w:lvl w:ilvl="1">
      <w:start w:val="1"/>
      <w:numFmt w:val="decimal"/>
      <w:lvlText w:val="%1.%2"/>
      <w:lvlJc w:val="left"/>
      <w:pPr>
        <w:ind w:left="907" w:hanging="547"/>
      </w:pPr>
      <w:rPr>
        <w:rFonts w:ascii="Arial" w:cs="Arial" w:eastAsia="Arial" w:hAnsi="Arial"/>
        <w:i w:val="0"/>
        <w:smallCaps w:val="0"/>
        <w:strike w:val="0"/>
        <w:color w:val="000000"/>
        <w:u w:val="none"/>
        <w:vertAlign w:val="baseline"/>
      </w:rPr>
    </w:lvl>
    <w:lvl w:ilvl="2">
      <w:start w:val="1"/>
      <w:numFmt w:val="decimal"/>
      <w:lvlText w:val="%1.%2.%3"/>
      <w:lvlJc w:val="left"/>
      <w:pPr>
        <w:ind w:left="1757" w:hanging="850.0000000000002"/>
      </w:pPr>
      <w:rPr>
        <w:rFonts w:ascii="Arial" w:cs="Arial" w:eastAsia="Arial" w:hAnsi="Arial"/>
        <w:b w:val="0"/>
        <w:i w:val="0"/>
        <w:smallCaps w:val="0"/>
        <w:strike w:val="0"/>
        <w:color w:val="000000"/>
        <w:u w:val="none"/>
        <w:vertAlign w:val="baseline"/>
      </w:rPr>
    </w:lvl>
    <w:lvl w:ilvl="3">
      <w:start w:val="1"/>
      <w:numFmt w:val="lowerLetter"/>
      <w:lvlText w:val="(%4)"/>
      <w:lvlJc w:val="left"/>
      <w:pPr>
        <w:ind w:left="2606" w:hanging="848"/>
      </w:pPr>
      <w:rPr>
        <w:rFonts w:ascii="Arial" w:cs="Arial" w:eastAsia="Arial" w:hAnsi="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ind w:left="1418"/>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SCHEDULEHeading" w:customStyle="1">
    <w:name w:val="GPS L1 SCHEDULE Heading"/>
    <w:basedOn w:val="GPSL1CLAUSEHEADING"/>
    <w:link w:val="GPSL1SCHEDULEHeadingChar"/>
    <w:qFormat w:val="1"/>
    <w:pPr>
      <w:numPr>
        <w:numId w:val="1"/>
      </w:numPr>
      <w:outlineLvl w:val="9"/>
    </w:pPr>
    <w:rPr>
      <w:rFonts w:ascii="Calibri" w:hAnsi="Calibri"/>
    </w:rPr>
  </w:style>
  <w:style w:type="character" w:styleId="GPSL2numberedclauseChar1" w:customStyle="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val="1"/>
    <w:rPr>
      <w:color w:val="0000ff" w:themeColor="hyperlink"/>
      <w:u w:val="single"/>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Term" w:customStyle="1">
    <w:name w:val="GPS Definition Term"/>
    <w:basedOn w:val="Normal"/>
    <w:qFormat w:val="1"/>
    <w:pPr>
      <w:spacing w:after="120"/>
      <w:ind w:left="-108"/>
      <w:jc w:val="left"/>
    </w:pPr>
    <w:rPr>
      <w:b w:val="1"/>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paragraph" w:styleId="GPSL2numberedclause" w:customStyle="1">
    <w:name w:val="GPS L2 numbered clause"/>
    <w:basedOn w:val="Normal"/>
    <w:link w:val="GPSL2numberedclauseChar1"/>
    <w:qFormat w:val="1"/>
    <w:rsid w:val="00164310"/>
    <w:pPr>
      <w:numPr>
        <w:ilvl w:val="1"/>
        <w:numId w:val="2"/>
      </w:numPr>
      <w:overflowPunct w:val="1"/>
      <w:autoSpaceDE w:val="1"/>
      <w:autoSpaceDN w:val="1"/>
      <w:spacing w:after="120" w:before="120"/>
      <w:jc w:val="left"/>
      <w:textAlignment w:val="auto"/>
    </w:pPr>
    <w:rPr>
      <w:lang w:eastAsia="zh-CN"/>
    </w:rPr>
  </w:style>
  <w:style w:type="character" w:styleId="FooterChar" w:customStyle="1">
    <w:name w:val="Footer Char"/>
    <w:basedOn w:val="DefaultParagraphFont"/>
    <w:link w:val="Footer"/>
    <w:uiPriority w:val="99"/>
  </w:style>
  <w:style w:type="table" w:styleId="a"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GPSmacrorestart" w:customStyle="1">
    <w:name w:val="GPS macro restart"/>
    <w:basedOn w:val="Normal"/>
    <w:qFormat w:val="1"/>
    <w:pPr>
      <w:spacing w:after="0"/>
      <w:ind w:left="0"/>
    </w:pPr>
    <w:rPr>
      <w:color w:val="ffffff"/>
      <w:sz w:val="16"/>
      <w:szCs w:val="16"/>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1CLAUSEHEADING" w:customStyle="1">
    <w:name w:val="GPS L1 CLAUSE HEADING"/>
    <w:basedOn w:val="Normal"/>
    <w:next w:val="Normal"/>
    <w:qFormat w:val="1"/>
    <w:rsid w:val="00CE67F4"/>
    <w:pPr>
      <w:keepNext w:val="1"/>
      <w:numPr>
        <w:numId w:val="2"/>
      </w:numPr>
      <w:tabs>
        <w:tab w:val="left" w:pos="0"/>
      </w:tabs>
      <w:overflowPunct w:val="1"/>
      <w:autoSpaceDE w:val="1"/>
      <w:autoSpaceDN w:val="1"/>
      <w:spacing w:before="120"/>
      <w:jc w:val="left"/>
      <w:textAlignment w:val="auto"/>
      <w:outlineLvl w:val="1"/>
    </w:pPr>
    <w:rPr>
      <w:rFonts w:ascii="Arial Bold" w:eastAsia="STZhongsong" w:hAnsi="Arial Bold"/>
      <w:b w:val="1"/>
      <w:lang w:eastAsia="zh-CN"/>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CE67F4"/>
    <w:pPr>
      <w:numPr>
        <w:ilvl w:val="3"/>
      </w:numPr>
      <w:tabs>
        <w:tab w:val="clear" w:pos="1985"/>
        <w:tab w:val="clear" w:pos="2127"/>
      </w:tabs>
    </w:pPr>
    <w:rPr>
      <w:szCs w:val="20"/>
    </w:r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Revision">
    <w:name w:val="Revision"/>
    <w:hidden w:val="1"/>
    <w:uiPriority w:val="99"/>
    <w:semiHidden w:val="1"/>
    <w:pPr>
      <w:spacing w:after="0"/>
    </w:pPr>
    <w:rPr>
      <w:rFonts w:eastAsia="Times New Roman"/>
    </w:rPr>
  </w:style>
  <w:style w:type="character" w:styleId="GPSL4numberedclauseChar" w:customStyle="1">
    <w:name w:val="GPS L4 numbered clause Char"/>
    <w:link w:val="GPSL4numberedclause"/>
    <w:rsid w:val="00CE67F4"/>
    <w:rPr>
      <w:rFonts w:eastAsia="Times New Roman"/>
      <w:sz w:val="24"/>
      <w:szCs w:val="20"/>
      <w:lang w:eastAsia="zh-CN"/>
    </w:r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6numbered" w:customStyle="1">
    <w:name w:val="GPS L6 numbered"/>
    <w:basedOn w:val="GPSL5numberedclause"/>
    <w:qFormat w:val="1"/>
    <w:pPr>
      <w:numPr>
        <w:ilvl w:val="5"/>
      </w:numPr>
      <w:tabs>
        <w:tab w:val="num" w:pos="360"/>
        <w:tab w:val="num" w:pos="360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paragraph" w:styleId="GPsDefinition" w:customStyle="1">
    <w:name w:val="GPs Definition"/>
    <w:basedOn w:val="Normal"/>
    <w:qFormat w:val="1"/>
    <w:pPr>
      <w:tabs>
        <w:tab w:val="left" w:pos="-9"/>
        <w:tab w:val="num" w:pos="720"/>
      </w:tabs>
      <w:spacing w:after="120"/>
      <w:ind w:left="720" w:hanging="720"/>
    </w:p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table" w:styleId="a0" w:customStyle="1">
    <w:basedOn w:val="TableNormal"/>
    <w:tblPr>
      <w:tblStyleRowBandSize w:val="1"/>
      <w:tblStyleColBandSize w:val="1"/>
      <w:tblCellMar>
        <w:left w:w="115.0" w:type="dxa"/>
        <w:right w:w="115.0" w:type="dxa"/>
      </w:tblCellMar>
    </w:tblPr>
  </w:style>
  <w:style w:type="paragraph" w:styleId="GPSDefinitionL4" w:customStyle="1">
    <w:name w:val="GPS Definition L4"/>
    <w:basedOn w:val="GPSDefinitionL3"/>
    <w:qFormat w:val="1"/>
    <w:pPr>
      <w:numPr>
        <w:ilvl w:val="3"/>
      </w:numPr>
      <w:tabs>
        <w:tab w:val="num" w:pos="720"/>
      </w:tabs>
      <w:ind w:left="720" w:hanging="545"/>
    </w:p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table" w:styleId="TableGrid">
    <w:name w:val="Table Grid"/>
    <w:basedOn w:val="TableNormal"/>
    <w:uiPriority w:val="59"/>
    <w:pPr>
      <w:spacing w:after="0"/>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A0701"/>
    <w:pPr>
      <w:overflowPunct w:val="1"/>
      <w:autoSpaceDE w:val="1"/>
      <w:autoSpaceDN w:val="1"/>
      <w:adjustRightInd w:val="1"/>
      <w:spacing w:after="200" w:line="276" w:lineRule="auto"/>
      <w:ind w:left="720"/>
      <w:contextualSpacing w:val="1"/>
      <w:jc w:val="left"/>
      <w:textAlignment w:val="auto"/>
    </w:pPr>
    <w:rPr>
      <w:rFonts w:ascii="Calibri" w:cs="Calibri" w:eastAsia="Calibri" w:hAnsi="Calibri"/>
      <w:lang w:eastAsia="en-GB"/>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7r5ugj6sdtQ3vXRjQKTVJhk9g==">CgMxLjAyCGguZ2pkZ3hzMgloLjMwajB6bGwyCWguMWZvYjl0ZTIJaC4zem55c2g3MgloLjJldDkycDAyCGgudHlqY3d0MgloLjNkeTZ2a20yCWguMXQzaDVzZjIJaC40ZDM0b2c4MgloLjJzOGV5bzEyDmgueDI2YzE1Mm50d3hlMgloLjE3ZHA4dnUyCWguM3JkY3JqbjIJaC4yNmluMXJnMghoLmxueGJ6OTIJaC4zNW5rdW4yMgloLjFrc3Y0dXYyCWguNDRzaW5pbzIJaC4yanhzeHFoMghoLnozMzd5YTIJaC4zajJxcW0zMgloLjF5ODEwdHcyCWguNGk3b2pocDIJaC4yeGN5dHBpOABqKQoUc3VnZ2VzdC5yZTU2bHNub3JkcDESEUFsbGFuIFJpY2hhcmRzb24xciExLVRnWDVUa3lxc1UyX1U2MjdvOEpVc1ZtTEF0R2lOa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0x01010049E24096C3B12B4DBFEA258BF752736B</vt:lpwstr>
  </property>
</Properties>
</file>