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bookmark=id.lkvyswlpkof3" w:id="0"/>
    <w:bookmarkEnd w:id="0"/>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center" w:leader="none" w:pos="4153"/>
          <w:tab w:val="right" w:leader="none" w:pos="8306"/>
          <w:tab w:val="center" w:leader="none" w:pos="4513"/>
          <w:tab w:val="right" w:leader="none" w:pos="9026"/>
        </w:tabs>
        <w:spacing w:after="120" w:before="120" w:lineRule="auto"/>
        <w:rPr>
          <w:b w:val="1"/>
          <w:color w:val="000000"/>
          <w:sz w:val="36"/>
          <w:szCs w:val="36"/>
        </w:rPr>
      </w:pPr>
      <w:bookmarkStart w:colFirst="0" w:colLast="0" w:name="_heading=h.iienocv2gwnh" w:id="1"/>
      <w:bookmarkEnd w:id="1"/>
      <w:r w:rsidDel="00000000" w:rsidR="00000000" w:rsidRPr="00000000">
        <w:rPr>
          <w:b w:val="1"/>
          <w:color w:val="000000"/>
          <w:sz w:val="36"/>
          <w:szCs w:val="36"/>
          <w:rtl w:val="0"/>
        </w:rPr>
        <w:t xml:space="preserve">Call-Off Schedule 9D (Security: Supplier-led Assurance)</w:t>
      </w:r>
    </w:p>
    <w:p w:rsidR="00000000" w:rsidDel="00000000" w:rsidP="00000000" w:rsidRDefault="00000000" w:rsidRPr="00000000" w14:paraId="00000002">
      <w:pPr>
        <w:tabs>
          <w:tab w:val="left" w:leader="none" w:pos="6828"/>
        </w:tabs>
        <w:spacing w:after="120" w:before="120" w:lineRule="auto"/>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1"/>
          <w:smallCaps w:val="0"/>
          <w:strike w:val="0"/>
          <w:color w:val="000000"/>
          <w:sz w:val="24"/>
          <w:szCs w:val="24"/>
          <w:highlight w:val="yellow"/>
          <w:u w:val="none"/>
          <w:vertAlign w:val="baseline"/>
        </w:rPr>
      </w:pPr>
      <w:bookmarkStart w:colFirst="0" w:colLast="0" w:name="_heading=h.2psm595cqh2c" w:id="2"/>
      <w:bookmarkEnd w:id="2"/>
      <w:r w:rsidDel="00000000" w:rsidR="00000000" w:rsidRPr="00000000">
        <w:rPr>
          <w:rFonts w:ascii="Arial" w:cs="Arial" w:eastAsia="Arial" w:hAnsi="Arial"/>
          <w:b w:val="1"/>
          <w:i w:val="1"/>
          <w:smallCaps w:val="0"/>
          <w:strike w:val="0"/>
          <w:color w:val="000000"/>
          <w:sz w:val="24"/>
          <w:szCs w:val="24"/>
          <w:highlight w:val="yellow"/>
          <w:u w:val="none"/>
          <w:vertAlign w:val="baseline"/>
          <w:rtl w:val="0"/>
        </w:rPr>
        <w:t xml:space="preserve">[Buyer Guidance: Buyers may include their own security requirements in the Call-Off Order Form, or use one of the optional Security Schedules listed below. See the separate Guidance Document (</w:t>
      </w:r>
      <w:hyperlink r:id="rId7">
        <w:r w:rsidDel="00000000" w:rsidR="00000000" w:rsidRPr="00000000">
          <w:rPr>
            <w:rFonts w:ascii="Arial" w:cs="Arial" w:eastAsia="Arial" w:hAnsi="Arial"/>
            <w:b w:val="1"/>
            <w:i w:val="1"/>
            <w:smallCaps w:val="0"/>
            <w:strike w:val="0"/>
            <w:color w:val="0563c1"/>
            <w:sz w:val="24"/>
            <w:szCs w:val="24"/>
            <w:highlight w:val="yellow"/>
            <w:u w:val="single"/>
            <w:vertAlign w:val="baseline"/>
            <w:rtl w:val="0"/>
          </w:rPr>
          <w:t xml:space="preserve">https://www.security.gov.uk/policy-and-guidance/contracting-securely/</w:t>
        </w:r>
      </w:hyperlink>
      <w:r w:rsidDel="00000000" w:rsidR="00000000" w:rsidRPr="00000000">
        <w:rPr>
          <w:rFonts w:ascii="Arial" w:cs="Arial" w:eastAsia="Arial" w:hAnsi="Arial"/>
          <w:b w:val="1"/>
          <w:i w:val="1"/>
          <w:smallCaps w:val="0"/>
          <w:strike w:val="0"/>
          <w:color w:val="000000"/>
          <w:sz w:val="24"/>
          <w:szCs w:val="24"/>
          <w:highlight w:val="yellow"/>
          <w:u w:val="none"/>
          <w:vertAlign w:val="baseline"/>
          <w:rtl w:val="0"/>
        </w:rPr>
        <w:t xml:space="preserve">) about when to use an optional Security Schedule, and what version of the Security Schedule is most appropriate. Buyers can only choose one of the following Security Schedules, which will need to be completed (in line with the Buyer guidance set out in each document) and then referred to in the Call-Off Order Form:</w:t>
      </w:r>
    </w:p>
    <w:p w:rsidR="00000000" w:rsidDel="00000000" w:rsidP="00000000" w:rsidRDefault="00000000" w:rsidRPr="00000000" w14:paraId="00000004">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Arial" w:cs="Arial" w:eastAsia="Arial" w:hAnsi="Arial"/>
          <w:b w:val="1"/>
          <w:i w:val="1"/>
          <w:smallCaps w:val="0"/>
          <w:strike w:val="0"/>
          <w:color w:val="000000"/>
          <w:sz w:val="24"/>
          <w:szCs w:val="24"/>
          <w:highlight w:val="yellow"/>
          <w:u w:val="none"/>
          <w:vertAlign w:val="baseline"/>
        </w:rPr>
      </w:pPr>
      <w:r w:rsidDel="00000000" w:rsidR="00000000" w:rsidRPr="00000000">
        <w:rPr>
          <w:rFonts w:ascii="Arial" w:cs="Arial" w:eastAsia="Arial" w:hAnsi="Arial"/>
          <w:b w:val="1"/>
          <w:i w:val="1"/>
          <w:smallCaps w:val="0"/>
          <w:strike w:val="0"/>
          <w:color w:val="000000"/>
          <w:sz w:val="24"/>
          <w:szCs w:val="24"/>
          <w:highlight w:val="yellow"/>
          <w:u w:val="none"/>
          <w:vertAlign w:val="baseline"/>
          <w:rtl w:val="0"/>
        </w:rPr>
        <w:t xml:space="preserve">Call-Off Schedule 9A (Security: Short Form)  </w:t>
      </w:r>
    </w:p>
    <w:p w:rsidR="00000000" w:rsidDel="00000000" w:rsidP="00000000" w:rsidRDefault="00000000" w:rsidRPr="00000000" w14:paraId="00000005">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Arial" w:cs="Arial" w:eastAsia="Arial" w:hAnsi="Arial"/>
          <w:b w:val="1"/>
          <w:i w:val="1"/>
          <w:smallCaps w:val="0"/>
          <w:strike w:val="0"/>
          <w:color w:val="000000"/>
          <w:sz w:val="24"/>
          <w:szCs w:val="24"/>
          <w:highlight w:val="yellow"/>
          <w:u w:val="none"/>
          <w:vertAlign w:val="baseline"/>
        </w:rPr>
      </w:pPr>
      <w:r w:rsidDel="00000000" w:rsidR="00000000" w:rsidRPr="00000000">
        <w:rPr>
          <w:rFonts w:ascii="Arial" w:cs="Arial" w:eastAsia="Arial" w:hAnsi="Arial"/>
          <w:b w:val="1"/>
          <w:i w:val="1"/>
          <w:smallCaps w:val="0"/>
          <w:strike w:val="0"/>
          <w:color w:val="000000"/>
          <w:sz w:val="24"/>
          <w:szCs w:val="24"/>
          <w:highlight w:val="yellow"/>
          <w:u w:val="none"/>
          <w:vertAlign w:val="baseline"/>
          <w:rtl w:val="0"/>
        </w:rPr>
        <w:t xml:space="preserve">Call-Off Schedule 9B (Security: Consultancy)  </w:t>
      </w:r>
    </w:p>
    <w:p w:rsidR="00000000" w:rsidDel="00000000" w:rsidP="00000000" w:rsidRDefault="00000000" w:rsidRPr="00000000" w14:paraId="00000006">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Arial" w:cs="Arial" w:eastAsia="Arial" w:hAnsi="Arial"/>
          <w:b w:val="1"/>
          <w:i w:val="1"/>
          <w:smallCaps w:val="0"/>
          <w:strike w:val="0"/>
          <w:color w:val="000000"/>
          <w:sz w:val="24"/>
          <w:szCs w:val="24"/>
          <w:highlight w:val="yellow"/>
          <w:u w:val="none"/>
          <w:vertAlign w:val="baseline"/>
        </w:rPr>
      </w:pPr>
      <w:r w:rsidDel="00000000" w:rsidR="00000000" w:rsidRPr="00000000">
        <w:rPr>
          <w:rFonts w:ascii="Arial" w:cs="Arial" w:eastAsia="Arial" w:hAnsi="Arial"/>
          <w:b w:val="1"/>
          <w:i w:val="1"/>
          <w:smallCaps w:val="0"/>
          <w:strike w:val="0"/>
          <w:color w:val="000000"/>
          <w:sz w:val="24"/>
          <w:szCs w:val="24"/>
          <w:highlight w:val="yellow"/>
          <w:u w:val="none"/>
          <w:vertAlign w:val="baseline"/>
          <w:rtl w:val="0"/>
        </w:rPr>
        <w:t xml:space="preserve">Call-Off Schedule 9C (Security: Development)  </w:t>
      </w:r>
    </w:p>
    <w:p w:rsidR="00000000" w:rsidDel="00000000" w:rsidP="00000000" w:rsidRDefault="00000000" w:rsidRPr="00000000" w14:paraId="00000007">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Arial" w:cs="Arial" w:eastAsia="Arial" w:hAnsi="Arial"/>
          <w:b w:val="1"/>
          <w:i w:val="1"/>
          <w:smallCaps w:val="0"/>
          <w:strike w:val="0"/>
          <w:color w:val="000000"/>
          <w:sz w:val="24"/>
          <w:szCs w:val="24"/>
          <w:highlight w:val="yellow"/>
          <w:u w:val="none"/>
          <w:vertAlign w:val="baseline"/>
        </w:rPr>
      </w:pPr>
      <w:r w:rsidDel="00000000" w:rsidR="00000000" w:rsidRPr="00000000">
        <w:rPr>
          <w:rFonts w:ascii="Arial" w:cs="Arial" w:eastAsia="Arial" w:hAnsi="Arial"/>
          <w:b w:val="1"/>
          <w:i w:val="1"/>
          <w:smallCaps w:val="0"/>
          <w:strike w:val="0"/>
          <w:color w:val="000000"/>
          <w:sz w:val="24"/>
          <w:szCs w:val="24"/>
          <w:highlight w:val="yellow"/>
          <w:u w:val="none"/>
          <w:vertAlign w:val="baseline"/>
          <w:rtl w:val="0"/>
        </w:rPr>
        <w:t xml:space="preserve">Call-Off Schedule 9D (Security: Supplier-led Assurance) </w:t>
      </w:r>
    </w:p>
    <w:p w:rsidR="00000000" w:rsidDel="00000000" w:rsidP="00000000" w:rsidRDefault="00000000" w:rsidRPr="00000000" w14:paraId="00000008">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Arial" w:cs="Arial" w:eastAsia="Arial" w:hAnsi="Arial"/>
          <w:b w:val="1"/>
          <w:i w:val="1"/>
          <w:smallCaps w:val="0"/>
          <w:strike w:val="0"/>
          <w:color w:val="000000"/>
          <w:sz w:val="24"/>
          <w:szCs w:val="24"/>
          <w:highlight w:val="yellow"/>
          <w:u w:val="none"/>
          <w:vertAlign w:val="baseline"/>
        </w:rPr>
      </w:pPr>
      <w:r w:rsidDel="00000000" w:rsidR="00000000" w:rsidRPr="00000000">
        <w:rPr>
          <w:rFonts w:ascii="Arial" w:cs="Arial" w:eastAsia="Arial" w:hAnsi="Arial"/>
          <w:b w:val="1"/>
          <w:i w:val="1"/>
          <w:smallCaps w:val="0"/>
          <w:strike w:val="0"/>
          <w:color w:val="000000"/>
          <w:sz w:val="24"/>
          <w:szCs w:val="24"/>
          <w:highlight w:val="yellow"/>
          <w:u w:val="none"/>
          <w:vertAlign w:val="baseline"/>
          <w:rtl w:val="0"/>
        </w:rPr>
        <w:t xml:space="preserve">Call-Off Schedule 9E (Security: Buyer-led Assurance)</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1"/>
          <w:smallCaps w:val="0"/>
          <w:strike w:val="0"/>
          <w:color w:val="000000"/>
          <w:sz w:val="24"/>
          <w:szCs w:val="24"/>
          <w:highlight w:val="yellow"/>
          <w:u w:val="none"/>
          <w:vertAlign w:val="baseline"/>
        </w:rPr>
      </w:pPr>
      <w:r w:rsidDel="00000000" w:rsidR="00000000" w:rsidRPr="00000000">
        <w:rPr>
          <w:rFonts w:ascii="Arial" w:cs="Arial" w:eastAsia="Arial" w:hAnsi="Arial"/>
          <w:b w:val="1"/>
          <w:i w:val="1"/>
          <w:smallCaps w:val="0"/>
          <w:strike w:val="0"/>
          <w:color w:val="000000"/>
          <w:sz w:val="24"/>
          <w:szCs w:val="24"/>
          <w:highlight w:val="yellow"/>
          <w:u w:val="none"/>
          <w:vertAlign w:val="baseline"/>
          <w:rtl w:val="0"/>
        </w:rPr>
        <w:t xml:space="preserve">Please note that certain information will need to be populated/confirmed by Buyers within the provisions of this Schedule in order to reflect the Buyer's own specific policies/requirements – the relevant provisions are highlighted in yellow.]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sectPr>
          <w:headerReference r:id="rId8" w:type="default"/>
          <w:footerReference r:id="rId9" w:type="default"/>
          <w:pgSz w:h="16838" w:w="11906" w:orient="portrait"/>
          <w:pgMar w:bottom="1440" w:top="1440" w:left="1440" w:right="1440" w:header="720" w:footer="720"/>
          <w:pgNumType w:start="1"/>
        </w:sect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B">
      <w:pPr>
        <w:pStyle w:val="Heading1"/>
        <w:numPr>
          <w:ilvl w:val="0"/>
          <w:numId w:val="2"/>
        </w:numPr>
        <w:ind w:left="720" w:hanging="720"/>
        <w:rPr/>
      </w:pPr>
      <w:bookmarkStart w:colFirst="0" w:colLast="0" w:name="_heading=h.w02z0nl3korx" w:id="3"/>
      <w:bookmarkEnd w:id="3"/>
      <w:r w:rsidDel="00000000" w:rsidR="00000000" w:rsidRPr="00000000">
        <w:rPr>
          <w:rtl w:val="0"/>
        </w:rPr>
        <w:t xml:space="preserve">Buyer Options</w:t>
      </w:r>
    </w:p>
    <w:p w:rsidR="00000000" w:rsidDel="00000000" w:rsidP="00000000" w:rsidRDefault="00000000" w:rsidRPr="00000000" w14:paraId="0000000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 the Buyer has selected an option in the table below, the Supplier must comply with the requirements relating to that option set out in the relevant Paragraph:</w:t>
      </w:r>
    </w:p>
    <w:tbl>
      <w:tblPr>
        <w:tblStyle w:val="Table1"/>
        <w:tblW w:w="8301.0" w:type="dxa"/>
        <w:jc w:val="left"/>
        <w:tblInd w:w="7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97"/>
        <w:gridCol w:w="3998"/>
        <w:gridCol w:w="706"/>
        <w:tblGridChange w:id="0">
          <w:tblGrid>
            <w:gridCol w:w="3597"/>
            <w:gridCol w:w="3998"/>
            <w:gridCol w:w="706"/>
          </w:tblGrid>
        </w:tblGridChange>
      </w:tblGrid>
      <w:tr>
        <w:trPr>
          <w:cantSplit w:val="0"/>
          <w:tblHeader w:val="0"/>
        </w:trPr>
        <w:tc>
          <w:tcPr>
            <w:gridSpan w:val="3"/>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sregj6iodybt" w:id="4"/>
            <w:bookmarkEnd w:id="4"/>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Buyer Security Policies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(see Paragraph 5)</w:t>
            </w:r>
          </w:p>
        </w:tc>
      </w:tr>
      <w:tr>
        <w:trPr>
          <w:cantSplit w:val="0"/>
          <w:tblHeader w:val="0"/>
        </w:trPr>
        <w:tc>
          <w:tcPr>
            <w:gridSpan w:val="2"/>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Buyer requires the Supplier to comply with the following policies relating to security management:</w:t>
            </w:r>
          </w:p>
          <w:p w:rsidR="00000000" w:rsidDel="00000000" w:rsidP="00000000" w:rsidRDefault="00000000" w:rsidRPr="00000000" w14:paraId="00000011">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120" w:before="120" w:line="240" w:lineRule="auto"/>
              <w:ind w:left="357" w:right="0" w:hanging="357"/>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highlight w:val="yellow"/>
                <w:u w:val="none"/>
                <w:vertAlign w:val="baseline"/>
                <w:rtl w:val="0"/>
              </w:rPr>
              <w:t xml:space="preserve">[</w:t>
            </w:r>
            <w:r w:rsidDel="00000000" w:rsidR="00000000" w:rsidRPr="00000000">
              <w:rPr>
                <w:rFonts w:ascii="Arial" w:cs="Arial" w:eastAsia="Arial" w:hAnsi="Arial"/>
                <w:b w:val="1"/>
                <w:i w:val="1"/>
                <w:smallCaps w:val="0"/>
                <w:strike w:val="0"/>
                <w:color w:val="000000"/>
                <w:sz w:val="24"/>
                <w:szCs w:val="24"/>
                <w:highlight w:val="yellow"/>
                <w:u w:val="none"/>
                <w:vertAlign w:val="baseline"/>
                <w:rtl w:val="0"/>
              </w:rPr>
              <w:t xml:space="preserve">Buyer Guidance:</w:t>
            </w:r>
            <w:r w:rsidDel="00000000" w:rsidR="00000000" w:rsidRPr="00000000">
              <w:rPr>
                <w:rFonts w:ascii="Arial" w:cs="Arial" w:eastAsia="Arial" w:hAnsi="Arial"/>
                <w:b w:val="0"/>
                <w:i w:val="1"/>
                <w:smallCaps w:val="0"/>
                <w:strike w:val="0"/>
                <w:color w:val="000000"/>
                <w:sz w:val="24"/>
                <w:szCs w:val="24"/>
                <w:highlight w:val="yellow"/>
                <w:u w:val="none"/>
                <w:vertAlign w:val="baseline"/>
                <w:rtl w:val="0"/>
              </w:rPr>
              <w:t xml:space="preserve"> </w:t>
            </w:r>
            <w:r w:rsidDel="00000000" w:rsidR="00000000" w:rsidRPr="00000000">
              <w:rPr>
                <w:rFonts w:ascii="Arial" w:cs="Arial" w:eastAsia="Arial" w:hAnsi="Arial"/>
                <w:b w:val="1"/>
                <w:i w:val="1"/>
                <w:smallCaps w:val="0"/>
                <w:strike w:val="0"/>
                <w:color w:val="000000"/>
                <w:sz w:val="24"/>
                <w:szCs w:val="24"/>
                <w:highlight w:val="yellow"/>
                <w:u w:val="none"/>
                <w:vertAlign w:val="baseline"/>
                <w:rtl w:val="0"/>
              </w:rPr>
              <w:t xml:space="preserve">List Buyer security policies with which the Supplier and Sub-contractors must comply]</w:t>
            </w:r>
            <w:r w:rsidDel="00000000" w:rsidR="00000000" w:rsidRPr="00000000">
              <w:rPr>
                <w:rtl w:val="0"/>
              </w:rPr>
            </w:r>
          </w:p>
        </w:tc>
        <w:tc>
          <w:tcPr>
            <w:vAlign w:val="center"/>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sdt>
              <w:sdtPr>
                <w:id w:val="-1427704336"/>
                <w:tag w:val="goog_rdk_0"/>
              </w:sdtPr>
              <w:sdtContent>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gridSpan w:val="3"/>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Secure by Design Principles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(see Paragraph 14.6)</w:t>
            </w:r>
          </w:p>
        </w:tc>
      </w:tr>
      <w:tr>
        <w:trPr>
          <w:cantSplit w:val="0"/>
          <w:tblHeader w:val="0"/>
        </w:trPr>
        <w:tc>
          <w:tcPr>
            <w:gridSpan w:val="2"/>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8ji6gb3ynbbw" w:id="5"/>
            <w:bookmarkEnd w:id="5"/>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Buyer waives the requirement for the Security Management Plan to include an assessment of the Supplier Information Management System against the table in Appendix 6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Secure by Design Principles Evaluation Table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0"/>
                <w:i w:val="0"/>
                <w:smallCaps w:val="0"/>
                <w:strike w:val="0"/>
                <w:color w:val="000000"/>
                <w:sz w:val="24"/>
                <w:szCs w:val="24"/>
                <w:u w:val="none"/>
                <w:shd w:fill="auto" w:val="clear"/>
                <w:vertAlign w:val="baseline"/>
                <w:rtl w:val="0"/>
              </w:rPr>
              <w:t xml:space="preserve">☐</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Locations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(see Paragraph 1 of Appendix 1)</w:t>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D">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and Sub-contractors may store, access or Handle Government Data in:</w:t>
            </w:r>
          </w:p>
          <w:p w:rsidR="00000000" w:rsidDel="00000000" w:rsidP="00000000" w:rsidRDefault="00000000" w:rsidRPr="00000000" w14:paraId="0000001E">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1"/>
                <w:i w:val="1"/>
                <w:smallCaps w:val="0"/>
                <w:strike w:val="0"/>
                <w:color w:val="000000"/>
                <w:sz w:val="24"/>
                <w:szCs w:val="24"/>
                <w:highlight w:val="yellow"/>
                <w:u w:val="none"/>
                <w:vertAlign w:val="baseline"/>
                <w:rtl w:val="0"/>
              </w:rPr>
              <w:t xml:space="preserve">[Buyer Guidance:</w:t>
            </w:r>
            <w:r w:rsidDel="00000000" w:rsidR="00000000" w:rsidRPr="00000000">
              <w:rPr>
                <w:rFonts w:ascii="Arial" w:cs="Arial" w:eastAsia="Arial" w:hAnsi="Arial"/>
                <w:b w:val="0"/>
                <w:i w:val="1"/>
                <w:smallCaps w:val="0"/>
                <w:strike w:val="0"/>
                <w:color w:val="000000"/>
                <w:sz w:val="24"/>
                <w:szCs w:val="24"/>
                <w:highlight w:val="yellow"/>
                <w:u w:val="none"/>
                <w:vertAlign w:val="baseline"/>
                <w:rtl w:val="0"/>
              </w:rPr>
              <w:t xml:space="preserve"> </w:t>
            </w:r>
            <w:r w:rsidDel="00000000" w:rsidR="00000000" w:rsidRPr="00000000">
              <w:rPr>
                <w:rFonts w:ascii="Arial" w:cs="Arial" w:eastAsia="Arial" w:hAnsi="Arial"/>
                <w:b w:val="1"/>
                <w:i w:val="1"/>
                <w:smallCaps w:val="0"/>
                <w:strike w:val="0"/>
                <w:color w:val="000000"/>
                <w:sz w:val="24"/>
                <w:szCs w:val="24"/>
                <w:highlight w:val="yellow"/>
                <w:u w:val="none"/>
                <w:vertAlign w:val="baseline"/>
                <w:rtl w:val="0"/>
              </w:rPr>
              <w:t xml:space="preserve">Include an "X" against the applicable item in the final column opposite]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United Kingdom only</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sdt>
              <w:sdtPr>
                <w:id w:val="2091170151"/>
                <w:tag w:val="goog_rdk_1"/>
              </w:sdtPr>
              <w:sdtContent>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territory as permitted by and in accordance with any regulations for the time being in force made under section 17A of the Data Protection Act 2018 (adequacy decisions by the Secretary of State)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sdt>
              <w:sdtPr>
                <w:id w:val="-1252482214"/>
                <w:tag w:val="goog_rdk_2"/>
              </w:sdtPr>
              <w:sdtContent>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anywhere in the world not prohibited by the Buyer </w:t>
            </w:r>
            <w:r w:rsidDel="00000000" w:rsidR="00000000" w:rsidRPr="00000000">
              <w:rPr>
                <w:rFonts w:ascii="Arial" w:cs="Arial" w:eastAsia="Arial" w:hAnsi="Arial"/>
                <w:b w:val="1"/>
                <w:i w:val="1"/>
                <w:smallCaps w:val="0"/>
                <w:strike w:val="0"/>
                <w:color w:val="000000"/>
                <w:sz w:val="24"/>
                <w:szCs w:val="24"/>
                <w:highlight w:val="yellow"/>
                <w:u w:val="none"/>
                <w:vertAlign w:val="baseline"/>
                <w:rtl w:val="0"/>
              </w:rPr>
              <w:t xml:space="preserve">[Buyer Guidance: Where selecting this option Buyers should review the Cabinet Office list of prohibited counties and any other Buyer specific policies and agree with the Supplier a written list of permitted locations prior to the Supplier commencing any activities]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sdt>
              <w:sdtPr>
                <w:id w:val="-1353938880"/>
                <w:tag w:val="goog_rdk_3"/>
              </w:sdtPr>
              <w:sdtContent>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Support Locations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(see Paragraph 1 of Appendix 1)</w:t>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and Sub-contractors may operate Support Locations in:</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1"/>
                <w:i w:val="1"/>
                <w:smallCaps w:val="0"/>
                <w:strike w:val="0"/>
                <w:color w:val="000000"/>
                <w:sz w:val="24"/>
                <w:szCs w:val="24"/>
                <w:highlight w:val="yellow"/>
                <w:u w:val="none"/>
                <w:vertAlign w:val="baseline"/>
                <w:rtl w:val="0"/>
              </w:rPr>
              <w:t xml:space="preserve">[Buyer Guidance:</w:t>
            </w:r>
            <w:r w:rsidDel="00000000" w:rsidR="00000000" w:rsidRPr="00000000">
              <w:rPr>
                <w:rFonts w:ascii="Arial" w:cs="Arial" w:eastAsia="Arial" w:hAnsi="Arial"/>
                <w:b w:val="0"/>
                <w:i w:val="1"/>
                <w:smallCaps w:val="0"/>
                <w:strike w:val="0"/>
                <w:color w:val="000000"/>
                <w:sz w:val="24"/>
                <w:szCs w:val="24"/>
                <w:highlight w:val="yellow"/>
                <w:u w:val="none"/>
                <w:vertAlign w:val="baseline"/>
                <w:rtl w:val="0"/>
              </w:rPr>
              <w:t xml:space="preserve"> </w:t>
            </w:r>
            <w:r w:rsidDel="00000000" w:rsidR="00000000" w:rsidRPr="00000000">
              <w:rPr>
                <w:rFonts w:ascii="Arial" w:cs="Arial" w:eastAsia="Arial" w:hAnsi="Arial"/>
                <w:b w:val="1"/>
                <w:i w:val="1"/>
                <w:smallCaps w:val="0"/>
                <w:strike w:val="0"/>
                <w:color w:val="000000"/>
                <w:sz w:val="24"/>
                <w:szCs w:val="24"/>
                <w:highlight w:val="yellow"/>
                <w:u w:val="none"/>
                <w:vertAlign w:val="baseline"/>
                <w:rtl w:val="0"/>
              </w:rPr>
              <w:t xml:space="preserve">Include an "X" against the applicable item in the final column opposite]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United Kingdom only</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sdt>
              <w:sdtPr>
                <w:id w:val="502224126"/>
                <w:tag w:val="goog_rdk_4"/>
              </w:sdtPr>
              <w:sdtContent>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territory as permitted by and in accordance with any regulations for the time being in force made under section 17A of the Data Protection Act 2018 (adequacy decisions by the Secretary of State)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sdt>
              <w:sdtPr>
                <w:id w:val="-1135056415"/>
                <w:tag w:val="goog_rdk_5"/>
              </w:sdtPr>
              <w:sdtContent>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anywhere in the world not prohibited by the Buyer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sdt>
              <w:sdtPr>
                <w:id w:val="-779784557"/>
                <w:tag w:val="goog_rdk_6"/>
              </w:sdtPr>
              <w:sdtContent>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4zppb41qe19x" w:id="6"/>
            <w:bookmarkEnd w:id="6"/>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Development Activity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(see Appendix 2)</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Buyer requires the Supplier to undertake Development Activity under the Contract and, as a consequence, Appendix 2 applies</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1"/>
                <w:i w:val="1"/>
                <w:smallCaps w:val="0"/>
                <w:strike w:val="0"/>
                <w:color w:val="000000"/>
                <w:sz w:val="24"/>
                <w:szCs w:val="24"/>
                <w:highlight w:val="yellow"/>
                <w:u w:val="none"/>
                <w:vertAlign w:val="baseline"/>
                <w:rtl w:val="0"/>
              </w:rPr>
              <w:t xml:space="preserve">[Buyer Guidance:</w:t>
            </w:r>
            <w:r w:rsidDel="00000000" w:rsidR="00000000" w:rsidRPr="00000000">
              <w:rPr>
                <w:rFonts w:ascii="Arial" w:cs="Arial" w:eastAsia="Arial" w:hAnsi="Arial"/>
                <w:b w:val="0"/>
                <w:i w:val="1"/>
                <w:smallCaps w:val="0"/>
                <w:strike w:val="0"/>
                <w:color w:val="000000"/>
                <w:sz w:val="24"/>
                <w:szCs w:val="24"/>
                <w:highlight w:val="yellow"/>
                <w:u w:val="none"/>
                <w:vertAlign w:val="baseline"/>
                <w:rtl w:val="0"/>
              </w:rPr>
              <w:t xml:space="preserve"> </w:t>
            </w:r>
            <w:r w:rsidDel="00000000" w:rsidR="00000000" w:rsidRPr="00000000">
              <w:rPr>
                <w:rFonts w:ascii="Arial" w:cs="Arial" w:eastAsia="Arial" w:hAnsi="Arial"/>
                <w:b w:val="1"/>
                <w:i w:val="1"/>
                <w:smallCaps w:val="0"/>
                <w:strike w:val="0"/>
                <w:color w:val="000000"/>
                <w:sz w:val="24"/>
                <w:szCs w:val="24"/>
                <w:highlight w:val="yellow"/>
                <w:u w:val="none"/>
                <w:vertAlign w:val="baseline"/>
                <w:rtl w:val="0"/>
              </w:rPr>
              <w:t xml:space="preserve">Include an "X" in the final column opposite if Development Activity is required, or leave blank if no Development Activity is required]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sdt>
              <w:sdtPr>
                <w:id w:val="-1582966629"/>
                <w:tag w:val="goog_rdk_7"/>
              </w:sdtPr>
              <w:sdtContent>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Locations for Development Activity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(applies only if the option relating to Development Activities is selected; see Paragraph 1 of Appendix 1)</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1"/>
                <w:i w:val="1"/>
                <w:smallCaps w:val="0"/>
                <w:strike w:val="0"/>
                <w:color w:val="000000"/>
                <w:sz w:val="24"/>
                <w:szCs w:val="24"/>
                <w:highlight w:val="yellow"/>
                <w:u w:val="none"/>
                <w:vertAlign w:val="baseline"/>
                <w:rtl w:val="0"/>
              </w:rPr>
              <w:t xml:space="preserve">[Buyer Guidance:</w:t>
            </w:r>
            <w:r w:rsidDel="00000000" w:rsidR="00000000" w:rsidRPr="00000000">
              <w:rPr>
                <w:rFonts w:ascii="Arial" w:cs="Arial" w:eastAsia="Arial" w:hAnsi="Arial"/>
                <w:b w:val="0"/>
                <w:i w:val="1"/>
                <w:smallCaps w:val="0"/>
                <w:strike w:val="0"/>
                <w:color w:val="000000"/>
                <w:sz w:val="24"/>
                <w:szCs w:val="24"/>
                <w:highlight w:val="yellow"/>
                <w:u w:val="none"/>
                <w:vertAlign w:val="baseline"/>
                <w:rtl w:val="0"/>
              </w:rPr>
              <w:t xml:space="preserve"> </w:t>
            </w:r>
            <w:r w:rsidDel="00000000" w:rsidR="00000000" w:rsidRPr="00000000">
              <w:rPr>
                <w:rFonts w:ascii="Arial" w:cs="Arial" w:eastAsia="Arial" w:hAnsi="Arial"/>
                <w:b w:val="1"/>
                <w:i w:val="1"/>
                <w:smallCaps w:val="0"/>
                <w:strike w:val="0"/>
                <w:color w:val="000000"/>
                <w:sz w:val="24"/>
                <w:szCs w:val="24"/>
                <w:highlight w:val="yellow"/>
                <w:u w:val="none"/>
                <w:vertAlign w:val="baseline"/>
                <w:rtl w:val="0"/>
              </w:rPr>
              <w:t xml:space="preserve">Include an "X" against the applicable item in the final column opposite, only if Development Activity is required as confirmed in the preceding row]</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and Sub-contractors may undertake Development Activity in: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United Kingdom only</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sdt>
              <w:sdtPr>
                <w:id w:val="1222840369"/>
                <w:tag w:val="goog_rdk_8"/>
              </w:sdtPr>
              <w:sdtContent>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territory as permitted by and in accordance with any regulations for the time being in force made under section 17A of the Data Protection Act 2018 (adequacy decisions by the Secretary of State)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sdt>
              <w:sdtPr>
                <w:id w:val="-2124655266"/>
                <w:tag w:val="goog_rdk_9"/>
              </w:sdtPr>
              <w:sdtContent>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anywhere in the world not prohibited by the Buyer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sdt>
              <w:sdtPr>
                <w:id w:val="178980481"/>
                <w:tag w:val="goog_rdk_10"/>
              </w:sdtPr>
              <w:sdtContent>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bl>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pStyle w:val="Heading1"/>
        <w:numPr>
          <w:ilvl w:val="0"/>
          <w:numId w:val="2"/>
        </w:numPr>
        <w:spacing w:after="120" w:before="120" w:lineRule="auto"/>
        <w:ind w:left="720" w:hanging="720"/>
        <w:rPr/>
      </w:pPr>
      <w:bookmarkStart w:colFirst="0" w:colLast="0" w:name="_heading=h.9kcpve2g77s2" w:id="7"/>
      <w:bookmarkEnd w:id="7"/>
      <w:r w:rsidDel="00000000" w:rsidR="00000000" w:rsidRPr="00000000">
        <w:rPr>
          <w:rtl w:val="0"/>
        </w:rPr>
        <w:t xml:space="preserve">Definitions</w:t>
      </w:r>
    </w:p>
    <w:p w:rsidR="00000000" w:rsidDel="00000000" w:rsidP="00000000" w:rsidRDefault="00000000" w:rsidRPr="00000000" w14:paraId="0000004A">
      <w:pPr>
        <w:pStyle w:val="Heading2"/>
        <w:numPr>
          <w:ilvl w:val="1"/>
          <w:numId w:val="2"/>
        </w:numPr>
        <w:spacing w:after="120" w:before="120" w:lineRule="auto"/>
        <w:ind w:left="720" w:hanging="720"/>
        <w:rPr>
          <w:b w:val="1"/>
          <w:sz w:val="24"/>
          <w:szCs w:val="24"/>
        </w:rPr>
      </w:pPr>
      <w:r w:rsidDel="00000000" w:rsidR="00000000" w:rsidRPr="00000000">
        <w:rPr>
          <w:sz w:val="24"/>
          <w:szCs w:val="24"/>
          <w:rtl w:val="0"/>
        </w:rPr>
        <w:t xml:space="preserve">In </w:t>
      </w:r>
      <w:r w:rsidDel="00000000" w:rsidR="00000000" w:rsidRPr="00000000">
        <w:rPr>
          <w:color w:val="000000"/>
          <w:sz w:val="24"/>
          <w:szCs w:val="24"/>
          <w:rtl w:val="0"/>
        </w:rPr>
        <w:t xml:space="preserve">this Schedule, the following words shall have the following meanings and they shall supplement Joint Schedule 1 (Definitions):</w:t>
      </w:r>
      <w:r w:rsidDel="00000000" w:rsidR="00000000" w:rsidRPr="00000000">
        <w:rPr>
          <w:rtl w:val="0"/>
        </w:rPr>
      </w:r>
    </w:p>
    <w:tbl>
      <w:tblPr>
        <w:tblStyle w:val="Table2"/>
        <w:tblW w:w="8322.0" w:type="dxa"/>
        <w:jc w:val="left"/>
        <w:tblInd w:w="70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931"/>
        <w:gridCol w:w="6391"/>
        <w:tblGridChange w:id="0">
          <w:tblGrid>
            <w:gridCol w:w="1931"/>
            <w:gridCol w:w="6391"/>
          </w:tblGrid>
        </w:tblGridChange>
      </w:tblGrid>
      <w:tr>
        <w:trPr>
          <w:cantSplit w:val="0"/>
          <w:tblHeader w:val="0"/>
        </w:trPr>
        <w:tc>
          <w:tcPr/>
          <w:p w:rsidR="00000000" w:rsidDel="00000000" w:rsidP="00000000" w:rsidRDefault="00000000" w:rsidRPr="00000000" w14:paraId="0000004B">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qji5mxe33tcd" w:id="8"/>
            <w:bookmarkEnd w:id="8"/>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"Anti-virus Software"</w:t>
            </w:r>
          </w:p>
        </w:tc>
        <w:tc>
          <w:tcPr/>
          <w:p w:rsidR="00000000" w:rsidDel="00000000" w:rsidP="00000000" w:rsidRDefault="00000000" w:rsidRPr="00000000" w14:paraId="0000004C">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software that:</w:t>
            </w:r>
          </w:p>
          <w:p w:rsidR="00000000" w:rsidDel="00000000" w:rsidP="00000000" w:rsidRDefault="00000000" w:rsidRPr="00000000" w14:paraId="0000004D">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protects the Supplier Information Management System from the possible introduction of Malicious Software;</w:t>
            </w:r>
          </w:p>
          <w:p w:rsidR="00000000" w:rsidDel="00000000" w:rsidP="00000000" w:rsidRDefault="00000000" w:rsidRPr="00000000" w14:paraId="0000004E">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scans for and identifies possible Malicious Software in the Supplier Information Management System;</w:t>
            </w:r>
          </w:p>
          <w:p w:rsidR="00000000" w:rsidDel="00000000" w:rsidP="00000000" w:rsidRDefault="00000000" w:rsidRPr="00000000" w14:paraId="0000004F">
            <w:pPr>
              <w:keepNext w:val="1"/>
              <w:keepLines w:val="0"/>
              <w:pageBreakBefore w:val="0"/>
              <w:widowControl w:val="1"/>
              <w:numPr>
                <w:ilvl w:val="2"/>
                <w:numId w:val="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Malicious Software is detected in the Supplier Information Management System, so far as possible:</w:t>
            </w:r>
          </w:p>
          <w:p w:rsidR="00000000" w:rsidDel="00000000" w:rsidP="00000000" w:rsidRDefault="00000000" w:rsidRPr="00000000" w14:paraId="00000050">
            <w:pPr>
              <w:keepNext w:val="0"/>
              <w:keepLines w:val="0"/>
              <w:pageBreakBefore w:val="0"/>
              <w:widowControl w:val="1"/>
              <w:numPr>
                <w:ilvl w:val="3"/>
                <w:numId w:val="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prevents the harmful effects of the Malicious Software; and</w:t>
            </w:r>
          </w:p>
          <w:p w:rsidR="00000000" w:rsidDel="00000000" w:rsidP="00000000" w:rsidRDefault="00000000" w:rsidRPr="00000000" w14:paraId="00000051">
            <w:pPr>
              <w:keepNext w:val="0"/>
              <w:keepLines w:val="0"/>
              <w:pageBreakBefore w:val="0"/>
              <w:widowControl w:val="1"/>
              <w:numPr>
                <w:ilvl w:val="3"/>
                <w:numId w:val="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removes the Malicious Software from the Supplier Information Management System;</w:t>
            </w:r>
          </w:p>
        </w:tc>
      </w:tr>
      <w:tr>
        <w:trPr>
          <w:cantSplit w:val="0"/>
          <w:tblHeader w:val="0"/>
        </w:trPr>
        <w:tc>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"Assets"</w:t>
            </w:r>
          </w:p>
        </w:tc>
        <w:tc>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 assets and rights used by the Supplier to provide the Services in accordance with the Contract but excluding the Buyer Assets;</w:t>
            </w:r>
          </w:p>
        </w:tc>
      </w:tr>
      <w:tr>
        <w:trPr>
          <w:cantSplit w:val="0"/>
          <w:tblHeader w:val="0"/>
        </w:trPr>
        <w:tc>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"Backup and Recovery Plan"</w:t>
            </w:r>
          </w:p>
        </w:tc>
        <w:tc>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section of the Security Management Plan setting out the Suppliers’ and Sub-contractors’ plans for the back and recovery of any Government Data they Handle;</w:t>
            </w:r>
          </w:p>
        </w:tc>
      </w:tr>
      <w:tr>
        <w:trPr>
          <w:cantSplit w:val="0"/>
          <w:tblHeader w:val="0"/>
        </w:trPr>
        <w:tc>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"Breach Action Plan"</w:t>
            </w:r>
          </w:p>
        </w:tc>
        <w:tc>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plan prepared under Paragraph 16.3 of Appendix 1 addressing any Breach of Security;</w:t>
            </w:r>
          </w:p>
        </w:tc>
      </w:tr>
      <w:tr>
        <w:trPr>
          <w:cantSplit w:val="0"/>
          <w:tblHeader w:val="0"/>
        </w:trPr>
        <w:tc>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v9m358bsi4u1" w:id="9"/>
            <w:bookmarkEnd w:id="9"/>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"Breach of Security"</w:t>
            </w:r>
          </w:p>
        </w:tc>
        <w:tc>
          <w:tcPr/>
          <w:p w:rsidR="00000000" w:rsidDel="00000000" w:rsidP="00000000" w:rsidRDefault="00000000" w:rsidRPr="00000000" w14:paraId="00000059">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occurrence of:</w:t>
            </w:r>
          </w:p>
          <w:p w:rsidR="00000000" w:rsidDel="00000000" w:rsidP="00000000" w:rsidRDefault="00000000" w:rsidRPr="00000000" w14:paraId="0000005A">
            <w:pPr>
              <w:keepNext w:val="1"/>
              <w:keepLines w:val="0"/>
              <w:pageBreakBefore w:val="0"/>
              <w:widowControl w:val="1"/>
              <w:numPr>
                <w:ilvl w:val="2"/>
                <w:numId w:val="26"/>
              </w:numPr>
              <w:pBdr>
                <w:top w:space="0" w:sz="0" w:val="nil"/>
                <w:left w:space="0" w:sz="0" w:val="nil"/>
                <w:bottom w:space="0" w:sz="0" w:val="nil"/>
                <w:right w:space="0" w:sz="0" w:val="nil"/>
                <w:between w:space="0" w:sz="0" w:val="nil"/>
              </w:pBdr>
              <w:shd w:fill="auto" w:val="clear"/>
              <w:spacing w:after="120" w:before="120" w:line="240" w:lineRule="auto"/>
              <w:ind w:left="797" w:right="0" w:hanging="797"/>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jk80et9ffj45" w:id="10"/>
            <w:bookmarkEnd w:id="10"/>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unauthorised access to or use of the Services, the Buyer Premises, the Sites, the Supplier Information Management System and/or any information or data used by the Buyer, the Supplier or any Sub-contractor in connection with the Contract, including the Government Data and the Code; </w:t>
            </w:r>
          </w:p>
          <w:p w:rsidR="00000000" w:rsidDel="00000000" w:rsidP="00000000" w:rsidRDefault="00000000" w:rsidRPr="00000000" w14:paraId="0000005B">
            <w:pPr>
              <w:keepNext w:val="1"/>
              <w:keepLines w:val="0"/>
              <w:pageBreakBefore w:val="0"/>
              <w:widowControl w:val="1"/>
              <w:numPr>
                <w:ilvl w:val="2"/>
                <w:numId w:val="2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loss (physical or otherwise), corruption and/or unauthorised disclosure of any information or data, including copies of such information or data, used by the Buyer, the Supplier or any Sub-contractor in connection with the Contract, including the Government Data and the Code; and/or</w:t>
            </w:r>
          </w:p>
          <w:p w:rsidR="00000000" w:rsidDel="00000000" w:rsidP="00000000" w:rsidRDefault="00000000" w:rsidRPr="00000000" w14:paraId="0000005C">
            <w:pPr>
              <w:keepNext w:val="0"/>
              <w:keepLines w:val="0"/>
              <w:pageBreakBefore w:val="0"/>
              <w:widowControl w:val="1"/>
              <w:numPr>
                <w:ilvl w:val="2"/>
                <w:numId w:val="2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part of the Supplier Information Management System ceasing to be compliant with the Certification Requirements;</w:t>
            </w:r>
          </w:p>
          <w:p w:rsidR="00000000" w:rsidDel="00000000" w:rsidP="00000000" w:rsidRDefault="00000000" w:rsidRPr="00000000" w14:paraId="0000005D">
            <w:pPr>
              <w:keepNext w:val="1"/>
              <w:keepLines w:val="0"/>
              <w:pageBreakBefore w:val="0"/>
              <w:widowControl w:val="1"/>
              <w:numPr>
                <w:ilvl w:val="2"/>
                <w:numId w:val="2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installation of Malicious Software in the:</w:t>
            </w:r>
          </w:p>
          <w:p w:rsidR="00000000" w:rsidDel="00000000" w:rsidP="00000000" w:rsidRDefault="00000000" w:rsidRPr="00000000" w14:paraId="0000005E">
            <w:pPr>
              <w:keepNext w:val="0"/>
              <w:keepLines w:val="0"/>
              <w:pageBreakBefore w:val="0"/>
              <w:widowControl w:val="1"/>
              <w:numPr>
                <w:ilvl w:val="3"/>
                <w:numId w:val="2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Supplier Information Management System;</w:t>
            </w:r>
          </w:p>
          <w:p w:rsidR="00000000" w:rsidDel="00000000" w:rsidP="00000000" w:rsidRDefault="00000000" w:rsidRPr="00000000" w14:paraId="0000005F">
            <w:pPr>
              <w:keepNext w:val="0"/>
              <w:keepLines w:val="0"/>
              <w:pageBreakBefore w:val="0"/>
              <w:widowControl w:val="1"/>
              <w:numPr>
                <w:ilvl w:val="3"/>
                <w:numId w:val="2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Development Environment; or</w:t>
            </w:r>
          </w:p>
          <w:p w:rsidR="00000000" w:rsidDel="00000000" w:rsidP="00000000" w:rsidRDefault="00000000" w:rsidRPr="00000000" w14:paraId="00000060">
            <w:pPr>
              <w:keepNext w:val="0"/>
              <w:keepLines w:val="0"/>
              <w:pageBreakBefore w:val="0"/>
              <w:widowControl w:val="1"/>
              <w:numPr>
                <w:ilvl w:val="3"/>
                <w:numId w:val="2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Developed System;</w:t>
            </w:r>
          </w:p>
          <w:p w:rsidR="00000000" w:rsidDel="00000000" w:rsidP="00000000" w:rsidRDefault="00000000" w:rsidRPr="00000000" w14:paraId="00000061">
            <w:pPr>
              <w:keepNext w:val="1"/>
              <w:keepLines w:val="0"/>
              <w:pageBreakBefore w:val="0"/>
              <w:widowControl w:val="1"/>
              <w:numPr>
                <w:ilvl w:val="2"/>
                <w:numId w:val="2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loss of operational efficiency or failure to operate to specification as the result of the installation or operation of Malicious Software in the:</w:t>
            </w:r>
          </w:p>
          <w:p w:rsidR="00000000" w:rsidDel="00000000" w:rsidP="00000000" w:rsidRDefault="00000000" w:rsidRPr="00000000" w14:paraId="00000062">
            <w:pPr>
              <w:keepNext w:val="0"/>
              <w:keepLines w:val="0"/>
              <w:pageBreakBefore w:val="0"/>
              <w:widowControl w:val="1"/>
              <w:numPr>
                <w:ilvl w:val="3"/>
                <w:numId w:val="2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Supplier Information Management System;</w:t>
            </w:r>
          </w:p>
          <w:p w:rsidR="00000000" w:rsidDel="00000000" w:rsidP="00000000" w:rsidRDefault="00000000" w:rsidRPr="00000000" w14:paraId="00000063">
            <w:pPr>
              <w:keepNext w:val="0"/>
              <w:keepLines w:val="0"/>
              <w:pageBreakBefore w:val="0"/>
              <w:widowControl w:val="1"/>
              <w:numPr>
                <w:ilvl w:val="3"/>
                <w:numId w:val="2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Development Environment; or</w:t>
            </w:r>
          </w:p>
          <w:p w:rsidR="00000000" w:rsidDel="00000000" w:rsidP="00000000" w:rsidRDefault="00000000" w:rsidRPr="00000000" w14:paraId="00000064">
            <w:pPr>
              <w:keepNext w:val="0"/>
              <w:keepLines w:val="0"/>
              <w:pageBreakBefore w:val="0"/>
              <w:widowControl w:val="1"/>
              <w:numPr>
                <w:ilvl w:val="3"/>
                <w:numId w:val="2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Developed System; and</w:t>
            </w:r>
          </w:p>
          <w:p w:rsidR="00000000" w:rsidDel="00000000" w:rsidP="00000000" w:rsidRDefault="00000000" w:rsidRPr="00000000" w14:paraId="00000065">
            <w:pPr>
              <w:keepNext w:val="1"/>
              <w:keepLines w:val="0"/>
              <w:pageBreakBefore w:val="0"/>
              <w:widowControl w:val="1"/>
              <w:numPr>
                <w:ilvl w:val="2"/>
                <w:numId w:val="2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td73qvc8999x" w:id="11"/>
            <w:bookmarkEnd w:id="11"/>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includes any attempt to undertake the activities listed in sub-Paragraph (a) where the Supplier has reasonable grounds to suspect that attempt:</w:t>
            </w:r>
          </w:p>
          <w:p w:rsidR="00000000" w:rsidDel="00000000" w:rsidP="00000000" w:rsidRDefault="00000000" w:rsidRPr="00000000" w14:paraId="00000066">
            <w:pPr>
              <w:keepNext w:val="0"/>
              <w:keepLines w:val="0"/>
              <w:pageBreakBefore w:val="0"/>
              <w:widowControl w:val="1"/>
              <w:numPr>
                <w:ilvl w:val="3"/>
                <w:numId w:val="2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was part of a wider effort to access information and communications technology operated by or on behalf of Central Government Bodies; or</w:t>
            </w:r>
          </w:p>
          <w:p w:rsidR="00000000" w:rsidDel="00000000" w:rsidP="00000000" w:rsidRDefault="00000000" w:rsidRPr="00000000" w14:paraId="00000067">
            <w:pPr>
              <w:keepNext w:val="0"/>
              <w:keepLines w:val="0"/>
              <w:pageBreakBefore w:val="0"/>
              <w:widowControl w:val="1"/>
              <w:numPr>
                <w:ilvl w:val="3"/>
                <w:numId w:val="2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was undertaken, or directed by, a state other than the United Kingdom;</w:t>
            </w:r>
          </w:p>
        </w:tc>
      </w:tr>
      <w:tr>
        <w:trPr>
          <w:cantSplit w:val="0"/>
          <w:tblHeader w:val="0"/>
        </w:trPr>
        <w:tc>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"Certification Requirements"</w:t>
            </w:r>
          </w:p>
        </w:tc>
        <w:tc>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requirements set out in Paragraph 13;</w:t>
            </w:r>
            <w:r w:rsidDel="00000000" w:rsidR="00000000" w:rsidRPr="00000000">
              <w:rPr>
                <w:rtl w:val="0"/>
              </w:rPr>
            </w:r>
          </w:p>
        </w:tc>
      </w:tr>
      <w:tr>
        <w:trPr>
          <w:cantSplit w:val="0"/>
          <w:tblHeader w:val="0"/>
        </w:trPr>
        <w:tc>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"CHECK Scheme"</w:t>
            </w:r>
          </w:p>
        </w:tc>
        <w:tc>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NCSC’s scheme under which approved companies can conduct authorised penetration tests of public sector and critical national infrastructure systems and networks;</w:t>
            </w:r>
            <w:r w:rsidDel="00000000" w:rsidR="00000000" w:rsidRPr="00000000">
              <w:rPr>
                <w:rtl w:val="0"/>
              </w:rPr>
            </w:r>
          </w:p>
        </w:tc>
      </w:tr>
      <w:tr>
        <w:trPr>
          <w:cantSplit w:val="0"/>
          <w:tblHeader w:val="0"/>
        </w:trPr>
        <w:tc>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"CHECK Service Provider"</w:t>
            </w:r>
          </w:p>
        </w:tc>
        <w:tc>
          <w:tcPr/>
          <w:p w:rsidR="00000000" w:rsidDel="00000000" w:rsidP="00000000" w:rsidRDefault="00000000" w:rsidRPr="00000000" w14:paraId="0000006D">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company which, under the CHECK Scheme:</w:t>
            </w:r>
          </w:p>
          <w:p w:rsidR="00000000" w:rsidDel="00000000" w:rsidP="00000000" w:rsidRDefault="00000000" w:rsidRPr="00000000" w14:paraId="0000006E">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has been certified by the National Cyber Security Centre;</w:t>
            </w:r>
          </w:p>
          <w:p w:rsidR="00000000" w:rsidDel="00000000" w:rsidP="00000000" w:rsidRDefault="00000000" w:rsidRPr="00000000" w14:paraId="0000006F">
            <w:pPr>
              <w:keepNext w:val="1"/>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holds "Green Light" status; and</w:t>
            </w:r>
          </w:p>
          <w:p w:rsidR="00000000" w:rsidDel="00000000" w:rsidP="00000000" w:rsidRDefault="00000000" w:rsidRPr="00000000" w14:paraId="00000070">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 authorised to provide the IT Health Check services required by Paragraph 12 of Appendix 1;</w:t>
            </w:r>
          </w:p>
        </w:tc>
      </w:tr>
      <w:tr>
        <w:trPr>
          <w:cantSplit w:val="0"/>
          <w:tblHeader w:val="0"/>
        </w:trPr>
        <w:tc>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kw57m14pdlfi" w:id="12"/>
            <w:bookmarkEnd w:id="12"/>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"CHECK Team Leader"</w:t>
            </w:r>
          </w:p>
        </w:tc>
        <w:tc>
          <w:tcPr/>
          <w:p w:rsidR="00000000" w:rsidDel="00000000" w:rsidP="00000000" w:rsidRDefault="00000000" w:rsidRPr="00000000" w14:paraId="00000072">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 individual with a CHECK Scheme team leader qualification issued by the NCSC;</w:t>
            </w:r>
          </w:p>
        </w:tc>
      </w:tr>
      <w:tr>
        <w:trPr>
          <w:cantSplit w:val="0"/>
          <w:tblHeader w:val="0"/>
        </w:trPr>
        <w:tc>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"CHECK Team Member"</w:t>
            </w:r>
          </w:p>
        </w:tc>
        <w:tc>
          <w:tcPr/>
          <w:p w:rsidR="00000000" w:rsidDel="00000000" w:rsidP="00000000" w:rsidRDefault="00000000" w:rsidRPr="00000000" w14:paraId="00000074">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 individual with a CHECK Scheme team member qualification issued by the NCSC;</w:t>
            </w:r>
          </w:p>
        </w:tc>
      </w:tr>
      <w:tr>
        <w:trPr>
          <w:cantSplit w:val="0"/>
          <w:tblHeader w:val="0"/>
        </w:trPr>
        <w:tc>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"Code Review"</w:t>
            </w:r>
          </w:p>
        </w:tc>
        <w:tc>
          <w:tcPr/>
          <w:p w:rsidR="00000000" w:rsidDel="00000000" w:rsidP="00000000" w:rsidRDefault="00000000" w:rsidRPr="00000000" w14:paraId="00000076">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periodic review of the Code by manual or automated means to:</w:t>
            </w:r>
          </w:p>
          <w:p w:rsidR="00000000" w:rsidDel="00000000" w:rsidP="00000000" w:rsidRDefault="00000000" w:rsidRPr="00000000" w14:paraId="00000077">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identify and fix any bugs; and</w:t>
            </w:r>
          </w:p>
          <w:p w:rsidR="00000000" w:rsidDel="00000000" w:rsidP="00000000" w:rsidRDefault="00000000" w:rsidRPr="00000000" w14:paraId="00000078">
            <w:pPr>
              <w:keepNext w:val="1"/>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120" w:before="120" w:line="240" w:lineRule="auto"/>
              <w:ind w:left="797" w:right="0" w:hanging="797"/>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ensure the Code complies with</w:t>
            </w:r>
          </w:p>
          <w:p w:rsidR="00000000" w:rsidDel="00000000" w:rsidP="00000000" w:rsidRDefault="00000000" w:rsidRPr="00000000" w14:paraId="00000079">
            <w:pPr>
              <w:keepNext w:val="0"/>
              <w:keepLines w:val="0"/>
              <w:pageBreakBefore w:val="0"/>
              <w:widowControl w:val="1"/>
              <w:numPr>
                <w:ilvl w:val="3"/>
                <w:numId w:val="7"/>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requirements of this Schedule; and</w:t>
            </w:r>
          </w:p>
          <w:p w:rsidR="00000000" w:rsidDel="00000000" w:rsidP="00000000" w:rsidRDefault="00000000" w:rsidRPr="00000000" w14:paraId="0000007A">
            <w:pPr>
              <w:keepNext w:val="0"/>
              <w:keepLines w:val="0"/>
              <w:pageBreakBefore w:val="0"/>
              <w:widowControl w:val="1"/>
              <w:numPr>
                <w:ilvl w:val="3"/>
                <w:numId w:val="7"/>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Secure Development Guidance;</w:t>
            </w:r>
          </w:p>
        </w:tc>
      </w:tr>
      <w:tr>
        <w:trPr>
          <w:cantSplit w:val="0"/>
          <w:tblHeader w:val="0"/>
        </w:trPr>
        <w:tc>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"Code Review Plan"</w:t>
            </w:r>
          </w:p>
        </w:tc>
        <w:tc>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document agreed with the Buyer under Paragraph 5.2 of the security requirements for Development Activity in Appendix 2 setting out the requirements for, and frequency of, Code Reviews;</w:t>
            </w:r>
          </w:p>
        </w:tc>
      </w:tr>
      <w:tr>
        <w:trPr>
          <w:cantSplit w:val="0"/>
          <w:tblHeader w:val="0"/>
        </w:trPr>
        <w:tc>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"Code Review Report"</w:t>
            </w:r>
          </w:p>
        </w:tc>
        <w:tc>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report setting out the findings of a Code Review;</w:t>
            </w:r>
          </w:p>
        </w:tc>
      </w:tr>
      <w:tr>
        <w:trPr>
          <w:cantSplit w:val="0"/>
          <w:tblHeader w:val="0"/>
        </w:trPr>
        <w:tc>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"Cyber Essentials"</w:t>
            </w:r>
          </w:p>
        </w:tc>
        <w:tc>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Cyber Essentials certificate issued under the Cyber Essentials Scheme;</w:t>
            </w:r>
          </w:p>
        </w:tc>
      </w:tr>
      <w:tr>
        <w:trPr>
          <w:cantSplit w:val="0"/>
          <w:tblHeader w:val="0"/>
        </w:trPr>
        <w:tc>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"Cyber Essentials Plus"</w:t>
            </w:r>
          </w:p>
        </w:tc>
        <w:tc>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Cyber Essentials Plus certificate issued under the Cyber Essentials Scheme;</w:t>
            </w:r>
          </w:p>
        </w:tc>
      </w:tr>
      <w:tr>
        <w:trPr>
          <w:cantSplit w:val="0"/>
          <w:tblHeader w:val="0"/>
        </w:trPr>
        <w:tc>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"Cyber Essentials Scheme"</w:t>
            </w:r>
          </w:p>
        </w:tc>
        <w:tc>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Cyber Essentials scheme operated by the National Cyber Security Centre;</w:t>
            </w:r>
          </w:p>
        </w:tc>
      </w:tr>
      <w:tr>
        <w:trPr>
          <w:cantSplit w:val="0"/>
          <w:tblHeader w:val="0"/>
        </w:trPr>
        <w:tc>
          <w:tcPr/>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ewi40iy1qzrb" w:id="13"/>
            <w:bookmarkEnd w:id="13"/>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"Data Migration Plan"</w:t>
            </w:r>
          </w:p>
        </w:tc>
        <w:tc>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plan for the migration of the Government Data to the Buyer and/or the Replacement Supplier (as required by the Buyer) required by Paragraph 17 of Appendix 1;</w:t>
            </w:r>
          </w:p>
        </w:tc>
      </w:tr>
      <w:tr>
        <w:trPr>
          <w:cantSplit w:val="0"/>
          <w:tblHeader w:val="0"/>
        </w:trPr>
        <w:tc>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"Development Activity"</w:t>
            </w:r>
          </w:p>
        </w:tc>
        <w:tc>
          <w:tcPr/>
          <w:p w:rsidR="00000000" w:rsidDel="00000000" w:rsidP="00000000" w:rsidRDefault="00000000" w:rsidRPr="00000000" w14:paraId="00000088">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activity relating to the development, deployment maintenance and upgrading of the Developed System, including:</w:t>
            </w:r>
          </w:p>
          <w:p w:rsidR="00000000" w:rsidDel="00000000" w:rsidP="00000000" w:rsidRDefault="00000000" w:rsidRPr="00000000" w14:paraId="00000089">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coding;</w:t>
            </w:r>
          </w:p>
          <w:p w:rsidR="00000000" w:rsidDel="00000000" w:rsidP="00000000" w:rsidRDefault="00000000" w:rsidRPr="00000000" w14:paraId="0000008A">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testing;</w:t>
            </w:r>
          </w:p>
          <w:p w:rsidR="00000000" w:rsidDel="00000000" w:rsidP="00000000" w:rsidRDefault="00000000" w:rsidRPr="00000000" w14:paraId="0000008B">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code storage; and</w:t>
            </w:r>
          </w:p>
          <w:p w:rsidR="00000000" w:rsidDel="00000000" w:rsidP="00000000" w:rsidRDefault="00000000" w:rsidRPr="00000000" w14:paraId="0000008C">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deployment;</w:t>
            </w:r>
          </w:p>
        </w:tc>
      </w:tr>
      <w:tr>
        <w:trPr>
          <w:cantSplit w:val="0"/>
          <w:tblHeader w:val="0"/>
        </w:trPr>
        <w:tc>
          <w:tcPr/>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"Development Environment"</w:t>
            </w:r>
          </w:p>
        </w:tc>
        <w:tc>
          <w:tcPr/>
          <w:p w:rsidR="00000000" w:rsidDel="00000000" w:rsidP="00000000" w:rsidRDefault="00000000" w:rsidRPr="00000000" w14:paraId="0000008E">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information and communications technology system and the Sites forming part of the Supplier Information Management System that the Supplier or its Sub-contractors will use to provide the Development Activity;</w:t>
            </w:r>
          </w:p>
        </w:tc>
      </w:tr>
      <w:tr>
        <w:trPr>
          <w:cantSplit w:val="0"/>
          <w:tblHeader w:val="0"/>
        </w:trPr>
        <w:tc>
          <w:tcPr/>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"EEA"</w:t>
            </w:r>
          </w:p>
        </w:tc>
        <w:tc>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European Economic Area;</w:t>
            </w:r>
          </w:p>
        </w:tc>
      </w:tr>
      <w:tr>
        <w:trPr>
          <w:cantSplit w:val="0"/>
          <w:tblHeader w:val="0"/>
        </w:trPr>
        <w:tc>
          <w:tcPr/>
          <w:p w:rsidR="00000000" w:rsidDel="00000000" w:rsidP="00000000" w:rsidRDefault="00000000" w:rsidRPr="00000000" w14:paraId="00000091">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dof40etjmuvo" w:id="14"/>
            <w:bookmarkEnd w:id="14"/>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"End-user Device"</w:t>
            </w:r>
          </w:p>
        </w:tc>
        <w:tc>
          <w:tcPr/>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personal computers, laptops, tablets, terminals, smartphones or other portable electronic device provided by the Supplier or a Sub-contractor and used in the provision of the Services;</w:t>
            </w:r>
          </w:p>
        </w:tc>
      </w:tr>
      <w:tr>
        <w:trPr>
          <w:cantSplit w:val="0"/>
          <w:tblHeader w:val="0"/>
        </w:trPr>
        <w:tc>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"Email Service"</w:t>
            </w:r>
          </w:p>
        </w:tc>
        <w:tc>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service that will send, or can be used to send, emails from the Buyer’s email address or otherwise on behalf of the Buyer;</w:t>
            </w:r>
          </w:p>
        </w:tc>
      </w:tr>
      <w:tr>
        <w:trPr>
          <w:cantSplit w:val="0"/>
          <w:tblHeader w:val="0"/>
        </w:trPr>
        <w:tc>
          <w:tcPr/>
          <w:p w:rsidR="00000000" w:rsidDel="00000000" w:rsidP="00000000" w:rsidRDefault="00000000" w:rsidRPr="00000000" w14:paraId="00000095">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"Expected Behaviours"</w:t>
            </w:r>
          </w:p>
        </w:tc>
        <w:tc>
          <w:tcPr/>
          <w:p w:rsidR="00000000" w:rsidDel="00000000" w:rsidP="00000000" w:rsidRDefault="00000000" w:rsidRPr="00000000" w14:paraId="00000096">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expected behaviours set out and updated from time to time in the Government Security Classification Policy, currently found at paragraphs 12 to 16 and in the table below paragraph 16 of </w:t>
            </w:r>
            <w:hyperlink r:id="rId10">
              <w:r w:rsidDel="00000000" w:rsidR="00000000" w:rsidRPr="00000000">
                <w:rPr>
                  <w:rFonts w:ascii="Arial" w:cs="Arial" w:eastAsia="Arial" w:hAnsi="Arial"/>
                  <w:b w:val="0"/>
                  <w:i w:val="0"/>
                  <w:smallCaps w:val="0"/>
                  <w:strike w:val="0"/>
                  <w:color w:val="0563c1"/>
                  <w:sz w:val="24"/>
                  <w:szCs w:val="24"/>
                  <w:u w:val="single"/>
                  <w:shd w:fill="auto" w:val="clear"/>
                  <w:vertAlign w:val="baseline"/>
                  <w:rtl w:val="0"/>
                </w:rPr>
                <w:t xml:space="preserve">https://www.gov.uk/government/publications/government-security-classifications/guidance-11-working-at-official-html</w:t>
              </w:r>
            </w:hyperlink>
            <w:r w:rsidDel="00000000" w:rsidR="00000000" w:rsidRPr="00000000">
              <w:rPr>
                <w:rFonts w:ascii="Arial" w:cs="Arial" w:eastAsia="Arial" w:hAnsi="Arial"/>
                <w:b w:val="0"/>
                <w:i w:val="0"/>
                <w:smallCaps w:val="0"/>
                <w:strike w:val="0"/>
                <w:color w:val="0563c1"/>
                <w:sz w:val="24"/>
                <w:szCs w:val="24"/>
                <w:u w:val="single"/>
                <w:shd w:fill="auto" w:val="clear"/>
                <w:vertAlign w:val="baseline"/>
                <w:rtl w:val="0"/>
              </w:rPr>
              <w:t xml:space="preserve">;</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"Government Data Register"</w:t>
            </w:r>
          </w:p>
        </w:tc>
        <w:tc>
          <w:tcPr/>
          <w:p w:rsidR="00000000" w:rsidDel="00000000" w:rsidP="00000000" w:rsidRDefault="00000000" w:rsidRPr="00000000" w14:paraId="00000098">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register of all Government Data the Supplier, or any Sub-contractor, receives from or creates for the Buyer, produced and maintained in accordance with Paragraph 18 of Appendix 1;</w:t>
            </w:r>
          </w:p>
        </w:tc>
      </w:tr>
      <w:tr>
        <w:trPr>
          <w:cantSplit w:val="0"/>
          <w:tblHeader w:val="0"/>
        </w:trPr>
        <w:tc>
          <w:tcPr/>
          <w:p w:rsidR="00000000" w:rsidDel="00000000" w:rsidP="00000000" w:rsidRDefault="00000000" w:rsidRPr="00000000" w14:paraId="00000099">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"Government Security Classification Policy"</w:t>
            </w:r>
          </w:p>
        </w:tc>
        <w:tc>
          <w:tcPr/>
          <w:p w:rsidR="00000000" w:rsidDel="00000000" w:rsidP="00000000" w:rsidRDefault="00000000" w:rsidRPr="00000000" w14:paraId="0000009A">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policy, as updated from time to time, establishing an administrative system to protect information assets appropriately against prevalent threats, including classification tiers, protective security controls and baseline behaviours, the current version of which is found at </w:t>
            </w:r>
            <w:hyperlink r:id="rId11">
              <w:r w:rsidDel="00000000" w:rsidR="00000000" w:rsidRPr="00000000">
                <w:rPr>
                  <w:rFonts w:ascii="Arial" w:cs="Arial" w:eastAsia="Arial" w:hAnsi="Arial"/>
                  <w:b w:val="0"/>
                  <w:i w:val="0"/>
                  <w:smallCaps w:val="0"/>
                  <w:strike w:val="0"/>
                  <w:color w:val="0563c1"/>
                  <w:sz w:val="24"/>
                  <w:szCs w:val="24"/>
                  <w:u w:val="single"/>
                  <w:shd w:fill="auto" w:val="clear"/>
                  <w:vertAlign w:val="baseline"/>
                  <w:rtl w:val="0"/>
                </w:rPr>
                <w:t xml:space="preserve">https://www.gov.uk/</w:t>
                <w:br w:type="textWrapping"/>
                <w:t xml:space="preserve">government/publications/government-security-classifications</w:t>
              </w:r>
            </w:hyperlink>
            <w:r w:rsidDel="00000000" w:rsidR="00000000" w:rsidRPr="00000000">
              <w:rPr>
                <w:rFonts w:ascii="Arial" w:cs="Arial" w:eastAsia="Arial" w:hAnsi="Arial"/>
                <w:b w:val="0"/>
                <w:i w:val="0"/>
                <w:smallCaps w:val="0"/>
                <w:strike w:val="0"/>
                <w:color w:val="0563c1"/>
                <w:sz w:val="24"/>
                <w:szCs w:val="24"/>
                <w:u w:val="single"/>
                <w:shd w:fill="auto" w:val="clear"/>
                <w:vertAlign w:val="baseline"/>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9B">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"Higher-risk Sub-contractor"</w:t>
            </w:r>
            <w:r w:rsidDel="00000000" w:rsidR="00000000" w:rsidRPr="00000000">
              <w:rPr>
                <w:rtl w:val="0"/>
              </w:rPr>
            </w:r>
          </w:p>
        </w:tc>
        <w:tc>
          <w:tcPr/>
          <w:p w:rsidR="00000000" w:rsidDel="00000000" w:rsidP="00000000" w:rsidRDefault="00000000" w:rsidRPr="00000000" w14:paraId="0000009C">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Sub-contractor that Handles Government Data, where that data includes either:</w:t>
            </w:r>
          </w:p>
          <w:p w:rsidR="00000000" w:rsidDel="00000000" w:rsidP="00000000" w:rsidRDefault="00000000" w:rsidRPr="00000000" w14:paraId="0000009D">
            <w:pPr>
              <w:keepNext w:val="0"/>
              <w:keepLines w:val="0"/>
              <w:pageBreakBefore w:val="0"/>
              <w:widowControl w:val="1"/>
              <w:numPr>
                <w:ilvl w:val="2"/>
                <w:numId w:val="27"/>
              </w:numPr>
              <w:pBdr>
                <w:top w:space="0" w:sz="0" w:val="nil"/>
                <w:left w:space="0" w:sz="0" w:val="nil"/>
                <w:bottom w:space="0" w:sz="0" w:val="nil"/>
                <w:right w:space="0" w:sz="0" w:val="nil"/>
                <w:between w:space="0" w:sz="0" w:val="nil"/>
              </w:pBdr>
              <w:shd w:fill="auto" w:val="clear"/>
              <w:spacing w:after="120" w:before="120" w:line="240" w:lineRule="auto"/>
              <w:ind w:left="797" w:right="0" w:hanging="709"/>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Personal Data of 1000 or more individuals in aggregate during the period between the Start Date and the End Date; or</w:t>
            </w:r>
          </w:p>
          <w:p w:rsidR="00000000" w:rsidDel="00000000" w:rsidP="00000000" w:rsidRDefault="00000000" w:rsidRPr="00000000" w14:paraId="0000009E">
            <w:pPr>
              <w:keepNext w:val="1"/>
              <w:keepLines w:val="0"/>
              <w:pageBreakBefore w:val="0"/>
              <w:widowControl w:val="1"/>
              <w:numPr>
                <w:ilvl w:val="2"/>
                <w:numId w:val="27"/>
              </w:numPr>
              <w:pBdr>
                <w:top w:space="0" w:sz="0" w:val="nil"/>
                <w:left w:space="0" w:sz="0" w:val="nil"/>
                <w:bottom w:space="0" w:sz="0" w:val="nil"/>
                <w:right w:space="0" w:sz="0" w:val="nil"/>
                <w:between w:space="0" w:sz="0" w:val="nil"/>
              </w:pBdr>
              <w:shd w:fill="auto" w:val="clear"/>
              <w:spacing w:after="120" w:before="120" w:line="240" w:lineRule="auto"/>
              <w:ind w:left="797" w:right="0" w:hanging="709"/>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part of that Personal Data includes any of the following:</w:t>
            </w:r>
          </w:p>
          <w:p w:rsidR="00000000" w:rsidDel="00000000" w:rsidP="00000000" w:rsidRDefault="00000000" w:rsidRPr="00000000" w14:paraId="0000009F">
            <w:pPr>
              <w:keepNext w:val="0"/>
              <w:keepLines w:val="0"/>
              <w:pageBreakBefore w:val="0"/>
              <w:widowControl w:val="1"/>
              <w:numPr>
                <w:ilvl w:val="3"/>
                <w:numId w:val="27"/>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financial information (including any tax and/or welfare information) relating to any person;</w:t>
            </w:r>
          </w:p>
          <w:p w:rsidR="00000000" w:rsidDel="00000000" w:rsidP="00000000" w:rsidRDefault="00000000" w:rsidRPr="00000000" w14:paraId="000000A0">
            <w:pPr>
              <w:keepNext w:val="0"/>
              <w:keepLines w:val="0"/>
              <w:pageBreakBefore w:val="0"/>
              <w:widowControl w:val="1"/>
              <w:numPr>
                <w:ilvl w:val="3"/>
                <w:numId w:val="27"/>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information relating to actual or alleged criminal offences (including criminal records);</w:t>
            </w:r>
          </w:p>
          <w:p w:rsidR="00000000" w:rsidDel="00000000" w:rsidP="00000000" w:rsidRDefault="00000000" w:rsidRPr="00000000" w14:paraId="000000A1">
            <w:pPr>
              <w:keepNext w:val="0"/>
              <w:keepLines w:val="0"/>
              <w:pageBreakBefore w:val="0"/>
              <w:widowControl w:val="1"/>
              <w:numPr>
                <w:ilvl w:val="3"/>
                <w:numId w:val="27"/>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information relating to children and/or vulnerable persons;</w:t>
            </w:r>
          </w:p>
          <w:p w:rsidR="00000000" w:rsidDel="00000000" w:rsidP="00000000" w:rsidRDefault="00000000" w:rsidRPr="00000000" w14:paraId="000000A2">
            <w:pPr>
              <w:keepNext w:val="0"/>
              <w:keepLines w:val="0"/>
              <w:pageBreakBefore w:val="0"/>
              <w:widowControl w:val="1"/>
              <w:numPr>
                <w:ilvl w:val="3"/>
                <w:numId w:val="27"/>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information relating to social care;</w:t>
            </w:r>
          </w:p>
          <w:p w:rsidR="00000000" w:rsidDel="00000000" w:rsidP="00000000" w:rsidRDefault="00000000" w:rsidRPr="00000000" w14:paraId="000000A3">
            <w:pPr>
              <w:keepNext w:val="0"/>
              <w:keepLines w:val="0"/>
              <w:pageBreakBefore w:val="0"/>
              <w:widowControl w:val="1"/>
              <w:numPr>
                <w:ilvl w:val="3"/>
                <w:numId w:val="27"/>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information relating to a person’s current or past employment; or</w:t>
            </w:r>
          </w:p>
          <w:p w:rsidR="00000000" w:rsidDel="00000000" w:rsidP="00000000" w:rsidRDefault="00000000" w:rsidRPr="00000000" w14:paraId="000000A4">
            <w:pPr>
              <w:keepNext w:val="0"/>
              <w:keepLines w:val="0"/>
              <w:pageBreakBefore w:val="0"/>
              <w:widowControl w:val="1"/>
              <w:numPr>
                <w:ilvl w:val="3"/>
                <w:numId w:val="27"/>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Special Category Personal Data; or</w:t>
            </w:r>
          </w:p>
          <w:p w:rsidR="00000000" w:rsidDel="00000000" w:rsidP="00000000" w:rsidRDefault="00000000" w:rsidRPr="00000000" w14:paraId="000000A5">
            <w:pPr>
              <w:keepNext w:val="1"/>
              <w:keepLines w:val="0"/>
              <w:pageBreakBefore w:val="0"/>
              <w:widowControl w:val="1"/>
              <w:numPr>
                <w:ilvl w:val="2"/>
                <w:numId w:val="27"/>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Buyer in its discretion, designates a Sub-contractor as a Higher-risk Sub-contractor:</w:t>
            </w:r>
          </w:p>
          <w:p w:rsidR="00000000" w:rsidDel="00000000" w:rsidP="00000000" w:rsidRDefault="00000000" w:rsidRPr="00000000" w14:paraId="000000A6">
            <w:pPr>
              <w:keepNext w:val="0"/>
              <w:keepLines w:val="0"/>
              <w:pageBreakBefore w:val="0"/>
              <w:widowControl w:val="1"/>
              <w:numPr>
                <w:ilvl w:val="3"/>
                <w:numId w:val="27"/>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any procurement document related to the Contract; or</w:t>
            </w:r>
          </w:p>
          <w:p w:rsidR="00000000" w:rsidDel="00000000" w:rsidP="00000000" w:rsidRDefault="00000000" w:rsidRPr="00000000" w14:paraId="000000A7">
            <w:pPr>
              <w:keepNext w:val="0"/>
              <w:keepLines w:val="0"/>
              <w:pageBreakBefore w:val="0"/>
              <w:widowControl w:val="1"/>
              <w:numPr>
                <w:ilvl w:val="3"/>
                <w:numId w:val="27"/>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during the Contract Period;</w:t>
            </w:r>
          </w:p>
        </w:tc>
      </w:tr>
      <w:tr>
        <w:trPr>
          <w:cantSplit w:val="0"/>
          <w:tblHeader w:val="0"/>
        </w:trPr>
        <w:tc>
          <w:tcPr/>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"HMG Baseline Personnel Security Standard"</w:t>
            </w:r>
          </w:p>
        </w:tc>
        <w:tc>
          <w:tcPr/>
          <w:p w:rsidR="00000000" w:rsidDel="00000000" w:rsidP="00000000" w:rsidRDefault="00000000" w:rsidRPr="00000000" w14:paraId="000000A9">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employment controls applied to any individual member of the Supplier Staff that performs any activity relating to the provision or management of the Services, as set out in "HMG Baseline Personnel Standard", Version 7.0, June 2024 (</w:t>
            </w:r>
            <w:hyperlink r:id="rId12">
              <w:r w:rsidDel="00000000" w:rsidR="00000000" w:rsidRPr="00000000">
                <w:rPr>
                  <w:rFonts w:ascii="Arial" w:cs="Arial" w:eastAsia="Arial" w:hAnsi="Arial"/>
                  <w:b w:val="0"/>
                  <w:i w:val="0"/>
                  <w:smallCaps w:val="0"/>
                  <w:strike w:val="0"/>
                  <w:color w:val="0563c1"/>
                  <w:sz w:val="24"/>
                  <w:szCs w:val="24"/>
                  <w:u w:val="single"/>
                  <w:shd w:fill="auto" w:val="clear"/>
                  <w:vertAlign w:val="baseline"/>
                  <w:rtl w:val="0"/>
                </w:rPr>
                <w:t xml:space="preserve">https://www.gov.uk/government/publications/government-baseline-personnel-security-standard</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as that document is updated from time to time;</w:t>
            </w:r>
          </w:p>
        </w:tc>
      </w:tr>
      <w:tr>
        <w:trPr>
          <w:cantSplit w:val="0"/>
          <w:tblHeader w:val="0"/>
        </w:trPr>
        <w:tc>
          <w:tcPr/>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"Independent Security Adviser"</w:t>
            </w:r>
          </w:p>
        </w:tc>
        <w:tc>
          <w:tcPr/>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independent and appropriately qualified and experienced security architect or expert appointed under Paragraph 19;</w:t>
            </w:r>
          </w:p>
        </w:tc>
      </w:tr>
      <w:tr>
        <w:trPr>
          <w:cantSplit w:val="0"/>
          <w:tblHeader w:val="0"/>
        </w:trPr>
        <w:tc>
          <w:tcPr/>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hh6mr6pjea5v" w:id="15"/>
            <w:bookmarkEnd w:id="15"/>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"ISO Certification"</w:t>
            </w:r>
          </w:p>
        </w:tc>
        <w:tc>
          <w:tcPr/>
          <w:p w:rsidR="00000000" w:rsidDel="00000000" w:rsidP="00000000" w:rsidRDefault="00000000" w:rsidRPr="00000000" w14:paraId="000000AD">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either of the following certifications when issued by a UKAS-recognised Certification Body:</w:t>
            </w:r>
          </w:p>
          <w:p w:rsidR="00000000" w:rsidDel="00000000" w:rsidP="00000000" w:rsidRDefault="00000000" w:rsidRPr="00000000" w14:paraId="000000AE">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ISO/IEC27001:2013, where the certification was obtained before November 2022, but only until November 2025; and</w:t>
            </w:r>
          </w:p>
          <w:p w:rsidR="00000000" w:rsidDel="00000000" w:rsidP="00000000" w:rsidRDefault="00000000" w:rsidRPr="00000000" w14:paraId="000000AF">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ISO/IEC27001:2022 in all other cases;</w:t>
            </w:r>
          </w:p>
        </w:tc>
      </w:tr>
      <w:tr>
        <w:trPr>
          <w:cantSplit w:val="0"/>
          <w:tblHeader w:val="0"/>
        </w:trPr>
        <w:tc>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"IT Health Check"</w:t>
            </w:r>
          </w:p>
        </w:tc>
        <w:tc>
          <w:tcPr/>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testing of the Supplier Information Management System by a CHECK Service Provider;</w:t>
            </w:r>
          </w:p>
        </w:tc>
      </w:tr>
      <w:tr>
        <w:trPr>
          <w:cantSplit w:val="0"/>
          <w:tblHeader w:val="0"/>
        </w:trPr>
        <w:tc>
          <w:tcPr/>
          <w:p w:rsidR="00000000" w:rsidDel="00000000" w:rsidP="00000000" w:rsidRDefault="00000000" w:rsidRPr="00000000" w14:paraId="000000B2">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6hkiawkn3lx1" w:id="16"/>
            <w:bookmarkEnd w:id="16"/>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"Key Subcontractor Default"</w:t>
            </w:r>
          </w:p>
        </w:tc>
        <w:tc>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has the meaning set out in Paragraph 10.5;</w:t>
            </w:r>
          </w:p>
        </w:tc>
      </w:tr>
      <w:tr>
        <w:trPr>
          <w:cantSplit w:val="0"/>
          <w:tblHeader w:val="0"/>
        </w:trPr>
        <w:tc>
          <w:tcPr/>
          <w:p w:rsidR="00000000" w:rsidDel="00000000" w:rsidP="00000000" w:rsidRDefault="00000000" w:rsidRPr="00000000" w14:paraId="000000B4">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"Medium-risk Sub-contractor"</w:t>
            </w:r>
            <w:r w:rsidDel="00000000" w:rsidR="00000000" w:rsidRPr="00000000">
              <w:rPr>
                <w:rtl w:val="0"/>
              </w:rPr>
            </w:r>
          </w:p>
        </w:tc>
        <w:tc>
          <w:tcPr/>
          <w:p w:rsidR="00000000" w:rsidDel="00000000" w:rsidP="00000000" w:rsidRDefault="00000000" w:rsidRPr="00000000" w14:paraId="000000B5">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highlight w:val="yellow"/>
                <w:u w:val="none"/>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Sub-contractor that Handles Government Data, [</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where that data</w:t>
            </w:r>
          </w:p>
          <w:p w:rsidR="00000000" w:rsidDel="00000000" w:rsidP="00000000" w:rsidRDefault="00000000" w:rsidRPr="00000000" w14:paraId="000000B6">
            <w:pPr>
              <w:keepNext w:val="0"/>
              <w:keepLines w:val="0"/>
              <w:pageBreakBefore w:val="0"/>
              <w:widowControl w:val="1"/>
              <w:numPr>
                <w:ilvl w:val="2"/>
                <w:numId w:val="29"/>
              </w:numPr>
              <w:pBdr>
                <w:top w:space="0" w:sz="0" w:val="nil"/>
                <w:left w:space="0" w:sz="0" w:val="nil"/>
                <w:bottom w:space="0" w:sz="0" w:val="nil"/>
                <w:right w:space="0" w:sz="0" w:val="nil"/>
                <w:between w:space="0" w:sz="0" w:val="nil"/>
              </w:pBdr>
              <w:shd w:fill="auto" w:val="clear"/>
              <w:spacing w:after="120" w:before="120" w:line="240" w:lineRule="auto"/>
              <w:ind w:left="797" w:right="0" w:hanging="797"/>
              <w:jc w:val="left"/>
              <w:rPr>
                <w:rFonts w:ascii="Arial" w:cs="Arial" w:eastAsia="Arial" w:hAnsi="Arial"/>
                <w:b w:val="0"/>
                <w:i w:val="0"/>
                <w:smallCaps w:val="0"/>
                <w:strike w:val="0"/>
                <w:color w:val="000000"/>
                <w:sz w:val="24"/>
                <w:szCs w:val="24"/>
                <w:highlight w:val="yellow"/>
                <w:u w:val="none"/>
                <w:vertAlign w:val="baseline"/>
              </w:rPr>
            </w:pP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includes the Personal Data of between 100 and 999 individuals (inclusive) in the period between the </w:t>
              <w:br w:type="textWrapping"/>
              <w:t xml:space="preserve">Start Date and the 4.1.2 End Date; and</w:t>
            </w:r>
          </w:p>
          <w:p w:rsidR="00000000" w:rsidDel="00000000" w:rsidP="00000000" w:rsidRDefault="00000000" w:rsidRPr="00000000" w14:paraId="000000B7">
            <w:pPr>
              <w:keepNext w:val="0"/>
              <w:keepLines w:val="0"/>
              <w:pageBreakBefore w:val="0"/>
              <w:widowControl w:val="1"/>
              <w:numPr>
                <w:ilvl w:val="2"/>
                <w:numId w:val="29"/>
              </w:numPr>
              <w:pBdr>
                <w:top w:space="0" w:sz="0" w:val="nil"/>
                <w:left w:space="0" w:sz="0" w:val="nil"/>
                <w:bottom w:space="0" w:sz="0" w:val="nil"/>
                <w:right w:space="0" w:sz="0" w:val="nil"/>
                <w:between w:space="0" w:sz="0" w:val="nil"/>
              </w:pBdr>
              <w:shd w:fill="auto" w:val="clear"/>
              <w:spacing w:after="120" w:before="120" w:line="240" w:lineRule="auto"/>
              <w:ind w:left="797" w:right="0" w:hanging="797"/>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does not include Special Category Personal Data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tc>
      </w:tr>
      <w:tr>
        <w:trPr>
          <w:cantSplit w:val="0"/>
          <w:tblHeader w:val="0"/>
        </w:trPr>
        <w:tc>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"Modules Register"</w:t>
            </w:r>
          </w:p>
        </w:tc>
        <w:tc>
          <w:tcPr/>
          <w:p w:rsidR="00000000" w:rsidDel="00000000" w:rsidP="00000000" w:rsidRDefault="00000000" w:rsidRPr="00000000" w14:paraId="000000B9">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register of Third-party Software Modules required by Paragraph 7.3 of Appendix 1;</w:t>
            </w:r>
          </w:p>
        </w:tc>
      </w:tr>
      <w:tr>
        <w:trPr>
          <w:cantSplit w:val="0"/>
          <w:tblHeader w:val="0"/>
        </w:trPr>
        <w:tc>
          <w:tcPr/>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e4rk0uvl9552" w:id="17"/>
            <w:bookmarkEnd w:id="17"/>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"NCSC"</w:t>
            </w:r>
          </w:p>
        </w:tc>
        <w:tc>
          <w:tcPr/>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National Cyber Security Centre or any replacement or successor body carrying out the same function;</w:t>
            </w:r>
          </w:p>
        </w:tc>
      </w:tr>
      <w:tr>
        <w:trPr>
          <w:cantSplit w:val="0"/>
          <w:tblHeader w:val="0"/>
        </w:trPr>
        <w:tc>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1jlzjxzxvq7" w:id="18"/>
            <w:bookmarkEnd w:id="18"/>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"NCSC Cloud Security Principles"</w:t>
            </w:r>
          </w:p>
        </w:tc>
        <w:tc>
          <w:tcPr/>
          <w:p w:rsidR="00000000" w:rsidDel="00000000" w:rsidP="00000000" w:rsidRDefault="00000000" w:rsidRPr="00000000" w14:paraId="000000BD">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NCSC’s document "Implementing the Cloud Security Principles" as updated or replaced from time to time and found at </w:t>
            </w:r>
            <w:hyperlink r:id="rId13">
              <w:r w:rsidDel="00000000" w:rsidR="00000000" w:rsidRPr="00000000">
                <w:rPr>
                  <w:rFonts w:ascii="Arial" w:cs="Arial" w:eastAsia="Arial" w:hAnsi="Arial"/>
                  <w:b w:val="0"/>
                  <w:i w:val="0"/>
                  <w:smallCaps w:val="0"/>
                  <w:strike w:val="0"/>
                  <w:color w:val="0563c1"/>
                  <w:sz w:val="24"/>
                  <w:szCs w:val="24"/>
                  <w:u w:val="single"/>
                  <w:shd w:fill="auto" w:val="clear"/>
                  <w:vertAlign w:val="baseline"/>
                  <w:rtl w:val="0"/>
                </w:rPr>
                <w:t xml:space="preserve">https://www.ncsc.gov.uk/collection/cloud/the-cloud-security-principles</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tc>
      </w:tr>
      <w:tr>
        <w:trPr>
          <w:cantSplit w:val="0"/>
          <w:tblHeader w:val="0"/>
        </w:trPr>
        <w:tc>
          <w:tcPr/>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s7om3ti9gdb0" w:id="19"/>
            <w:bookmarkEnd w:id="19"/>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"NCSC Device Guidance"</w:t>
            </w:r>
          </w:p>
        </w:tc>
        <w:tc>
          <w:tcPr/>
          <w:p w:rsidR="00000000" w:rsidDel="00000000" w:rsidP="00000000" w:rsidRDefault="00000000" w:rsidRPr="00000000" w14:paraId="000000BF">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NCSC’s document "Device Security Guidance", as updated or replaced from time to time and found at </w:t>
            </w:r>
            <w:hyperlink r:id="rId14">
              <w:r w:rsidDel="00000000" w:rsidR="00000000" w:rsidRPr="00000000">
                <w:rPr>
                  <w:rFonts w:ascii="Arial" w:cs="Arial" w:eastAsia="Arial" w:hAnsi="Arial"/>
                  <w:b w:val="0"/>
                  <w:i w:val="0"/>
                  <w:smallCaps w:val="0"/>
                  <w:strike w:val="0"/>
                  <w:color w:val="0563c1"/>
                  <w:sz w:val="24"/>
                  <w:szCs w:val="24"/>
                  <w:u w:val="single"/>
                  <w:shd w:fill="auto" w:val="clear"/>
                  <w:vertAlign w:val="baseline"/>
                  <w:rtl w:val="0"/>
                </w:rPr>
                <w:t xml:space="preserve">https://www.ncsc.gov.uk/collection/device-security-guidance</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tc>
      </w:tr>
      <w:tr>
        <w:trPr>
          <w:cantSplit w:val="0"/>
          <w:tblHeader w:val="0"/>
        </w:trPr>
        <w:tc>
          <w:tcPr/>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"NCSC Protecting Bulk Personal Data Guidance"</w:t>
            </w:r>
          </w:p>
        </w:tc>
        <w:tc>
          <w:tcPr/>
          <w:p w:rsidR="00000000" w:rsidDel="00000000" w:rsidP="00000000" w:rsidRDefault="00000000" w:rsidRPr="00000000" w14:paraId="000000C1">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NCSC’s document "Protecting Bulk Personal Data", as updated or replaced from time to time and found at </w:t>
            </w:r>
            <w:hyperlink r:id="rId15">
              <w:r w:rsidDel="00000000" w:rsidR="00000000" w:rsidRPr="00000000">
                <w:rPr>
                  <w:rFonts w:ascii="Arial" w:cs="Arial" w:eastAsia="Arial" w:hAnsi="Arial"/>
                  <w:b w:val="0"/>
                  <w:i w:val="0"/>
                  <w:smallCaps w:val="0"/>
                  <w:strike w:val="0"/>
                  <w:color w:val="0563c1"/>
                  <w:sz w:val="24"/>
                  <w:szCs w:val="24"/>
                  <w:u w:val="single"/>
                  <w:shd w:fill="auto" w:val="clear"/>
                  <w:vertAlign w:val="baseline"/>
                  <w:rtl w:val="0"/>
                </w:rPr>
                <w:t xml:space="preserve">https://www.ncsc.gov.uk/collection/protecting-bulk-personal-data</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tc>
      </w:tr>
      <w:tr>
        <w:trPr>
          <w:cantSplit w:val="0"/>
          <w:tblHeader w:val="0"/>
        </w:trPr>
        <w:tc>
          <w:tcPr/>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"NCSC Secure Design Principles"</w:t>
            </w:r>
          </w:p>
        </w:tc>
        <w:tc>
          <w:tcPr/>
          <w:p w:rsidR="00000000" w:rsidDel="00000000" w:rsidP="00000000" w:rsidRDefault="00000000" w:rsidRPr="00000000" w14:paraId="000000C3">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NCSC’s document "Secure Design Principles", as updated or replaced from time to time and found at </w:t>
            </w:r>
            <w:hyperlink r:id="rId16">
              <w:r w:rsidDel="00000000" w:rsidR="00000000" w:rsidRPr="00000000">
                <w:rPr>
                  <w:rFonts w:ascii="Arial" w:cs="Arial" w:eastAsia="Arial" w:hAnsi="Arial"/>
                  <w:b w:val="0"/>
                  <w:i w:val="0"/>
                  <w:smallCaps w:val="0"/>
                  <w:strike w:val="0"/>
                  <w:color w:val="0563c1"/>
                  <w:sz w:val="24"/>
                  <w:szCs w:val="24"/>
                  <w:u w:val="single"/>
                  <w:shd w:fill="auto" w:val="clear"/>
                  <w:vertAlign w:val="baseline"/>
                  <w:rtl w:val="0"/>
                </w:rPr>
                <w:t xml:space="preserve">https://www.ncsc.gov.uk/collection/cyber-security-design-principles/cyber-security-design-principles</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tc>
      </w:tr>
      <w:tr>
        <w:trPr>
          <w:cantSplit w:val="0"/>
          <w:tblHeader w:val="0"/>
        </w:trPr>
        <w:tc>
          <w:tcPr/>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"OWASP"</w:t>
            </w:r>
          </w:p>
        </w:tc>
        <w:tc>
          <w:tcPr/>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Open Web Application Security Project Foundation;</w:t>
            </w:r>
          </w:p>
        </w:tc>
      </w:tr>
      <w:tr>
        <w:trPr>
          <w:cantSplit w:val="0"/>
          <w:tblHeader w:val="0"/>
        </w:trPr>
        <w:tc>
          <w:tcPr/>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"OWASP Secure Coding Practice"</w:t>
            </w:r>
          </w:p>
        </w:tc>
        <w:tc>
          <w:tcPr/>
          <w:p w:rsidR="00000000" w:rsidDel="00000000" w:rsidP="00000000" w:rsidRDefault="00000000" w:rsidRPr="00000000" w14:paraId="000000C7">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Secure Coding Practices Quick Reference Guide published by OWASP, as updated or replaced from time to time and found at </w:t>
            </w:r>
            <w:hyperlink r:id="rId17">
              <w:r w:rsidDel="00000000" w:rsidR="00000000" w:rsidRPr="00000000">
                <w:rPr>
                  <w:rFonts w:ascii="Arial" w:cs="Arial" w:eastAsia="Arial" w:hAnsi="Arial"/>
                  <w:b w:val="0"/>
                  <w:i w:val="0"/>
                  <w:smallCaps w:val="0"/>
                  <w:strike w:val="0"/>
                  <w:color w:val="0563c1"/>
                  <w:sz w:val="24"/>
                  <w:szCs w:val="24"/>
                  <w:u w:val="single"/>
                  <w:shd w:fill="auto" w:val="clear"/>
                  <w:vertAlign w:val="baseline"/>
                  <w:rtl w:val="0"/>
                </w:rPr>
                <w:t xml:space="preserve">https://owasp.org/www-project-secure-coding-practices-quick-reference-guide/</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tc>
      </w:tr>
      <w:tr>
        <w:trPr>
          <w:cantSplit w:val="0"/>
          <w:tblHeader w:val="0"/>
        </w:trPr>
        <w:tc>
          <w:tcPr/>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"OWASP Top Ten"</w:t>
            </w:r>
          </w:p>
        </w:tc>
        <w:tc>
          <w:tcPr/>
          <w:p w:rsidR="00000000" w:rsidDel="00000000" w:rsidP="00000000" w:rsidRDefault="00000000" w:rsidRPr="00000000" w14:paraId="000000C9">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list of the most critical security risks to web applications published annually by OWASP and found at </w:t>
            </w:r>
            <w:hyperlink r:id="rId18">
              <w:r w:rsidDel="00000000" w:rsidR="00000000" w:rsidRPr="00000000">
                <w:rPr>
                  <w:rFonts w:ascii="Arial" w:cs="Arial" w:eastAsia="Arial" w:hAnsi="Arial"/>
                  <w:b w:val="0"/>
                  <w:i w:val="0"/>
                  <w:smallCaps w:val="0"/>
                  <w:strike w:val="0"/>
                  <w:color w:val="0563c1"/>
                  <w:sz w:val="24"/>
                  <w:szCs w:val="24"/>
                  <w:u w:val="single"/>
                  <w:shd w:fill="auto" w:val="clear"/>
                  <w:vertAlign w:val="baseline"/>
                  <w:rtl w:val="0"/>
                </w:rPr>
                <w:t xml:space="preserve">https://owasp.org/www-project-top-ten/</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tc>
      </w:tr>
      <w:tr>
        <w:trPr>
          <w:cantSplit w:val="0"/>
          <w:tblHeader w:val="0"/>
        </w:trPr>
        <w:tc>
          <w:tcPr/>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"Privileged User"</w:t>
            </w:r>
          </w:p>
        </w:tc>
        <w:tc>
          <w:tcPr/>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user with system administration access to the Supplier Information Management System, or substantially similar access privileges;</w:t>
            </w:r>
          </w:p>
        </w:tc>
      </w:tr>
      <w:tr>
        <w:trPr>
          <w:cantSplit w:val="0"/>
          <w:tblHeader w:val="0"/>
        </w:trPr>
        <w:tc>
          <w:tcPr/>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"Prohibited Activity"</w:t>
            </w:r>
          </w:p>
        </w:tc>
        <w:tc>
          <w:tcPr/>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storage, access or Handling of Government Data prohibited by a Prohibition Notice;</w:t>
            </w:r>
          </w:p>
        </w:tc>
      </w:tr>
      <w:tr>
        <w:trPr>
          <w:cantSplit w:val="0"/>
          <w:tblHeader w:val="0"/>
        </w:trPr>
        <w:tc>
          <w:tcPr/>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"Prohibition Notice"</w:t>
            </w:r>
          </w:p>
        </w:tc>
        <w:tc>
          <w:tcPr/>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notice issued under Paragraph 1.11 of Appendix 1;</w:t>
            </w:r>
          </w:p>
        </w:tc>
      </w:tr>
      <w:tr>
        <w:trPr>
          <w:cantSplit w:val="0"/>
          <w:tblHeader w:val="0"/>
        </w:trPr>
        <w:tc>
          <w:tcPr/>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"Protective Monitoring System"</w:t>
            </w:r>
          </w:p>
        </w:tc>
        <w:tc>
          <w:tcPr/>
          <w:p w:rsidR="00000000" w:rsidDel="00000000" w:rsidP="00000000" w:rsidRDefault="00000000" w:rsidRPr="00000000" w14:paraId="000000D1">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system implemented by the Supplier and its Sub-contractors under Paragraph 14.1 of Appendix 1 to monitor and analyse access to and use of the Supplier Information Management System, the Development Environment, the Government Data and the Code;</w:t>
            </w:r>
          </w:p>
        </w:tc>
      </w:tr>
      <w:tr>
        <w:trPr>
          <w:cantSplit w:val="0"/>
          <w:tblHeader w:val="0"/>
        </w:trPr>
        <w:tc>
          <w:tcPr/>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f06dohrud3u0" w:id="20"/>
            <w:bookmarkEnd w:id="20"/>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"RAP Trigger"</w:t>
            </w:r>
          </w:p>
        </w:tc>
        <w:tc>
          <w:tcPr/>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occurrence of one of the events set out in Paragraph 18.1;</w:t>
            </w:r>
          </w:p>
        </w:tc>
      </w:tr>
      <w:tr>
        <w:trPr>
          <w:cantSplit w:val="0"/>
          <w:tblHeader w:val="0"/>
        </w:trPr>
        <w:tc>
          <w:tcPr/>
          <w:p w:rsidR="00000000" w:rsidDel="00000000" w:rsidP="00000000" w:rsidRDefault="00000000" w:rsidRPr="00000000" w14:paraId="000000D4">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"Register of Sites, Support Locations and Third-party Tools"</w:t>
            </w:r>
          </w:p>
        </w:tc>
        <w:tc>
          <w:tcPr/>
          <w:p w:rsidR="00000000" w:rsidDel="00000000" w:rsidP="00000000" w:rsidRDefault="00000000" w:rsidRPr="00000000" w14:paraId="000000D5">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part of the Security Management Plan setting out, in respect of Sites, Support Locations and Third-party Tools:</w:t>
            </w:r>
          </w:p>
          <w:p w:rsidR="00000000" w:rsidDel="00000000" w:rsidP="00000000" w:rsidRDefault="00000000" w:rsidRPr="00000000" w14:paraId="000000D6">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655" w:right="0" w:hanging="65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Sites, Support Locations and Third-party Tools that the Supplier will use to Handle Government Data or provide the Services;</w:t>
            </w:r>
          </w:p>
          <w:p w:rsidR="00000000" w:rsidDel="00000000" w:rsidP="00000000" w:rsidRDefault="00000000" w:rsidRPr="00000000" w14:paraId="000000D7">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nature of the activity performed at the Site or Support Location or by the Third-party Tool in respect of the Government Data;</w:t>
            </w:r>
          </w:p>
          <w:p w:rsidR="00000000" w:rsidDel="00000000" w:rsidP="00000000" w:rsidRDefault="00000000" w:rsidRPr="00000000" w14:paraId="000000D8">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respect of each entity providing a Site, Support Location or Third-party Tool, its:</w:t>
            </w:r>
          </w:p>
          <w:p w:rsidR="00000000" w:rsidDel="00000000" w:rsidP="00000000" w:rsidRDefault="00000000" w:rsidRPr="00000000" w14:paraId="000000D9">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full legal name;</w:t>
            </w:r>
          </w:p>
          <w:p w:rsidR="00000000" w:rsidDel="00000000" w:rsidP="00000000" w:rsidRDefault="00000000" w:rsidRPr="00000000" w14:paraId="000000DA">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trading name (if any)</w:t>
            </w:r>
          </w:p>
          <w:p w:rsidR="00000000" w:rsidDel="00000000" w:rsidP="00000000" w:rsidRDefault="00000000" w:rsidRPr="00000000" w14:paraId="000000DB">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country of registration;</w:t>
            </w:r>
          </w:p>
          <w:p w:rsidR="00000000" w:rsidDel="00000000" w:rsidP="00000000" w:rsidRDefault="00000000" w:rsidRPr="00000000" w14:paraId="000000DC">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registration number (if applicable); and </w:t>
            </w:r>
          </w:p>
          <w:p w:rsidR="00000000" w:rsidDel="00000000" w:rsidP="00000000" w:rsidRDefault="00000000" w:rsidRPr="00000000" w14:paraId="000000DD">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registered address;</w:t>
            </w:r>
          </w:p>
        </w:tc>
      </w:tr>
      <w:tr>
        <w:trPr>
          <w:cantSplit w:val="0"/>
          <w:tblHeader w:val="0"/>
        </w:trPr>
        <w:tc>
          <w:tcPr/>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"Relevant Activities"</w:t>
            </w:r>
          </w:p>
        </w:tc>
        <w:tc>
          <w:tcPr/>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those activities specified in Paragraph 1.1 of Appendix 1;</w:t>
            </w:r>
          </w:p>
        </w:tc>
      </w:tr>
      <w:tr>
        <w:trPr>
          <w:cantSplit w:val="0"/>
          <w:tblHeader w:val="0"/>
        </w:trPr>
        <w:tc>
          <w:tcPr/>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"Relevant Certifications"</w:t>
            </w:r>
          </w:p>
        </w:tc>
        <w:tc>
          <w:tcPr/>
          <w:p w:rsidR="00000000" w:rsidDel="00000000" w:rsidP="00000000" w:rsidRDefault="00000000" w:rsidRPr="00000000" w14:paraId="000000E1">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means:</w:t>
            </w:r>
          </w:p>
          <w:p w:rsidR="00000000" w:rsidDel="00000000" w:rsidP="00000000" w:rsidRDefault="00000000" w:rsidRPr="00000000" w14:paraId="000000E2">
            <w:pPr>
              <w:keepNext w:val="1"/>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the case of the Supplier, any SIMS Sub-contractor and any Key Subcontractor:</w:t>
            </w:r>
          </w:p>
          <w:p w:rsidR="00000000" w:rsidDel="00000000" w:rsidP="00000000" w:rsidRDefault="00000000" w:rsidRPr="00000000" w14:paraId="000000E3">
            <w:pPr>
              <w:keepNext w:val="0"/>
              <w:keepLines w:val="0"/>
              <w:pageBreakBefore w:val="0"/>
              <w:widowControl w:val="1"/>
              <w:numPr>
                <w:ilvl w:val="3"/>
                <w:numId w:val="9"/>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either:</w:t>
            </w:r>
          </w:p>
          <w:p w:rsidR="00000000" w:rsidDel="00000000" w:rsidP="00000000" w:rsidRDefault="00000000" w:rsidRPr="00000000" w14:paraId="000000E4">
            <w:pPr>
              <w:keepNext w:val="0"/>
              <w:keepLines w:val="0"/>
              <w:pageBreakBefore w:val="0"/>
              <w:widowControl w:val="1"/>
              <w:numPr>
                <w:ilvl w:val="4"/>
                <w:numId w:val="9"/>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 ISO Certification in respect of the Supplier Information Management System; or</w:t>
            </w:r>
          </w:p>
          <w:p w:rsidR="00000000" w:rsidDel="00000000" w:rsidP="00000000" w:rsidRDefault="00000000" w:rsidRPr="00000000" w14:paraId="000000E5">
            <w:pPr>
              <w:keepNext w:val="0"/>
              <w:keepLines w:val="0"/>
              <w:pageBreakBefore w:val="0"/>
              <w:widowControl w:val="1"/>
              <w:numPr>
                <w:ilvl w:val="4"/>
                <w:numId w:val="9"/>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 the Supplier Information Management System is included within the scope of a wider ISO Certification, that ISO Certification; and</w:t>
            </w:r>
          </w:p>
          <w:p w:rsidR="00000000" w:rsidDel="00000000" w:rsidP="00000000" w:rsidRDefault="00000000" w:rsidRPr="00000000" w14:paraId="000000E6">
            <w:pPr>
              <w:keepNext w:val="0"/>
              <w:keepLines w:val="0"/>
              <w:pageBreakBefore w:val="0"/>
              <w:widowControl w:val="1"/>
              <w:numPr>
                <w:ilvl w:val="3"/>
                <w:numId w:val="9"/>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Cyber Essentials Plus;</w:t>
            </w:r>
          </w:p>
          <w:p w:rsidR="00000000" w:rsidDel="00000000" w:rsidP="00000000" w:rsidRDefault="00000000" w:rsidRPr="00000000" w14:paraId="000000E7">
            <w:pPr>
              <w:keepNext w:val="1"/>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the case of any Higher-risk Sub-contractor, either:</w:t>
            </w:r>
          </w:p>
          <w:p w:rsidR="00000000" w:rsidDel="00000000" w:rsidP="00000000" w:rsidRDefault="00000000" w:rsidRPr="00000000" w14:paraId="000000E8">
            <w:pPr>
              <w:keepNext w:val="0"/>
              <w:keepLines w:val="0"/>
              <w:pageBreakBefore w:val="0"/>
              <w:widowControl w:val="1"/>
              <w:numPr>
                <w:ilvl w:val="3"/>
                <w:numId w:val="9"/>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 ISO Certification in respect of that part of the Supplier Information Management System provided by the Higher-risk Sub-contractor;</w:t>
            </w:r>
          </w:p>
          <w:p w:rsidR="00000000" w:rsidDel="00000000" w:rsidP="00000000" w:rsidRDefault="00000000" w:rsidRPr="00000000" w14:paraId="000000E9">
            <w:pPr>
              <w:keepNext w:val="0"/>
              <w:keepLines w:val="0"/>
              <w:pageBreakBefore w:val="0"/>
              <w:widowControl w:val="1"/>
              <w:numPr>
                <w:ilvl w:val="3"/>
                <w:numId w:val="9"/>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 the that part of the Supplier Information Management System provided by the Higher-risk Sub-contractor is included within the scope of a wider ISO Certification, that ISO Certification; or</w:t>
            </w:r>
          </w:p>
          <w:p w:rsidR="00000000" w:rsidDel="00000000" w:rsidP="00000000" w:rsidRDefault="00000000" w:rsidRPr="00000000" w14:paraId="000000EA">
            <w:pPr>
              <w:keepNext w:val="0"/>
              <w:keepLines w:val="0"/>
              <w:pageBreakBefore w:val="0"/>
              <w:widowControl w:val="1"/>
              <w:numPr>
                <w:ilvl w:val="3"/>
                <w:numId w:val="9"/>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Cyber Essentials Plus; and</w:t>
            </w:r>
          </w:p>
          <w:p w:rsidR="00000000" w:rsidDel="00000000" w:rsidP="00000000" w:rsidRDefault="00000000" w:rsidRPr="00000000" w14:paraId="000000EB">
            <w:pPr>
              <w:keepNext w:val="1"/>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the case of any Medium-risk Sub-contractors, means Cyber Essentials.</w:t>
            </w:r>
          </w:p>
          <w:p w:rsidR="00000000" w:rsidDel="00000000" w:rsidP="00000000" w:rsidRDefault="00000000" w:rsidRPr="00000000" w14:paraId="000000EC">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 equivalent certifications);</w:t>
            </w:r>
          </w:p>
        </w:tc>
      </w:tr>
      <w:tr>
        <w:trPr>
          <w:cantSplit w:val="0"/>
          <w:tblHeader w:val="0"/>
        </w:trPr>
        <w:tc>
          <w:tcPr/>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"Relevant Convictions"</w:t>
            </w:r>
          </w:p>
        </w:tc>
        <w:tc>
          <w:tcPr/>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previous or pending prosecution, conviction or caution (excluding any spent conviction under the Rehabilitation of Offenders Act 1974) relating to offences involving dishonesty, terrorism, immigration, firearms, fraud, forgery, tax evasion, offences against people (including sexual offences), or any other offences relevant to Services as the Buyer may specify;</w:t>
            </w:r>
          </w:p>
        </w:tc>
      </w:tr>
      <w:tr>
        <w:trPr>
          <w:cantSplit w:val="0"/>
          <w:tblHeader w:val="0"/>
        </w:trPr>
        <w:tc>
          <w:tcPr/>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"Remediation Action Plan"</w:t>
            </w:r>
          </w:p>
        </w:tc>
        <w:tc>
          <w:tcPr/>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plan prepared by the Supplier in accordance with Paragraph 12.13 to 12.17, addressing the vulnerabilities and findings in a IT Health Check report;</w:t>
            </w:r>
          </w:p>
        </w:tc>
      </w:tr>
      <w:tr>
        <w:trPr>
          <w:cantSplit w:val="0"/>
          <w:tblHeader w:val="0"/>
        </w:trPr>
        <w:tc>
          <w:tcPr/>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"Remote Location"</w:t>
            </w:r>
          </w:p>
        </w:tc>
        <w:tc>
          <w:tcPr/>
          <w:p w:rsidR="00000000" w:rsidDel="00000000" w:rsidP="00000000" w:rsidRDefault="00000000" w:rsidRPr="00000000" w14:paraId="000000F2">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location other than a Supplier’s or a Sub-contractor’s Site;</w:t>
            </w:r>
          </w:p>
        </w:tc>
      </w:tr>
      <w:tr>
        <w:trPr>
          <w:cantSplit w:val="0"/>
          <w:tblHeader w:val="0"/>
        </w:trPr>
        <w:tc>
          <w:tcPr/>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"Remote Working"</w:t>
            </w:r>
          </w:p>
        </w:tc>
        <w:tc>
          <w:tcPr/>
          <w:p w:rsidR="00000000" w:rsidDel="00000000" w:rsidP="00000000" w:rsidRDefault="00000000" w:rsidRPr="00000000" w14:paraId="000000F4">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provision or management of the Services by Supplier Staff from a location other than a Supplier’s or a Sub-contractor’s Site;</w:t>
            </w:r>
          </w:p>
        </w:tc>
      </w:tr>
      <w:tr>
        <w:trPr>
          <w:cantSplit w:val="0"/>
          <w:tblHeader w:val="0"/>
        </w:trPr>
        <w:tc>
          <w:tcPr/>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"Remote Working Policy"</w:t>
            </w:r>
          </w:p>
        </w:tc>
        <w:tc>
          <w:tcPr/>
          <w:p w:rsidR="00000000" w:rsidDel="00000000" w:rsidP="00000000" w:rsidRDefault="00000000" w:rsidRPr="00000000" w14:paraId="000000F6">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policy prepared and approved under Paragraph 3.8 of Appendix 1 and forming part of the Security Management Plan under which Supplier Staff are permitted to undertake Remote Working;</w:t>
            </w:r>
          </w:p>
        </w:tc>
      </w:tr>
      <w:tr>
        <w:trPr>
          <w:cantSplit w:val="0"/>
          <w:tblHeader w:val="0"/>
        </w:trPr>
        <w:tc>
          <w:tcPr/>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cujulq2bdk2y" w:id="21"/>
            <w:bookmarkEnd w:id="21"/>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"Required Changes Register"</w:t>
            </w:r>
          </w:p>
        </w:tc>
        <w:tc>
          <w:tcPr/>
          <w:p w:rsidR="00000000" w:rsidDel="00000000" w:rsidP="00000000" w:rsidRDefault="00000000" w:rsidRPr="00000000" w14:paraId="000000F8">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register recording each of the changes that the Supplier proposes to the Supplier Information Management System or the Security Management Plan together with:</w:t>
            </w:r>
          </w:p>
          <w:p w:rsidR="00000000" w:rsidDel="00000000" w:rsidP="00000000" w:rsidRDefault="00000000" w:rsidRPr="00000000" w14:paraId="000000F9">
            <w:pPr>
              <w:keepNext w:val="0"/>
              <w:keepLines w:val="0"/>
              <w:pageBreakBefore w:val="0"/>
              <w:widowControl w:val="1"/>
              <w:numPr>
                <w:ilvl w:val="2"/>
                <w:numId w:val="10"/>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details of any approval of the change provided by the Buyer, including any conditions or limitations on that approval; and</w:t>
            </w:r>
          </w:p>
          <w:p w:rsidR="00000000" w:rsidDel="00000000" w:rsidP="00000000" w:rsidRDefault="00000000" w:rsidRPr="00000000" w14:paraId="000000FA">
            <w:pPr>
              <w:keepNext w:val="1"/>
              <w:keepLines w:val="0"/>
              <w:pageBreakBefore w:val="0"/>
              <w:widowControl w:val="1"/>
              <w:numPr>
                <w:ilvl w:val="2"/>
                <w:numId w:val="10"/>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date:</w:t>
            </w:r>
          </w:p>
          <w:p w:rsidR="00000000" w:rsidDel="00000000" w:rsidP="00000000" w:rsidRDefault="00000000" w:rsidRPr="00000000" w14:paraId="000000FB">
            <w:pPr>
              <w:keepNext w:val="0"/>
              <w:keepLines w:val="0"/>
              <w:pageBreakBefore w:val="0"/>
              <w:widowControl w:val="1"/>
              <w:numPr>
                <w:ilvl w:val="3"/>
                <w:numId w:val="10"/>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date by which the change it to be implemented; and</w:t>
            </w:r>
          </w:p>
          <w:p w:rsidR="00000000" w:rsidDel="00000000" w:rsidP="00000000" w:rsidRDefault="00000000" w:rsidRPr="00000000" w14:paraId="000000FC">
            <w:pPr>
              <w:keepNext w:val="0"/>
              <w:keepLines w:val="0"/>
              <w:pageBreakBefore w:val="0"/>
              <w:widowControl w:val="1"/>
              <w:numPr>
                <w:ilvl w:val="3"/>
                <w:numId w:val="10"/>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date on which the change was implemented;</w:t>
            </w:r>
          </w:p>
        </w:tc>
      </w:tr>
      <w:tr>
        <w:trPr>
          <w:cantSplit w:val="0"/>
          <w:tblHeader w:val="0"/>
        </w:trPr>
        <w:tc>
          <w:tcPr/>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"Residual Risk Statement"</w:t>
            </w:r>
          </w:p>
        </w:tc>
        <w:tc>
          <w:tcPr/>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notice issued by the Buyer that</w:t>
            </w:r>
          </w:p>
          <w:p w:rsidR="00000000" w:rsidDel="00000000" w:rsidP="00000000" w:rsidRDefault="00000000" w:rsidRPr="00000000" w14:paraId="000000FF">
            <w:pPr>
              <w:keepNext w:val="0"/>
              <w:keepLines w:val="0"/>
              <w:pageBreakBefore w:val="0"/>
              <w:widowControl w:val="1"/>
              <w:numPr>
                <w:ilvl w:val="2"/>
                <w:numId w:val="11"/>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sets out the information risks associated with using the Supplier Information Management System; and</w:t>
            </w:r>
          </w:p>
          <w:p w:rsidR="00000000" w:rsidDel="00000000" w:rsidP="00000000" w:rsidRDefault="00000000" w:rsidRPr="00000000" w14:paraId="00000100">
            <w:pPr>
              <w:keepNext w:val="1"/>
              <w:keepLines w:val="0"/>
              <w:pageBreakBefore w:val="0"/>
              <w:widowControl w:val="1"/>
              <w:numPr>
                <w:ilvl w:val="2"/>
                <w:numId w:val="11"/>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confirms that the Buyer:</w:t>
            </w:r>
          </w:p>
          <w:p w:rsidR="00000000" w:rsidDel="00000000" w:rsidP="00000000" w:rsidRDefault="00000000" w:rsidRPr="00000000" w14:paraId="00000101">
            <w:pPr>
              <w:keepNext w:val="0"/>
              <w:keepLines w:val="0"/>
              <w:pageBreakBefore w:val="0"/>
              <w:widowControl w:val="1"/>
              <w:numPr>
                <w:ilvl w:val="3"/>
                <w:numId w:val="11"/>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 satisfied that the identified risks have been adequately and appropriately addressed; and</w:t>
            </w:r>
          </w:p>
          <w:p w:rsidR="00000000" w:rsidDel="00000000" w:rsidP="00000000" w:rsidRDefault="00000000" w:rsidRPr="00000000" w14:paraId="00000102">
            <w:pPr>
              <w:keepNext w:val="0"/>
              <w:keepLines w:val="0"/>
              <w:pageBreakBefore w:val="0"/>
              <w:widowControl w:val="1"/>
              <w:numPr>
                <w:ilvl w:val="3"/>
                <w:numId w:val="11"/>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that the residual risks are understood and accepted by the Buyer;</w:t>
            </w:r>
          </w:p>
        </w:tc>
      </w:tr>
      <w:tr>
        <w:trPr>
          <w:cantSplit w:val="0"/>
          <w:tblHeader w:val="0"/>
        </w:trPr>
        <w:tc>
          <w:tcPr/>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"Risk Management Approval Statement"</w:t>
            </w:r>
          </w:p>
        </w:tc>
        <w:tc>
          <w:tcPr/>
          <w:p w:rsidR="00000000" w:rsidDel="00000000" w:rsidP="00000000" w:rsidRDefault="00000000" w:rsidRPr="00000000" w14:paraId="00000104">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statement issued by the Buyer under Paragraph 16.2 following the Buyer's review of the Security Management Plan;</w:t>
            </w:r>
          </w:p>
        </w:tc>
      </w:tr>
      <w:tr>
        <w:trPr>
          <w:cantSplit w:val="0"/>
          <w:tblHeader w:val="0"/>
        </w:trPr>
        <w:tc>
          <w:tcPr/>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"Secure by Design Principles"</w:t>
            </w:r>
          </w:p>
        </w:tc>
        <w:tc>
          <w:tcPr/>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Secure by Design Principles issued by the Cabinet Office, as updated or replaced from time-to-time, currently found at </w:t>
            </w:r>
            <w:hyperlink r:id="rId19">
              <w:r w:rsidDel="00000000" w:rsidR="00000000" w:rsidRPr="00000000">
                <w:rPr>
                  <w:rFonts w:ascii="Arial" w:cs="Arial" w:eastAsia="Arial" w:hAnsi="Arial"/>
                  <w:b w:val="0"/>
                  <w:i w:val="0"/>
                  <w:smallCaps w:val="0"/>
                  <w:strike w:val="0"/>
                  <w:color w:val="0563c1"/>
                  <w:sz w:val="24"/>
                  <w:szCs w:val="24"/>
                  <w:u w:val="single"/>
                  <w:shd w:fill="auto" w:val="clear"/>
                  <w:vertAlign w:val="baseline"/>
                  <w:rtl w:val="0"/>
                </w:rPr>
                <w:t xml:space="preserve">https://www.security.gov.uk/policy-and-guidance/secure-by-design/principles/</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tc>
      </w:tr>
      <w:tr>
        <w:trPr>
          <w:cantSplit w:val="0"/>
          <w:tblHeader w:val="0"/>
        </w:trPr>
        <w:tc>
          <w:tcPr/>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"Secure Development Guidance"</w:t>
            </w:r>
          </w:p>
        </w:tc>
        <w:tc>
          <w:tcPr/>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Supplier’s secure coding policy required under its ISO27001 Relevant Certification;</w:t>
            </w:r>
          </w:p>
        </w:tc>
      </w:tr>
      <w:tr>
        <w:trPr>
          <w:cantSplit w:val="0"/>
          <w:tblHeader w:val="0"/>
        </w:trPr>
        <w:tc>
          <w:tcPr/>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"Secure Location"</w:t>
            </w:r>
          </w:p>
        </w:tc>
        <w:tc>
          <w:tcPr/>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has the meaning given to that term in Paragraph 2.1.1 of Appendix 1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Security Requirements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tc>
      </w:tr>
      <w:tr>
        <w:trPr>
          <w:cantSplit w:val="0"/>
          <w:tblHeader w:val="0"/>
        </w:trPr>
        <w:tc>
          <w:tcPr/>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"Security Controls"</w:t>
            </w:r>
          </w:p>
        </w:tc>
        <w:tc>
          <w:tcPr/>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security controls set out and updated from time to time in the Government Security Classification Policy, currently found at Paragraph 12 of </w:t>
            </w:r>
            <w:hyperlink r:id="rId20">
              <w:r w:rsidDel="00000000" w:rsidR="00000000" w:rsidRPr="00000000">
                <w:rPr>
                  <w:rFonts w:ascii="Arial" w:cs="Arial" w:eastAsia="Arial" w:hAnsi="Arial"/>
                  <w:b w:val="0"/>
                  <w:i w:val="0"/>
                  <w:smallCaps w:val="0"/>
                  <w:strike w:val="0"/>
                  <w:color w:val="0563c1"/>
                  <w:sz w:val="24"/>
                  <w:szCs w:val="24"/>
                  <w:u w:val="single"/>
                  <w:shd w:fill="auto" w:val="clear"/>
                  <w:vertAlign w:val="baseline"/>
                  <w:rtl w:val="0"/>
                </w:rPr>
                <w:t xml:space="preserve">https://www.gov.uk/government/publications/government-security-classifications/guidance-15-considerations-for-security-advisors-html</w:t>
              </w:r>
            </w:hyperlink>
            <w:r w:rsidDel="00000000" w:rsidR="00000000" w:rsidRPr="00000000">
              <w:rPr>
                <w:rFonts w:ascii="Arial" w:cs="Arial" w:eastAsia="Arial" w:hAnsi="Arial"/>
                <w:b w:val="0"/>
                <w:i w:val="0"/>
                <w:smallCaps w:val="0"/>
                <w:strike w:val="0"/>
                <w:color w:val="0563c1"/>
                <w:sz w:val="24"/>
                <w:szCs w:val="24"/>
                <w:u w:val="single"/>
                <w:shd w:fill="auto" w:val="clear"/>
                <w:vertAlign w:val="baseline"/>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"Security Management Plan"</w:t>
            </w:r>
          </w:p>
        </w:tc>
        <w:tc>
          <w:tcPr/>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document prepared in accordance with the requirements of Paragraph 14 and in the format, and containing the information, specified in [</w:t>
            </w:r>
            <w:r w:rsidDel="00000000" w:rsidR="00000000" w:rsidRPr="00000000">
              <w:rPr>
                <w:rFonts w:ascii="Arial" w:cs="Arial" w:eastAsia="Arial" w:hAnsi="Arial"/>
                <w:b w:val="1"/>
                <w:i w:val="0"/>
                <w:smallCaps w:val="0"/>
                <w:strike w:val="0"/>
                <w:color w:val="000000"/>
                <w:sz w:val="24"/>
                <w:szCs w:val="24"/>
                <w:highlight w:val="yellow"/>
                <w:u w:val="none"/>
                <w:vertAlign w:val="baseline"/>
                <w:rtl w:val="0"/>
              </w:rPr>
              <w:t xml:space="preserve">insert cross-reference to guidance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tc>
      </w:tr>
      <w:tr>
        <w:trPr>
          <w:cantSplit w:val="0"/>
          <w:tblHeader w:val="0"/>
        </w:trPr>
        <w:tc>
          <w:tcPr/>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"Security requirements for Development Activity"</w:t>
            </w:r>
          </w:p>
        </w:tc>
        <w:tc>
          <w:tcPr/>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security requirements in Appendix 2 to this Schedule;</w:t>
            </w:r>
          </w:p>
        </w:tc>
      </w:tr>
      <w:tr>
        <w:trPr>
          <w:cantSplit w:val="0"/>
          <w:tblHeader w:val="0"/>
        </w:trPr>
        <w:tc>
          <w:tcPr/>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"Security Test"</w:t>
            </w:r>
          </w:p>
        </w:tc>
        <w:tc>
          <w:tcPr/>
          <w:p w:rsidR="00000000" w:rsidDel="00000000" w:rsidP="00000000" w:rsidRDefault="00000000" w:rsidRPr="00000000" w14:paraId="00000112">
            <w:pPr>
              <w:keepNext w:val="0"/>
              <w:keepLines w:val="0"/>
              <w:pageBreakBefore w:val="0"/>
              <w:widowControl w:val="1"/>
              <w:numPr>
                <w:ilvl w:val="2"/>
                <w:numId w:val="1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 IT Health Check; or</w:t>
            </w:r>
          </w:p>
          <w:p w:rsidR="00000000" w:rsidDel="00000000" w:rsidP="00000000" w:rsidRDefault="00000000" w:rsidRPr="00000000" w14:paraId="00000113">
            <w:pPr>
              <w:keepNext w:val="0"/>
              <w:keepLines w:val="0"/>
              <w:pageBreakBefore w:val="0"/>
              <w:widowControl w:val="1"/>
              <w:numPr>
                <w:ilvl w:val="2"/>
                <w:numId w:val="1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Supplier Security Test;</w:t>
            </w:r>
          </w:p>
        </w:tc>
      </w:tr>
      <w:tr>
        <w:trPr>
          <w:cantSplit w:val="0"/>
          <w:tblHeader w:val="0"/>
        </w:trPr>
        <w:tc>
          <w:tcPr/>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"Security Working Group"</w:t>
            </w:r>
          </w:p>
        </w:tc>
        <w:tc>
          <w:tcPr/>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Board established under Paragraph 8;</w:t>
            </w:r>
          </w:p>
        </w:tc>
      </w:tr>
      <w:tr>
        <w:trPr>
          <w:cantSplit w:val="0"/>
          <w:tblHeader w:val="0"/>
        </w:trPr>
        <w:tc>
          <w:tcPr/>
          <w:p w:rsidR="00000000" w:rsidDel="00000000" w:rsidP="00000000" w:rsidRDefault="00000000" w:rsidRPr="00000000" w14:paraId="00000116">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"SIMS Sub-contractor"</w:t>
            </w:r>
            <w:r w:rsidDel="00000000" w:rsidR="00000000" w:rsidRPr="00000000">
              <w:rPr>
                <w:rtl w:val="0"/>
              </w:rPr>
            </w:r>
          </w:p>
        </w:tc>
        <w:tc>
          <w:tcPr/>
          <w:p w:rsidR="00000000" w:rsidDel="00000000" w:rsidP="00000000" w:rsidRDefault="00000000" w:rsidRPr="00000000" w14:paraId="00000117">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Sub-contractor designated by the Buyer that provides or operates the whole, or a substantial part, of the Supplier Information Management System;</w:t>
            </w:r>
          </w:p>
        </w:tc>
      </w:tr>
      <w:tr>
        <w:trPr>
          <w:cantSplit w:val="0"/>
          <w:tblHeader w:val="0"/>
        </w:trPr>
        <w:tc>
          <w:tcPr/>
          <w:p w:rsidR="00000000" w:rsidDel="00000000" w:rsidP="00000000" w:rsidRDefault="00000000" w:rsidRPr="00000000" w14:paraId="00000118">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"SMP Sub-contractor"</w:t>
            </w:r>
          </w:p>
        </w:tc>
        <w:tc>
          <w:tcPr/>
          <w:p w:rsidR="00000000" w:rsidDel="00000000" w:rsidP="00000000" w:rsidRDefault="00000000" w:rsidRPr="00000000" w14:paraId="00000119">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Sub-contractor that provides cloud-based services on a "one to many" basis, where such Sub-contractor will not contract other than on their own contractual terms;</w:t>
            </w:r>
          </w:p>
        </w:tc>
      </w:tr>
      <w:tr>
        <w:trPr>
          <w:cantSplit w:val="0"/>
          <w:tblHeader w:val="0"/>
        </w:trPr>
        <w:tc>
          <w:tcPr/>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"Statement of Information Risk Appetite"</w:t>
            </w:r>
          </w:p>
        </w:tc>
        <w:tc>
          <w:tcPr/>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statement provided by the Buyer under Paragraph 14.1 setting out:</w:t>
            </w:r>
          </w:p>
          <w:p w:rsidR="00000000" w:rsidDel="00000000" w:rsidP="00000000" w:rsidRDefault="00000000" w:rsidRPr="00000000" w14:paraId="0000011C">
            <w:pPr>
              <w:keepNext w:val="0"/>
              <w:keepLines w:val="0"/>
              <w:pageBreakBefore w:val="0"/>
              <w:widowControl w:val="1"/>
              <w:numPr>
                <w:ilvl w:val="2"/>
                <w:numId w:val="20"/>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nature and level of risk that the Supplier accepts from the operation of the Supplier Information Management System; and</w:t>
            </w:r>
          </w:p>
          <w:p w:rsidR="00000000" w:rsidDel="00000000" w:rsidP="00000000" w:rsidRDefault="00000000" w:rsidRPr="00000000" w14:paraId="0000011D">
            <w:pPr>
              <w:keepNext w:val="0"/>
              <w:keepLines w:val="0"/>
              <w:pageBreakBefore w:val="0"/>
              <w:widowControl w:val="1"/>
              <w:numPr>
                <w:ilvl w:val="2"/>
                <w:numId w:val="20"/>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specific legal and regulatory requirements with which the Supplier must comply when Handling Government Data;</w:t>
            </w:r>
          </w:p>
        </w:tc>
      </w:tr>
      <w:tr>
        <w:trPr>
          <w:cantSplit w:val="0"/>
          <w:tblHeader w:val="0"/>
        </w:trPr>
        <w:tc>
          <w:tcPr/>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"Sub-contractor"</w:t>
            </w:r>
          </w:p>
        </w:tc>
        <w:tc>
          <w:tcPr/>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 the purposes of this Schedule only, any individual or entity that:</w:t>
            </w:r>
          </w:p>
          <w:p w:rsidR="00000000" w:rsidDel="00000000" w:rsidP="00000000" w:rsidRDefault="00000000" w:rsidRPr="00000000" w14:paraId="00000120">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forms part of the supply chain of the Supplier; and</w:t>
            </w:r>
          </w:p>
          <w:p w:rsidR="00000000" w:rsidDel="00000000" w:rsidP="00000000" w:rsidRDefault="00000000" w:rsidRPr="00000000" w14:paraId="00000121">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has access to, hosts, or performs any operation on or in respect of the Supplier Information Management System, the Development Environment, the Code and the Government Data,</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 this definition shall apply to this Schedule in place of the definition of Subcontractor in Joint Schedule 1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(Definitions)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tc>
      </w:tr>
      <w:tr>
        <w:trPr>
          <w:cantSplit w:val="0"/>
          <w:tblHeader w:val="0"/>
        </w:trPr>
        <w:tc>
          <w:tcPr/>
          <w:p w:rsidR="00000000" w:rsidDel="00000000" w:rsidP="00000000" w:rsidRDefault="00000000" w:rsidRPr="00000000" w14:paraId="00000123">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"Sub-contractors’ Systems"</w:t>
            </w:r>
          </w:p>
        </w:tc>
        <w:tc>
          <w:tcPr/>
          <w:p w:rsidR="00000000" w:rsidDel="00000000" w:rsidP="00000000" w:rsidRDefault="00000000" w:rsidRPr="00000000" w14:paraId="00000124">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information and communications technology system used by a Sub-contractor in implementing and performing the Services, including:</w:t>
            </w:r>
          </w:p>
          <w:p w:rsidR="00000000" w:rsidDel="00000000" w:rsidP="00000000" w:rsidRDefault="00000000" w:rsidRPr="00000000" w14:paraId="00000125">
            <w:pPr>
              <w:keepNext w:val="0"/>
              <w:keepLines w:val="0"/>
              <w:pageBreakBefore w:val="0"/>
              <w:widowControl w:val="1"/>
              <w:numPr>
                <w:ilvl w:val="2"/>
                <w:numId w:val="1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Software;</w:t>
            </w:r>
          </w:p>
          <w:p w:rsidR="00000000" w:rsidDel="00000000" w:rsidP="00000000" w:rsidRDefault="00000000" w:rsidRPr="00000000" w14:paraId="00000126">
            <w:pPr>
              <w:keepNext w:val="0"/>
              <w:keepLines w:val="0"/>
              <w:pageBreakBefore w:val="0"/>
              <w:widowControl w:val="1"/>
              <w:numPr>
                <w:ilvl w:val="2"/>
                <w:numId w:val="1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Equipment;</w:t>
            </w:r>
          </w:p>
          <w:p w:rsidR="00000000" w:rsidDel="00000000" w:rsidP="00000000" w:rsidRDefault="00000000" w:rsidRPr="00000000" w14:paraId="00000127">
            <w:pPr>
              <w:keepNext w:val="0"/>
              <w:keepLines w:val="0"/>
              <w:pageBreakBefore w:val="0"/>
              <w:widowControl w:val="1"/>
              <w:numPr>
                <w:ilvl w:val="2"/>
                <w:numId w:val="1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configuration and management utilities;</w:t>
            </w:r>
          </w:p>
          <w:p w:rsidR="00000000" w:rsidDel="00000000" w:rsidP="00000000" w:rsidRDefault="00000000" w:rsidRPr="00000000" w14:paraId="00000128">
            <w:pPr>
              <w:keepNext w:val="0"/>
              <w:keepLines w:val="0"/>
              <w:pageBreakBefore w:val="0"/>
              <w:widowControl w:val="1"/>
              <w:numPr>
                <w:ilvl w:val="2"/>
                <w:numId w:val="1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calibration and testing tools;</w:t>
            </w:r>
          </w:p>
          <w:p w:rsidR="00000000" w:rsidDel="00000000" w:rsidP="00000000" w:rsidRDefault="00000000" w:rsidRPr="00000000" w14:paraId="00000129">
            <w:pPr>
              <w:keepNext w:val="0"/>
              <w:keepLines w:val="0"/>
              <w:pageBreakBefore w:val="0"/>
              <w:widowControl w:val="1"/>
              <w:numPr>
                <w:ilvl w:val="2"/>
                <w:numId w:val="1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 related cabling; but</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does not include the Buyer System;</w:t>
            </w:r>
          </w:p>
        </w:tc>
      </w:tr>
      <w:tr>
        <w:trPr>
          <w:cantSplit w:val="0"/>
          <w:tblHeader w:val="0"/>
        </w:trPr>
        <w:tc>
          <w:tcPr/>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"Supplier Information Management System"</w:t>
            </w:r>
          </w:p>
        </w:tc>
        <w:tc>
          <w:tcPr/>
          <w:p w:rsidR="00000000" w:rsidDel="00000000" w:rsidP="00000000" w:rsidRDefault="00000000" w:rsidRPr="00000000" w14:paraId="0000012C">
            <w:pPr>
              <w:keepNext w:val="0"/>
              <w:keepLines w:val="0"/>
              <w:pageBreakBefore w:val="0"/>
              <w:widowControl w:val="1"/>
              <w:numPr>
                <w:ilvl w:val="2"/>
                <w:numId w:val="25"/>
              </w:numPr>
              <w:pBdr>
                <w:top w:space="0" w:sz="0" w:val="nil"/>
                <w:left w:space="0" w:sz="0" w:val="nil"/>
                <w:bottom w:space="0" w:sz="0" w:val="nil"/>
                <w:right w:space="0" w:sz="0" w:val="nil"/>
                <w:between w:space="0" w:sz="0" w:val="nil"/>
              </w:pBdr>
              <w:shd w:fill="auto" w:val="clear"/>
              <w:spacing w:after="120" w:before="120" w:line="240" w:lineRule="auto"/>
              <w:ind w:left="655" w:right="0" w:hanging="65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System;</w:t>
            </w:r>
          </w:p>
          <w:p w:rsidR="00000000" w:rsidDel="00000000" w:rsidP="00000000" w:rsidRDefault="00000000" w:rsidRPr="00000000" w14:paraId="0000012D">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Sites;</w:t>
            </w:r>
          </w:p>
          <w:p w:rsidR="00000000" w:rsidDel="00000000" w:rsidP="00000000" w:rsidRDefault="00000000" w:rsidRPr="00000000" w14:paraId="0000012E">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part of the Buyer System the Supplier or any Sub-contractor will use to Process Government Data, or provide the Services; and</w:t>
            </w:r>
          </w:p>
          <w:p w:rsidR="00000000" w:rsidDel="00000000" w:rsidP="00000000" w:rsidRDefault="00000000" w:rsidRPr="00000000" w14:paraId="0000012F">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associated information management system, including all relevant:</w:t>
            </w:r>
          </w:p>
          <w:p w:rsidR="00000000" w:rsidDel="00000000" w:rsidP="00000000" w:rsidRDefault="00000000" w:rsidRPr="00000000" w14:paraId="00000130">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organisational structure diagrams,</w:t>
            </w:r>
          </w:p>
          <w:p w:rsidR="00000000" w:rsidDel="00000000" w:rsidP="00000000" w:rsidRDefault="00000000" w:rsidRPr="00000000" w14:paraId="00000131">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controls,</w:t>
            </w:r>
          </w:p>
          <w:p w:rsidR="00000000" w:rsidDel="00000000" w:rsidP="00000000" w:rsidRDefault="00000000" w:rsidRPr="00000000" w14:paraId="00000132">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policies,</w:t>
            </w:r>
          </w:p>
          <w:p w:rsidR="00000000" w:rsidDel="00000000" w:rsidP="00000000" w:rsidRDefault="00000000" w:rsidRPr="00000000" w14:paraId="00000133">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practices,</w:t>
            </w:r>
          </w:p>
          <w:p w:rsidR="00000000" w:rsidDel="00000000" w:rsidP="00000000" w:rsidRDefault="00000000" w:rsidRPr="00000000" w14:paraId="00000134">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procedures,</w:t>
            </w:r>
          </w:p>
          <w:p w:rsidR="00000000" w:rsidDel="00000000" w:rsidP="00000000" w:rsidRDefault="00000000" w:rsidRPr="00000000" w14:paraId="00000135">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processes; and </w:t>
            </w:r>
          </w:p>
          <w:p w:rsidR="00000000" w:rsidDel="00000000" w:rsidP="00000000" w:rsidRDefault="00000000" w:rsidRPr="00000000" w14:paraId="00000136">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resources,</w:t>
            </w:r>
          </w:p>
          <w:p w:rsidR="00000000" w:rsidDel="00000000" w:rsidP="00000000" w:rsidRDefault="00000000" w:rsidRPr="00000000" w14:paraId="00000137">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determined by the Supplier after consultation with the Buyer under Paragraph 11;</w:t>
            </w:r>
          </w:p>
        </w:tc>
      </w:tr>
      <w:tr>
        <w:trPr>
          <w:cantSplit w:val="0"/>
          <w:tblHeader w:val="0"/>
        </w:trPr>
        <w:tc>
          <w:tcPr/>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"Supplier Staff"</w:t>
            </w:r>
          </w:p>
        </w:tc>
        <w:tc>
          <w:tcPr/>
          <w:p w:rsidR="00000000" w:rsidDel="00000000" w:rsidP="00000000" w:rsidRDefault="00000000" w:rsidRPr="00000000" w14:paraId="00000139">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 the purposes of this Schedule only, any individual engaged, directly or indirectly, or employed by the Supplier or any Sub-contractor (as that term is defined for the purposes of this Schedule) in the management or performance of the Supplier’s obligations under the Contract, and this definition shall apply to this Schedule  in place of the definition of Supplier Staff in Joint Schedule 1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(Definitions)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tc>
      </w:tr>
      <w:tr>
        <w:trPr>
          <w:cantSplit w:val="0"/>
          <w:tblHeader w:val="0"/>
        </w:trPr>
        <w:tc>
          <w:tcPr/>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"Support Location"</w:t>
            </w:r>
          </w:p>
        </w:tc>
        <w:tc>
          <w:tcPr/>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place or facility where or from which individuals may access or Handle the Code or the Government Data;</w:t>
            </w:r>
          </w:p>
        </w:tc>
      </w:tr>
      <w:tr>
        <w:trPr>
          <w:cantSplit w:val="0"/>
          <w:tblHeader w:val="0"/>
        </w:trPr>
        <w:tc>
          <w:tcPr/>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"Support Register"</w:t>
            </w:r>
          </w:p>
        </w:tc>
        <w:tc>
          <w:tcPr/>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register of all hardware and software used to provide the Services produced and maintained in accordance with Paragraph 5 of Appendix 1;</w:t>
            </w:r>
          </w:p>
        </w:tc>
      </w:tr>
      <w:tr>
        <w:trPr>
          <w:cantSplit w:val="0"/>
          <w:tblHeader w:val="0"/>
        </w:trPr>
        <w:tc>
          <w:tcPr/>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"Third-party Software Module"</w:t>
            </w:r>
          </w:p>
        </w:tc>
        <w:tc>
          <w:tcPr/>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module, library or framework that:</w:t>
            </w:r>
          </w:p>
          <w:p w:rsidR="00000000" w:rsidDel="00000000" w:rsidP="00000000" w:rsidRDefault="00000000" w:rsidRPr="00000000" w14:paraId="00000140">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 not produced by the Supplier or a Sub-contractor as part of the Development Activity; and</w:t>
            </w:r>
          </w:p>
          <w:p w:rsidR="00000000" w:rsidDel="00000000" w:rsidP="00000000" w:rsidRDefault="00000000" w:rsidRPr="00000000" w14:paraId="00000141">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either:</w:t>
            </w:r>
          </w:p>
          <w:p w:rsidR="00000000" w:rsidDel="00000000" w:rsidP="00000000" w:rsidRDefault="00000000" w:rsidRPr="00000000" w14:paraId="00000142">
            <w:pPr>
              <w:keepNext w:val="0"/>
              <w:keepLines w:val="0"/>
              <w:pageBreakBefore w:val="0"/>
              <w:widowControl w:val="1"/>
              <w:numPr>
                <w:ilvl w:val="3"/>
                <w:numId w:val="14"/>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forms, or will form, part of the Code; or</w:t>
            </w:r>
          </w:p>
          <w:p w:rsidR="00000000" w:rsidDel="00000000" w:rsidP="00000000" w:rsidRDefault="00000000" w:rsidRPr="00000000" w14:paraId="00000143">
            <w:pPr>
              <w:keepNext w:val="0"/>
              <w:keepLines w:val="0"/>
              <w:pageBreakBefore w:val="0"/>
              <w:widowControl w:val="1"/>
              <w:numPr>
                <w:ilvl w:val="3"/>
                <w:numId w:val="14"/>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 or will be, accessed by the Developed System during its operation;</w:t>
            </w:r>
          </w:p>
        </w:tc>
      </w:tr>
      <w:tr>
        <w:trPr>
          <w:cantSplit w:val="0"/>
          <w:tblHeader w:val="0"/>
        </w:trPr>
        <w:tc>
          <w:tcPr/>
          <w:p w:rsidR="00000000" w:rsidDel="00000000" w:rsidP="00000000" w:rsidRDefault="00000000" w:rsidRPr="00000000" w14:paraId="00000144">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9flay26831i" w:id="22"/>
            <w:bookmarkEnd w:id="22"/>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"Third-party Tool"</w:t>
            </w:r>
          </w:p>
        </w:tc>
        <w:tc>
          <w:tcPr/>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Software used by the Supplier by which the Code or the Government Data is accessed, analysed or modified or some form of operation is performed on it;</w:t>
            </w:r>
          </w:p>
        </w:tc>
      </w:tr>
      <w:tr>
        <w:trPr>
          <w:cantSplit w:val="0"/>
          <w:tblHeader w:val="0"/>
        </w:trPr>
        <w:tc>
          <w:tcPr/>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"UKAS"</w:t>
            </w:r>
          </w:p>
        </w:tc>
        <w:tc>
          <w:tcPr/>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United Kingdom Accreditation Service;</w:t>
            </w:r>
          </w:p>
        </w:tc>
      </w:tr>
      <w:tr>
        <w:trPr>
          <w:cantSplit w:val="0"/>
          <w:tblHeader w:val="0"/>
        </w:trPr>
        <w:tc>
          <w:tcPr/>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"UKAS-recognised Certification Body"</w:t>
            </w:r>
          </w:p>
        </w:tc>
        <w:tc>
          <w:tcPr/>
          <w:p w:rsidR="00000000" w:rsidDel="00000000" w:rsidP="00000000" w:rsidRDefault="00000000" w:rsidRPr="00000000" w14:paraId="00000149">
            <w:pPr>
              <w:keepNext w:val="0"/>
              <w:keepLines w:val="0"/>
              <w:pageBreakBefore w:val="0"/>
              <w:widowControl w:val="1"/>
              <w:numPr>
                <w:ilvl w:val="2"/>
                <w:numId w:val="22"/>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 organisation accredited by UKAS to provide certification of ISO/IEC27001:2013 and/or ISO/IEC27001:2022; or</w:t>
            </w:r>
          </w:p>
          <w:p w:rsidR="00000000" w:rsidDel="00000000" w:rsidP="00000000" w:rsidRDefault="00000000" w:rsidRPr="00000000" w14:paraId="0000014A">
            <w:pPr>
              <w:keepNext w:val="0"/>
              <w:keepLines w:val="0"/>
              <w:pageBreakBefore w:val="0"/>
              <w:widowControl w:val="1"/>
              <w:numPr>
                <w:ilvl w:val="2"/>
                <w:numId w:val="22"/>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 organisation accredited to provide certification of ISO/IEC27001:2013 and/or ISO/IEC27001:2022 by a body with the equivalent functions as UKAS in a state with which the UK has a mutual recognition agreement recognising the technical equivalence of accredited conformity assessment; and</w:t>
            </w:r>
          </w:p>
        </w:tc>
      </w:tr>
      <w:tr>
        <w:trPr>
          <w:cantSplit w:val="0"/>
          <w:tblHeader w:val="0"/>
        </w:trPr>
        <w:tc>
          <w:tcPr/>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"Wider Information Management System"</w:t>
            </w:r>
          </w:p>
        </w:tc>
        <w:tc>
          <w:tcPr/>
          <w:p w:rsidR="00000000" w:rsidDel="00000000" w:rsidP="00000000" w:rsidRDefault="00000000" w:rsidRPr="00000000" w14:paraId="0000014C">
            <w:pPr>
              <w:keepNext w:val="1"/>
              <w:keepLines w:val="0"/>
              <w:pageBreakBefore w:val="0"/>
              <w:widowControl w:val="1"/>
              <w:numPr>
                <w:ilvl w:val="2"/>
                <w:numId w:val="15"/>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w:t>
            </w:r>
          </w:p>
          <w:p w:rsidR="00000000" w:rsidDel="00000000" w:rsidP="00000000" w:rsidRDefault="00000000" w:rsidRPr="00000000" w14:paraId="0000014D">
            <w:pPr>
              <w:keepNext w:val="0"/>
              <w:keepLines w:val="0"/>
              <w:pageBreakBefore w:val="0"/>
              <w:widowControl w:val="1"/>
              <w:numPr>
                <w:ilvl w:val="3"/>
                <w:numId w:val="15"/>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information assets,</w:t>
            </w:r>
          </w:p>
          <w:p w:rsidR="00000000" w:rsidDel="00000000" w:rsidP="00000000" w:rsidRDefault="00000000" w:rsidRPr="00000000" w14:paraId="0000014E">
            <w:pPr>
              <w:keepNext w:val="0"/>
              <w:keepLines w:val="0"/>
              <w:pageBreakBefore w:val="0"/>
              <w:widowControl w:val="1"/>
              <w:numPr>
                <w:ilvl w:val="3"/>
                <w:numId w:val="15"/>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systems,</w:t>
            </w:r>
          </w:p>
          <w:p w:rsidR="00000000" w:rsidDel="00000000" w:rsidP="00000000" w:rsidRDefault="00000000" w:rsidRPr="00000000" w14:paraId="0000014F">
            <w:pPr>
              <w:keepNext w:val="0"/>
              <w:keepLines w:val="0"/>
              <w:pageBreakBefore w:val="0"/>
              <w:widowControl w:val="1"/>
              <w:numPr>
                <w:ilvl w:val="3"/>
                <w:numId w:val="15"/>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services; or Sites</w:t>
            </w:r>
          </w:p>
          <w:p w:rsidR="00000000" w:rsidDel="00000000" w:rsidP="00000000" w:rsidRDefault="00000000" w:rsidRPr="00000000" w14:paraId="00000150">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that the Supplier or any Sub-contractor will use to Handle, or support the Handling of, Government Data and provide, manage or support the provision of, the Services; and</w:t>
            </w:r>
          </w:p>
          <w:p w:rsidR="00000000" w:rsidDel="00000000" w:rsidP="00000000" w:rsidRDefault="00000000" w:rsidRPr="00000000" w14:paraId="00000151">
            <w:pPr>
              <w:keepNext w:val="1"/>
              <w:keepLines w:val="0"/>
              <w:pageBreakBefore w:val="0"/>
              <w:widowControl w:val="1"/>
              <w:numPr>
                <w:ilvl w:val="2"/>
                <w:numId w:val="15"/>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associated information management system, including all relevant:</w:t>
            </w:r>
          </w:p>
          <w:p w:rsidR="00000000" w:rsidDel="00000000" w:rsidP="00000000" w:rsidRDefault="00000000" w:rsidRPr="00000000" w14:paraId="00000152">
            <w:pPr>
              <w:keepNext w:val="0"/>
              <w:keepLines w:val="0"/>
              <w:pageBreakBefore w:val="0"/>
              <w:widowControl w:val="1"/>
              <w:numPr>
                <w:ilvl w:val="3"/>
                <w:numId w:val="15"/>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organisational structure diagrams,</w:t>
            </w:r>
          </w:p>
          <w:p w:rsidR="00000000" w:rsidDel="00000000" w:rsidP="00000000" w:rsidRDefault="00000000" w:rsidRPr="00000000" w14:paraId="00000153">
            <w:pPr>
              <w:keepNext w:val="0"/>
              <w:keepLines w:val="0"/>
              <w:pageBreakBefore w:val="0"/>
              <w:widowControl w:val="1"/>
              <w:numPr>
                <w:ilvl w:val="3"/>
                <w:numId w:val="15"/>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controls,</w:t>
            </w:r>
          </w:p>
          <w:p w:rsidR="00000000" w:rsidDel="00000000" w:rsidP="00000000" w:rsidRDefault="00000000" w:rsidRPr="00000000" w14:paraId="00000154">
            <w:pPr>
              <w:keepNext w:val="0"/>
              <w:keepLines w:val="0"/>
              <w:pageBreakBefore w:val="0"/>
              <w:widowControl w:val="1"/>
              <w:numPr>
                <w:ilvl w:val="3"/>
                <w:numId w:val="15"/>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policies,</w:t>
            </w:r>
          </w:p>
          <w:p w:rsidR="00000000" w:rsidDel="00000000" w:rsidP="00000000" w:rsidRDefault="00000000" w:rsidRPr="00000000" w14:paraId="00000155">
            <w:pPr>
              <w:keepNext w:val="0"/>
              <w:keepLines w:val="0"/>
              <w:pageBreakBefore w:val="0"/>
              <w:widowControl w:val="1"/>
              <w:numPr>
                <w:ilvl w:val="3"/>
                <w:numId w:val="15"/>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practices,</w:t>
            </w:r>
          </w:p>
          <w:p w:rsidR="00000000" w:rsidDel="00000000" w:rsidP="00000000" w:rsidRDefault="00000000" w:rsidRPr="00000000" w14:paraId="00000156">
            <w:pPr>
              <w:keepNext w:val="0"/>
              <w:keepLines w:val="0"/>
              <w:pageBreakBefore w:val="0"/>
              <w:widowControl w:val="1"/>
              <w:numPr>
                <w:ilvl w:val="3"/>
                <w:numId w:val="15"/>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procedures,</w:t>
            </w:r>
          </w:p>
          <w:p w:rsidR="00000000" w:rsidDel="00000000" w:rsidP="00000000" w:rsidRDefault="00000000" w:rsidRPr="00000000" w14:paraId="00000157">
            <w:pPr>
              <w:keepNext w:val="0"/>
              <w:keepLines w:val="0"/>
              <w:pageBreakBefore w:val="0"/>
              <w:widowControl w:val="1"/>
              <w:numPr>
                <w:ilvl w:val="3"/>
                <w:numId w:val="15"/>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processes; and </w:t>
            </w:r>
          </w:p>
          <w:p w:rsidR="00000000" w:rsidDel="00000000" w:rsidP="00000000" w:rsidRDefault="00000000" w:rsidRPr="00000000" w14:paraId="00000158">
            <w:pPr>
              <w:keepNext w:val="0"/>
              <w:keepLines w:val="0"/>
              <w:pageBreakBefore w:val="0"/>
              <w:widowControl w:val="1"/>
              <w:numPr>
                <w:ilvl w:val="3"/>
                <w:numId w:val="15"/>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resources.</w:t>
            </w:r>
          </w:p>
        </w:tc>
      </w:tr>
    </w:tbl>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A">
      <w:pPr>
        <w:pStyle w:val="Heading1"/>
        <w:numPr>
          <w:ilvl w:val="0"/>
          <w:numId w:val="2"/>
        </w:numPr>
        <w:spacing w:after="120" w:before="120" w:lineRule="auto"/>
        <w:ind w:left="720" w:hanging="720"/>
        <w:rPr/>
      </w:pPr>
      <w:bookmarkStart w:colFirst="0" w:colLast="0" w:name="_heading=h.eivsr8yql3hr" w:id="23"/>
      <w:bookmarkEnd w:id="23"/>
      <w:r w:rsidDel="00000000" w:rsidR="00000000" w:rsidRPr="00000000">
        <w:rPr>
          <w:rtl w:val="0"/>
        </w:rPr>
        <w:t xml:space="preserve">Introduction</w:t>
      </w:r>
    </w:p>
    <w:p w:rsidR="00000000" w:rsidDel="00000000" w:rsidP="00000000" w:rsidRDefault="00000000" w:rsidRPr="00000000" w14:paraId="0000015B">
      <w:pPr>
        <w:keepNext w:val="1"/>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Schedule sets out:</w:t>
      </w:r>
    </w:p>
    <w:p w:rsidR="00000000" w:rsidDel="00000000" w:rsidP="00000000" w:rsidRDefault="00000000" w:rsidRPr="00000000" w14:paraId="0000015C">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the Buyer’s decision on where the Supplier may:</w:t>
      </w:r>
    </w:p>
    <w:p w:rsidR="00000000" w:rsidDel="00000000" w:rsidP="00000000" w:rsidRDefault="00000000" w:rsidRPr="00000000" w14:paraId="0000015D">
      <w:pPr>
        <w:pStyle w:val="Heading3"/>
        <w:numPr>
          <w:ilvl w:val="2"/>
          <w:numId w:val="2"/>
        </w:numPr>
        <w:ind w:left="1440" w:hanging="720"/>
        <w:rPr>
          <w:sz w:val="24"/>
          <w:szCs w:val="24"/>
        </w:rPr>
      </w:pPr>
      <w:r w:rsidDel="00000000" w:rsidR="00000000" w:rsidRPr="00000000">
        <w:rPr>
          <w:sz w:val="24"/>
          <w:szCs w:val="24"/>
          <w:rtl w:val="0"/>
        </w:rPr>
        <w:t xml:space="preserve">store, access or Handle Government Data;</w:t>
      </w:r>
    </w:p>
    <w:p w:rsidR="00000000" w:rsidDel="00000000" w:rsidP="00000000" w:rsidRDefault="00000000" w:rsidRPr="00000000" w14:paraId="0000015E">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undertake the Development Activity;</w:t>
      </w:r>
    </w:p>
    <w:p w:rsidR="00000000" w:rsidDel="00000000" w:rsidP="00000000" w:rsidRDefault="00000000" w:rsidRPr="00000000" w14:paraId="0000015F">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host the Development Environment; and</w:t>
      </w:r>
    </w:p>
    <w:p w:rsidR="00000000" w:rsidDel="00000000" w:rsidP="00000000" w:rsidRDefault="00000000" w:rsidRPr="00000000" w14:paraId="00000160">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locate Support Locations,</w:t>
      </w:r>
    </w:p>
    <w:p w:rsidR="00000000" w:rsidDel="00000000" w:rsidP="00000000" w:rsidRDefault="00000000" w:rsidRPr="00000000" w14:paraId="00000161">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Paragraph 1);</w:t>
      </w:r>
    </w:p>
    <w:p w:rsidR="00000000" w:rsidDel="00000000" w:rsidP="00000000" w:rsidRDefault="00000000" w:rsidRPr="00000000" w14:paraId="00000162">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the principles of security that apply to the Contract (in Paragraph 4);</w:t>
      </w:r>
    </w:p>
    <w:p w:rsidR="00000000" w:rsidDel="00000000" w:rsidP="00000000" w:rsidRDefault="00000000" w:rsidRPr="00000000" w14:paraId="00000163">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the requirement to obtain a Risk Management Approval Statement (in Paragraphs 6 and 16);</w:t>
      </w:r>
    </w:p>
    <w:p w:rsidR="00000000" w:rsidDel="00000000" w:rsidP="00000000" w:rsidRDefault="00000000" w:rsidRPr="00000000" w14:paraId="00000164">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the annual confirmation of compliance to be provided by the Supplier (in Paragraph 7);</w:t>
      </w:r>
    </w:p>
    <w:p w:rsidR="00000000" w:rsidDel="00000000" w:rsidP="00000000" w:rsidRDefault="00000000" w:rsidRPr="00000000" w14:paraId="00000165">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the governance arrangements for security matters, where these are not otherwise specified in Call-Off Schedule 15 (Call-Off Contract Management) (in Paragraph 8);</w:t>
      </w:r>
    </w:p>
    <w:p w:rsidR="00000000" w:rsidDel="00000000" w:rsidP="00000000" w:rsidRDefault="00000000" w:rsidRPr="00000000" w14:paraId="00000166">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access to staff (in Paragraph 9);</w:t>
      </w:r>
    </w:p>
    <w:p w:rsidR="00000000" w:rsidDel="00000000" w:rsidP="00000000" w:rsidRDefault="00000000" w:rsidRPr="00000000" w14:paraId="00000167">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obligations in relation to Sub-contractors (in Paragraph 10);</w:t>
      </w:r>
    </w:p>
    <w:p w:rsidR="00000000" w:rsidDel="00000000" w:rsidP="00000000" w:rsidRDefault="00000000" w:rsidRPr="00000000" w14:paraId="00000168">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the responsibility of the Supplier to determine the Supplier Information Management System (in Paragraph 11);</w:t>
      </w:r>
    </w:p>
    <w:p w:rsidR="00000000" w:rsidDel="00000000" w:rsidP="00000000" w:rsidRDefault="00000000" w:rsidRPr="00000000" w14:paraId="00000169">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the Certification Requirements (in Paragraph 13);</w:t>
      </w:r>
    </w:p>
    <w:p w:rsidR="00000000" w:rsidDel="00000000" w:rsidP="00000000" w:rsidRDefault="00000000" w:rsidRPr="00000000" w14:paraId="0000016A">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the development, monitoring and updating of the Security Management Plan by the Supplier (in Paragraphs 14, 15 and 16);</w:t>
      </w:r>
    </w:p>
    <w:p w:rsidR="00000000" w:rsidDel="00000000" w:rsidP="00000000" w:rsidRDefault="00000000" w:rsidRPr="00000000" w14:paraId="0000016B">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the granting by the Buyer of approval for the Supplier to commence:</w:t>
      </w:r>
    </w:p>
    <w:p w:rsidR="00000000" w:rsidDel="00000000" w:rsidP="00000000" w:rsidRDefault="00000000" w:rsidRPr="00000000" w14:paraId="0000016C">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provision of the Services; and/or</w:t>
      </w:r>
    </w:p>
    <w:p w:rsidR="00000000" w:rsidDel="00000000" w:rsidP="00000000" w:rsidRDefault="00000000" w:rsidRPr="00000000" w14:paraId="0000016D">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Handling Government Data (in Paragraph 16);</w:t>
      </w:r>
    </w:p>
    <w:p w:rsidR="00000000" w:rsidDel="00000000" w:rsidP="00000000" w:rsidRDefault="00000000" w:rsidRPr="00000000" w14:paraId="0000016E">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the management of changes to the Supplier Information Management System (in Paragraph 17); and </w:t>
      </w:r>
    </w:p>
    <w:p w:rsidR="00000000" w:rsidDel="00000000" w:rsidP="00000000" w:rsidRDefault="00000000" w:rsidRPr="00000000" w14:paraId="0000016F">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the Buyer’s additional remedies for breach of this Schedule, including:</w:t>
      </w:r>
    </w:p>
    <w:p w:rsidR="00000000" w:rsidDel="00000000" w:rsidP="00000000" w:rsidRDefault="00000000" w:rsidRPr="00000000" w14:paraId="00000170">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requirement for Remediation Action Plans (in Paragraph 18);</w:t>
      </w:r>
    </w:p>
    <w:p w:rsidR="00000000" w:rsidDel="00000000" w:rsidP="00000000" w:rsidRDefault="00000000" w:rsidRPr="00000000" w14:paraId="00000171">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appointment of Independent Security Advisers (in Paragraph 19); and</w:t>
      </w:r>
    </w:p>
    <w:p w:rsidR="00000000" w:rsidDel="00000000" w:rsidP="00000000" w:rsidRDefault="00000000" w:rsidRPr="00000000" w14:paraId="00000172">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withholding of Charges by the Buyer (in Paragraph 20).</w:t>
      </w:r>
    </w:p>
    <w:p w:rsidR="00000000" w:rsidDel="00000000" w:rsidP="00000000" w:rsidRDefault="00000000" w:rsidRPr="00000000" w14:paraId="00000173">
      <w:pPr>
        <w:pStyle w:val="Heading1"/>
        <w:numPr>
          <w:ilvl w:val="0"/>
          <w:numId w:val="2"/>
        </w:numPr>
        <w:spacing w:after="120" w:before="120" w:lineRule="auto"/>
        <w:ind w:left="720" w:hanging="720"/>
        <w:rPr/>
      </w:pPr>
      <w:bookmarkStart w:colFirst="0" w:colLast="0" w:name="_heading=h.2rna8k5fd93x" w:id="24"/>
      <w:bookmarkEnd w:id="24"/>
      <w:r w:rsidDel="00000000" w:rsidR="00000000" w:rsidRPr="00000000">
        <w:rPr>
          <w:rtl w:val="0"/>
        </w:rPr>
        <w:t xml:space="preserve">Principles of security</w:t>
      </w:r>
    </w:p>
    <w:p w:rsidR="00000000" w:rsidDel="00000000" w:rsidP="00000000" w:rsidRDefault="00000000" w:rsidRPr="00000000" w14:paraId="00000174">
      <w:pPr>
        <w:pStyle w:val="Heading2"/>
        <w:keepNext w:val="1"/>
        <w:numPr>
          <w:ilvl w:val="1"/>
          <w:numId w:val="2"/>
        </w:numPr>
        <w:spacing w:after="120" w:before="120" w:lineRule="auto"/>
        <w:ind w:left="720" w:hanging="720"/>
        <w:rPr>
          <w:sz w:val="24"/>
          <w:szCs w:val="24"/>
        </w:rPr>
      </w:pPr>
      <w:bookmarkStart w:colFirst="0" w:colLast="0" w:name="_heading=h.in8f4xkp38jm" w:id="25"/>
      <w:bookmarkEnd w:id="25"/>
      <w:r w:rsidDel="00000000" w:rsidR="00000000" w:rsidRPr="00000000">
        <w:rPr>
          <w:sz w:val="24"/>
          <w:szCs w:val="24"/>
          <w:rtl w:val="0"/>
        </w:rPr>
        <w:t xml:space="preserve">The Supplier acknowledges that the Buyer places great emphasis on the confidentiality, integrity and availability of the Government Data and, consequently, on the security of:</w:t>
      </w:r>
    </w:p>
    <w:p w:rsidR="00000000" w:rsidDel="00000000" w:rsidP="00000000" w:rsidRDefault="00000000" w:rsidRPr="00000000" w14:paraId="00000175">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Buyer System;</w:t>
      </w:r>
    </w:p>
    <w:p w:rsidR="00000000" w:rsidDel="00000000" w:rsidP="00000000" w:rsidRDefault="00000000" w:rsidRPr="00000000" w14:paraId="00000176">
      <w:pPr>
        <w:pStyle w:val="Heading3"/>
        <w:numPr>
          <w:ilvl w:val="2"/>
          <w:numId w:val="2"/>
        </w:numPr>
        <w:spacing w:after="120" w:before="120" w:lineRule="auto"/>
        <w:ind w:left="1440" w:hanging="720"/>
        <w:rPr>
          <w:sz w:val="24"/>
          <w:szCs w:val="24"/>
        </w:rPr>
      </w:pPr>
      <w:bookmarkStart w:colFirst="0" w:colLast="0" w:name="_heading=h.oh8mtoe7251m" w:id="26"/>
      <w:bookmarkEnd w:id="26"/>
      <w:r w:rsidDel="00000000" w:rsidR="00000000" w:rsidRPr="00000000">
        <w:rPr>
          <w:sz w:val="24"/>
          <w:szCs w:val="24"/>
          <w:rtl w:val="0"/>
        </w:rPr>
        <w:t xml:space="preserve">the Supplier System;</w:t>
      </w:r>
    </w:p>
    <w:p w:rsidR="00000000" w:rsidDel="00000000" w:rsidP="00000000" w:rsidRDefault="00000000" w:rsidRPr="00000000" w14:paraId="00000177">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Sites;</w:t>
      </w:r>
    </w:p>
    <w:p w:rsidR="00000000" w:rsidDel="00000000" w:rsidP="00000000" w:rsidRDefault="00000000" w:rsidRPr="00000000" w14:paraId="00000178">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Services; and</w:t>
      </w:r>
    </w:p>
    <w:p w:rsidR="00000000" w:rsidDel="00000000" w:rsidP="00000000" w:rsidRDefault="00000000" w:rsidRPr="00000000" w14:paraId="00000179">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Supplier Information Management System.</w:t>
      </w:r>
    </w:p>
    <w:p w:rsidR="00000000" w:rsidDel="00000000" w:rsidP="00000000" w:rsidRDefault="00000000" w:rsidRPr="00000000" w14:paraId="0000017A">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The Parties shall share information and act in a co-operative manner at all times to further the principles of security in Paragraph 4.1.</w:t>
      </w:r>
    </w:p>
    <w:p w:rsidR="00000000" w:rsidDel="00000000" w:rsidP="00000000" w:rsidRDefault="00000000" w:rsidRPr="00000000" w14:paraId="0000017B">
      <w:pPr>
        <w:pStyle w:val="Heading2"/>
        <w:keepNext w:val="1"/>
        <w:numPr>
          <w:ilvl w:val="1"/>
          <w:numId w:val="2"/>
        </w:numPr>
        <w:spacing w:after="120" w:before="120" w:lineRule="auto"/>
        <w:ind w:left="720" w:hanging="720"/>
        <w:rPr>
          <w:sz w:val="24"/>
          <w:szCs w:val="24"/>
        </w:rPr>
      </w:pPr>
      <w:bookmarkStart w:colFirst="0" w:colLast="0" w:name="_heading=h.1rarjo15hytl" w:id="27"/>
      <w:bookmarkEnd w:id="27"/>
      <w:r w:rsidDel="00000000" w:rsidR="00000000" w:rsidRPr="00000000">
        <w:rPr>
          <w:sz w:val="24"/>
          <w:szCs w:val="24"/>
          <w:rtl w:val="0"/>
        </w:rPr>
        <w:t xml:space="preserve">Notwithstanding any approvals or agreements provided by the Buyer under this Schedule, the Supplier remains responsible for:</w:t>
      </w:r>
    </w:p>
    <w:p w:rsidR="00000000" w:rsidDel="00000000" w:rsidP="00000000" w:rsidRDefault="00000000" w:rsidRPr="00000000" w14:paraId="0000017C">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the security, confidentiality, integrity and availability of the Government Data when that Government Data is under the control of the Supplier or any of its Sub-contractors; and</w:t>
      </w:r>
    </w:p>
    <w:p w:rsidR="00000000" w:rsidDel="00000000" w:rsidP="00000000" w:rsidRDefault="00000000" w:rsidRPr="00000000" w14:paraId="0000017D">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security of the Supplier Information Management System.</w:t>
      </w:r>
    </w:p>
    <w:p w:rsidR="00000000" w:rsidDel="00000000" w:rsidP="00000000" w:rsidRDefault="00000000" w:rsidRPr="00000000" w14:paraId="0000017E">
      <w:pPr>
        <w:pStyle w:val="Heading1"/>
        <w:numPr>
          <w:ilvl w:val="0"/>
          <w:numId w:val="2"/>
        </w:numPr>
        <w:spacing w:after="120" w:before="120" w:lineRule="auto"/>
        <w:ind w:left="720" w:hanging="720"/>
        <w:rPr/>
      </w:pPr>
      <w:bookmarkStart w:colFirst="0" w:colLast="0" w:name="_heading=h.mmnlo5jevkek" w:id="28"/>
      <w:bookmarkEnd w:id="28"/>
      <w:r w:rsidDel="00000000" w:rsidR="00000000" w:rsidRPr="00000000">
        <w:rPr>
          <w:rtl w:val="0"/>
        </w:rPr>
        <w:t xml:space="preserve">Security requirements</w:t>
      </w:r>
    </w:p>
    <w:p w:rsidR="00000000" w:rsidDel="00000000" w:rsidP="00000000" w:rsidRDefault="00000000" w:rsidRPr="00000000" w14:paraId="0000017F">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The Supplier must, and must ensure that Sub-contractors design, build and manage the Supplier Information Management System in accordance with the Security Management Plan.</w:t>
      </w:r>
    </w:p>
    <w:p w:rsidR="00000000" w:rsidDel="00000000" w:rsidP="00000000" w:rsidRDefault="00000000" w:rsidRPr="00000000" w14:paraId="00000180">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The Supplier must, unless otherwise agreed in writing with the Buyer:</w:t>
      </w:r>
    </w:p>
    <w:p w:rsidR="00000000" w:rsidDel="00000000" w:rsidP="00000000" w:rsidRDefault="00000000" w:rsidRPr="00000000" w14:paraId="00000181">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comply with the security requirements in Appendix 1;</w:t>
      </w:r>
    </w:p>
    <w:p w:rsidR="00000000" w:rsidDel="00000000" w:rsidP="00000000" w:rsidRDefault="00000000" w:rsidRPr="00000000" w14:paraId="00000182">
      <w:pPr>
        <w:pStyle w:val="Heading3"/>
        <w:numPr>
          <w:ilvl w:val="2"/>
          <w:numId w:val="2"/>
        </w:numPr>
        <w:spacing w:after="120" w:before="120" w:lineRule="auto"/>
        <w:ind w:left="1440" w:hanging="720"/>
        <w:rPr>
          <w:sz w:val="24"/>
          <w:szCs w:val="24"/>
        </w:rPr>
      </w:pPr>
      <w:bookmarkStart w:colFirst="0" w:colLast="0" w:name="_heading=h.5jmpp81j40le" w:id="29"/>
      <w:bookmarkEnd w:id="29"/>
      <w:r w:rsidDel="00000000" w:rsidR="00000000" w:rsidRPr="00000000">
        <w:rPr>
          <w:sz w:val="24"/>
          <w:szCs w:val="24"/>
          <w:rtl w:val="0"/>
        </w:rPr>
        <w:t xml:space="preserve">where the relevant option in Paragraph 1 is selected, comply with the security requirements for Development Activity in Appendix 2;</w:t>
      </w:r>
    </w:p>
    <w:p w:rsidR="00000000" w:rsidDel="00000000" w:rsidP="00000000" w:rsidRDefault="00000000" w:rsidRPr="00000000" w14:paraId="00000183">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where the relevant option in Paragraph 1 is selected, comply with the Buyer Security Policies; and</w:t>
      </w:r>
    </w:p>
    <w:p w:rsidR="00000000" w:rsidDel="00000000" w:rsidP="00000000" w:rsidRDefault="00000000" w:rsidRPr="00000000" w14:paraId="00000184">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ensure that Sub-contractors comply with:</w:t>
      </w:r>
    </w:p>
    <w:p w:rsidR="00000000" w:rsidDel="00000000" w:rsidP="00000000" w:rsidRDefault="00000000" w:rsidRPr="00000000" w14:paraId="00000185">
      <w:pPr>
        <w:pStyle w:val="Heading4"/>
        <w:numPr>
          <w:ilvl w:val="3"/>
          <w:numId w:val="2"/>
        </w:numPr>
        <w:ind w:left="2160" w:hanging="720"/>
        <w:rPr>
          <w:sz w:val="24"/>
          <w:szCs w:val="24"/>
        </w:rPr>
      </w:pPr>
      <w:r w:rsidDel="00000000" w:rsidR="00000000" w:rsidRPr="00000000">
        <w:rPr>
          <w:sz w:val="24"/>
          <w:szCs w:val="24"/>
          <w:rtl w:val="0"/>
        </w:rPr>
        <w:t xml:space="preserve">all security requirements in Appendix 1;</w:t>
      </w:r>
    </w:p>
    <w:p w:rsidR="00000000" w:rsidDel="00000000" w:rsidP="00000000" w:rsidRDefault="00000000" w:rsidRPr="00000000" w14:paraId="00000186">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where the relevant option in Paragraph 1 is selected, all security requirements for Development Activity in Appendix 2; and</w:t>
      </w:r>
    </w:p>
    <w:p w:rsidR="00000000" w:rsidDel="00000000" w:rsidP="00000000" w:rsidRDefault="00000000" w:rsidRPr="00000000" w14:paraId="00000187">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where the relevant option in Paragraph 1 is selected, all Buyer Security Policies,</w:t>
      </w:r>
    </w:p>
    <w:p w:rsidR="00000000" w:rsidDel="00000000" w:rsidP="00000000" w:rsidRDefault="00000000" w:rsidRPr="00000000" w14:paraId="00000188">
      <w:pPr>
        <w:pStyle w:val="Heading4"/>
        <w:keepNext w:val="1"/>
        <w:spacing w:after="120" w:before="120" w:lineRule="auto"/>
        <w:ind w:left="1440" w:firstLine="1440"/>
        <w:rPr>
          <w:sz w:val="24"/>
          <w:szCs w:val="24"/>
        </w:rPr>
      </w:pPr>
      <w:r w:rsidDel="00000000" w:rsidR="00000000" w:rsidRPr="00000000">
        <w:rPr>
          <w:sz w:val="24"/>
          <w:szCs w:val="24"/>
          <w:rtl w:val="0"/>
        </w:rPr>
        <w:t xml:space="preserve">that apply to the activities that the Sub-contractor performs under its Sub-Contract, unless:</w:t>
      </w:r>
    </w:p>
    <w:p w:rsidR="00000000" w:rsidDel="00000000" w:rsidP="00000000" w:rsidRDefault="00000000" w:rsidRPr="00000000" w14:paraId="00000189">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Paragraph 5.4 applies; or</w:t>
      </w:r>
    </w:p>
    <w:p w:rsidR="00000000" w:rsidDel="00000000" w:rsidP="00000000" w:rsidRDefault="00000000" w:rsidRPr="00000000" w14:paraId="0000018A">
      <w:pPr>
        <w:pStyle w:val="Heading4"/>
        <w:keepNext w:val="1"/>
        <w:numPr>
          <w:ilvl w:val="3"/>
          <w:numId w:val="2"/>
        </w:numPr>
        <w:spacing w:after="120" w:before="120" w:lineRule="auto"/>
        <w:ind w:left="2160" w:hanging="720"/>
        <w:rPr>
          <w:sz w:val="24"/>
          <w:szCs w:val="24"/>
        </w:rPr>
      </w:pPr>
      <w:r w:rsidDel="00000000" w:rsidR="00000000" w:rsidRPr="00000000">
        <w:rPr>
          <w:sz w:val="24"/>
          <w:szCs w:val="24"/>
          <w:rtl w:val="0"/>
        </w:rPr>
        <w:t xml:space="preserve">the table in Appendix 4 limits the security requirements in Appendix 1 or security requirements for Development Activity in Appendix 2 that apply to a Sub-contractor.</w:t>
      </w:r>
    </w:p>
    <w:p w:rsidR="00000000" w:rsidDel="00000000" w:rsidP="00000000" w:rsidRDefault="00000000" w:rsidRPr="00000000" w14:paraId="0000018B">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Where the Buyer selects the option in Paragraph 1 requiring the Supplier to comply with the Buyer Security Policies, if there is an inconsistency between the Buyer Security Policies and the requirement of this Schedule</w:t>
      </w:r>
      <w:r w:rsidDel="00000000" w:rsidR="00000000" w:rsidRPr="00000000">
        <w:rPr>
          <w:i w:val="1"/>
          <w:sz w:val="24"/>
          <w:szCs w:val="24"/>
          <w:rtl w:val="0"/>
        </w:rPr>
        <w:t xml:space="preserve"> </w:t>
      </w:r>
      <w:r w:rsidDel="00000000" w:rsidR="00000000" w:rsidRPr="00000000">
        <w:rPr>
          <w:sz w:val="24"/>
          <w:szCs w:val="24"/>
          <w:rtl w:val="0"/>
        </w:rPr>
        <w:t xml:space="preserve">then the requirements of this Schedule will prevail to the extent of that inconsistency.</w:t>
      </w:r>
    </w:p>
    <w:p w:rsidR="00000000" w:rsidDel="00000000" w:rsidP="00000000" w:rsidRDefault="00000000" w:rsidRPr="00000000" w14:paraId="0000018C">
      <w:pPr>
        <w:pStyle w:val="Heading2"/>
        <w:keepNext w:val="1"/>
        <w:numPr>
          <w:ilvl w:val="1"/>
          <w:numId w:val="2"/>
        </w:numPr>
        <w:spacing w:after="120" w:before="120" w:lineRule="auto"/>
        <w:ind w:left="720" w:hanging="720"/>
        <w:rPr>
          <w:sz w:val="24"/>
          <w:szCs w:val="24"/>
        </w:rPr>
      </w:pPr>
      <w:bookmarkStart w:colFirst="0" w:colLast="0" w:name="_heading=h.6n6atzmfll0s" w:id="30"/>
      <w:bookmarkEnd w:id="30"/>
      <w:r w:rsidDel="00000000" w:rsidR="00000000" w:rsidRPr="00000000">
        <w:rPr>
          <w:sz w:val="24"/>
          <w:szCs w:val="24"/>
          <w:rtl w:val="0"/>
        </w:rPr>
        <w:t xml:space="preserve">Where a Sub-contractor is a SMP Sub-contractor, the Supplier shall:</w:t>
      </w:r>
    </w:p>
    <w:p w:rsidR="00000000" w:rsidDel="00000000" w:rsidP="00000000" w:rsidRDefault="00000000" w:rsidRPr="00000000" w14:paraId="0000018D">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use reasonable endeavours to ensure that the SMP Sub-contractor complies with all obligations that this Schedule imposes on Sub-contractors, including the security requirements in Appendix 1;</w:t>
      </w:r>
    </w:p>
    <w:p w:rsidR="00000000" w:rsidDel="00000000" w:rsidP="00000000" w:rsidRDefault="00000000" w:rsidRPr="00000000" w14:paraId="0000018E">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document the differences between those obligations and the obligations that the SMP Sub-contractor is prepared to accept in sufficient detail to allow the Buyer to form an informed view of the risks concerned;</w:t>
      </w:r>
    </w:p>
    <w:p w:rsidR="00000000" w:rsidDel="00000000" w:rsidP="00000000" w:rsidRDefault="00000000" w:rsidRPr="00000000" w14:paraId="0000018F">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take such steps as the Buyer may require to mitigate those risks.</w:t>
      </w:r>
    </w:p>
    <w:p w:rsidR="00000000" w:rsidDel="00000000" w:rsidP="00000000" w:rsidRDefault="00000000" w:rsidRPr="00000000" w14:paraId="00000190">
      <w:pPr>
        <w:pStyle w:val="Heading1"/>
        <w:numPr>
          <w:ilvl w:val="0"/>
          <w:numId w:val="2"/>
        </w:numPr>
        <w:spacing w:after="120" w:before="120" w:lineRule="auto"/>
        <w:ind w:left="720" w:hanging="720"/>
        <w:rPr/>
      </w:pPr>
      <w:bookmarkStart w:colFirst="0" w:colLast="0" w:name="_heading=h.rboyq7paj8oz" w:id="31"/>
      <w:bookmarkEnd w:id="31"/>
      <w:r w:rsidDel="00000000" w:rsidR="00000000" w:rsidRPr="00000000">
        <w:rPr>
          <w:rtl w:val="0"/>
        </w:rPr>
        <w:t xml:space="preserve">Buyer to proceed</w:t>
      </w:r>
    </w:p>
    <w:p w:rsidR="00000000" w:rsidDel="00000000" w:rsidP="00000000" w:rsidRDefault="00000000" w:rsidRPr="00000000" w14:paraId="00000191">
      <w:pPr>
        <w:keepNext w:val="1"/>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Notwithstanding anything in the Contract, the Supplier may not:</w:t>
      </w:r>
    </w:p>
    <w:p w:rsidR="00000000" w:rsidDel="00000000" w:rsidP="00000000" w:rsidRDefault="00000000" w:rsidRPr="00000000" w14:paraId="00000192">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commence the provision of any Services; or</w:t>
      </w:r>
    </w:p>
    <w:p w:rsidR="00000000" w:rsidDel="00000000" w:rsidP="00000000" w:rsidRDefault="00000000" w:rsidRPr="00000000" w14:paraId="00000193">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Handle any Government Data using the Supplier Information Management System,</w:t>
      </w:r>
    </w:p>
    <w:p w:rsidR="00000000" w:rsidDel="00000000" w:rsidP="00000000" w:rsidRDefault="00000000" w:rsidRPr="00000000" w14:paraId="00000194">
      <w:pPr>
        <w:pStyle w:val="Heading3"/>
        <w:spacing w:after="120" w:before="120" w:lineRule="auto"/>
        <w:ind w:left="720" w:firstLine="720"/>
        <w:rPr>
          <w:sz w:val="24"/>
          <w:szCs w:val="24"/>
        </w:rPr>
      </w:pPr>
      <w:r w:rsidDel="00000000" w:rsidR="00000000" w:rsidRPr="00000000">
        <w:rPr>
          <w:sz w:val="24"/>
          <w:szCs w:val="24"/>
          <w:rtl w:val="0"/>
        </w:rPr>
        <w:t xml:space="preserve">unless </w:t>
      </w:r>
    </w:p>
    <w:p w:rsidR="00000000" w:rsidDel="00000000" w:rsidP="00000000" w:rsidRDefault="00000000" w:rsidRPr="00000000" w14:paraId="00000195">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the Supplier has, and ensured that Sub-contractors have, obtained the Relevant Certifications under Paragraph 13;</w:t>
      </w:r>
    </w:p>
    <w:p w:rsidR="00000000" w:rsidDel="00000000" w:rsidP="00000000" w:rsidRDefault="00000000" w:rsidRPr="00000000" w14:paraId="00000196">
      <w:pPr>
        <w:pStyle w:val="Heading2"/>
        <w:numPr>
          <w:ilvl w:val="1"/>
          <w:numId w:val="2"/>
        </w:numPr>
        <w:spacing w:after="120" w:before="120" w:lineRule="auto"/>
        <w:ind w:left="720" w:hanging="720"/>
        <w:rPr>
          <w:sz w:val="24"/>
          <w:szCs w:val="24"/>
        </w:rPr>
      </w:pPr>
      <w:bookmarkStart w:colFirst="0" w:colLast="0" w:name="_heading=h.ft4jj32irm5" w:id="32"/>
      <w:bookmarkEnd w:id="32"/>
      <w:r w:rsidDel="00000000" w:rsidR="00000000" w:rsidRPr="00000000">
        <w:rPr>
          <w:sz w:val="24"/>
          <w:szCs w:val="24"/>
          <w:rtl w:val="0"/>
        </w:rPr>
        <w:t xml:space="preserve">the Supplier has completed an IT Health Check in accordance with Paragraph 12 of Appendix 1; and</w:t>
      </w:r>
    </w:p>
    <w:p w:rsidR="00000000" w:rsidDel="00000000" w:rsidP="00000000" w:rsidRDefault="00000000" w:rsidRPr="00000000" w14:paraId="00000197">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the Buyer has issued a Risk Management Approval Statement under Paragraph 16.2.</w:t>
      </w:r>
    </w:p>
    <w:p w:rsidR="00000000" w:rsidDel="00000000" w:rsidP="00000000" w:rsidRDefault="00000000" w:rsidRPr="00000000" w14:paraId="00000198">
      <w:pPr>
        <w:pStyle w:val="Heading1"/>
        <w:numPr>
          <w:ilvl w:val="0"/>
          <w:numId w:val="2"/>
        </w:numPr>
        <w:spacing w:after="120" w:before="120" w:lineRule="auto"/>
        <w:ind w:left="720" w:hanging="720"/>
        <w:rPr/>
      </w:pPr>
      <w:bookmarkStart w:colFirst="0" w:colLast="0" w:name="_heading=h.d39gp12ymqav" w:id="33"/>
      <w:bookmarkEnd w:id="33"/>
      <w:r w:rsidDel="00000000" w:rsidR="00000000" w:rsidRPr="00000000">
        <w:rPr>
          <w:rtl w:val="0"/>
        </w:rPr>
        <w:t xml:space="preserve">Supplier confirmation</w:t>
      </w:r>
    </w:p>
    <w:p w:rsidR="00000000" w:rsidDel="00000000" w:rsidP="00000000" w:rsidRDefault="00000000" w:rsidRPr="00000000" w14:paraId="00000199">
      <w:pPr>
        <w:pStyle w:val="Heading2"/>
        <w:keepNext w:val="1"/>
        <w:numPr>
          <w:ilvl w:val="1"/>
          <w:numId w:val="2"/>
        </w:numPr>
        <w:spacing w:after="120" w:before="120" w:lineRule="auto"/>
        <w:ind w:left="720" w:hanging="720"/>
        <w:rPr>
          <w:sz w:val="24"/>
          <w:szCs w:val="24"/>
        </w:rPr>
      </w:pPr>
      <w:bookmarkStart w:colFirst="0" w:colLast="0" w:name="_heading=h.gpchzt72rvr" w:id="34"/>
      <w:bookmarkEnd w:id="34"/>
      <w:r w:rsidDel="00000000" w:rsidR="00000000" w:rsidRPr="00000000">
        <w:rPr>
          <w:sz w:val="24"/>
          <w:szCs w:val="24"/>
          <w:rtl w:val="0"/>
        </w:rPr>
        <w:t xml:space="preserve">The Supplier must, no later than the last day of each Contract Year, provide to the Buyer a letter from its </w:t>
      </w:r>
      <w:r w:rsidDel="00000000" w:rsidR="00000000" w:rsidRPr="00000000">
        <w:rPr>
          <w:sz w:val="24"/>
          <w:szCs w:val="24"/>
          <w:highlight w:val="yellow"/>
          <w:rtl w:val="0"/>
        </w:rPr>
        <w:t xml:space="preserve">chief executive officer</w:t>
      </w:r>
      <w:r w:rsidDel="00000000" w:rsidR="00000000" w:rsidRPr="00000000">
        <w:rPr>
          <w:sz w:val="24"/>
          <w:szCs w:val="24"/>
          <w:rtl w:val="0"/>
        </w:rPr>
        <w:t xml:space="preserve"> (or equivalent officer) confirming that, having made due and careful enquiry:</w:t>
      </w:r>
    </w:p>
    <w:p w:rsidR="00000000" w:rsidDel="00000000" w:rsidP="00000000" w:rsidRDefault="00000000" w:rsidRPr="00000000" w14:paraId="0000019A">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Supplier has in the previous year carried out all tests and has in place all procedures required in relation to security matters required by the Contract;</w:t>
      </w:r>
    </w:p>
    <w:p w:rsidR="00000000" w:rsidDel="00000000" w:rsidP="00000000" w:rsidRDefault="00000000" w:rsidRPr="00000000" w14:paraId="0000019B">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subject to Paragraph 7.2: </w:t>
      </w:r>
    </w:p>
    <w:p w:rsidR="00000000" w:rsidDel="00000000" w:rsidP="00000000" w:rsidRDefault="00000000" w:rsidRPr="00000000" w14:paraId="0000019C">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it has fully complied with all requirements of this Schedule;</w:t>
      </w:r>
      <w:r w:rsidDel="00000000" w:rsidR="00000000" w:rsidRPr="00000000">
        <w:rPr>
          <w:i w:val="1"/>
          <w:sz w:val="24"/>
          <w:szCs w:val="24"/>
          <w:rtl w:val="0"/>
        </w:rPr>
        <w:t xml:space="preserve"> </w:t>
      </w:r>
      <w:r w:rsidDel="00000000" w:rsidR="00000000" w:rsidRPr="00000000">
        <w:rPr>
          <w:sz w:val="24"/>
          <w:szCs w:val="24"/>
          <w:rtl w:val="0"/>
        </w:rPr>
        <w:t xml:space="preserve">and</w:t>
      </w:r>
    </w:p>
    <w:p w:rsidR="00000000" w:rsidDel="00000000" w:rsidP="00000000" w:rsidRDefault="00000000" w:rsidRPr="00000000" w14:paraId="0000019D">
      <w:pPr>
        <w:pStyle w:val="Heading4"/>
        <w:keepNext w:val="1"/>
        <w:numPr>
          <w:ilvl w:val="3"/>
          <w:numId w:val="2"/>
        </w:numPr>
        <w:spacing w:after="120" w:before="120" w:lineRule="auto"/>
        <w:ind w:left="2160" w:hanging="720"/>
        <w:rPr>
          <w:sz w:val="24"/>
          <w:szCs w:val="24"/>
        </w:rPr>
      </w:pPr>
      <w:r w:rsidDel="00000000" w:rsidR="00000000" w:rsidRPr="00000000">
        <w:rPr>
          <w:sz w:val="24"/>
          <w:szCs w:val="24"/>
          <w:rtl w:val="0"/>
        </w:rPr>
        <w:t xml:space="preserve">all Sub-contractors have complied with the requirements of this Schedule with which the Supplier is required to ensure they comply; and</w:t>
      </w:r>
    </w:p>
    <w:p w:rsidR="00000000" w:rsidDel="00000000" w:rsidP="00000000" w:rsidRDefault="00000000" w:rsidRPr="00000000" w14:paraId="0000019E">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Supplier considers that its security and risk mitigation procedures remain effective.</w:t>
      </w:r>
    </w:p>
    <w:p w:rsidR="00000000" w:rsidDel="00000000" w:rsidP="00000000" w:rsidRDefault="00000000" w:rsidRPr="00000000" w14:paraId="0000019F">
      <w:pPr>
        <w:pStyle w:val="Heading2"/>
        <w:keepNext w:val="1"/>
        <w:numPr>
          <w:ilvl w:val="1"/>
          <w:numId w:val="2"/>
        </w:numPr>
        <w:spacing w:after="120" w:before="120" w:lineRule="auto"/>
        <w:ind w:left="720" w:hanging="720"/>
        <w:rPr>
          <w:sz w:val="24"/>
          <w:szCs w:val="24"/>
        </w:rPr>
      </w:pPr>
      <w:bookmarkStart w:colFirst="0" w:colLast="0" w:name="_heading=h.yiqwf42uguhr" w:id="35"/>
      <w:bookmarkEnd w:id="35"/>
      <w:r w:rsidDel="00000000" w:rsidR="00000000" w:rsidRPr="00000000">
        <w:rPr>
          <w:sz w:val="24"/>
          <w:szCs w:val="24"/>
          <w:rtl w:val="0"/>
        </w:rPr>
        <w:t xml:space="preserve">Where the Buyer has, in respect of the period covered by the confirmation provided under Paragraph 7.1 agreed in writing that the Supplier need not, or need only partially, comply within any requirement of this Schedule:</w:t>
      </w:r>
    </w:p>
    <w:p w:rsidR="00000000" w:rsidDel="00000000" w:rsidP="00000000" w:rsidRDefault="00000000" w:rsidRPr="00000000" w14:paraId="000001A0">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confirmation must include details of the Buyer’s agreement; and</w:t>
      </w:r>
    </w:p>
    <w:p w:rsidR="00000000" w:rsidDel="00000000" w:rsidP="00000000" w:rsidRDefault="00000000" w:rsidRPr="00000000" w14:paraId="000001A1">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confirm that the Supplier has fully complied with that modified requirement.</w:t>
      </w:r>
    </w:p>
    <w:p w:rsidR="00000000" w:rsidDel="00000000" w:rsidP="00000000" w:rsidRDefault="00000000" w:rsidRPr="00000000" w14:paraId="000001A2">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The Supplier must:</w:t>
      </w:r>
    </w:p>
    <w:p w:rsidR="00000000" w:rsidDel="00000000" w:rsidP="00000000" w:rsidRDefault="00000000" w:rsidRPr="00000000" w14:paraId="000001A3">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keep and maintain a register setting out all agreements referred to in Paragraph 7.2; and</w:t>
      </w:r>
    </w:p>
    <w:p w:rsidR="00000000" w:rsidDel="00000000" w:rsidP="00000000" w:rsidRDefault="00000000" w:rsidRPr="00000000" w14:paraId="000001A4">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provide a copy of that register to the Buyer on request.</w:t>
      </w:r>
    </w:p>
    <w:p w:rsidR="00000000" w:rsidDel="00000000" w:rsidP="00000000" w:rsidRDefault="00000000" w:rsidRPr="00000000" w14:paraId="000001A5">
      <w:pPr>
        <w:pStyle w:val="Heading1"/>
        <w:numPr>
          <w:ilvl w:val="0"/>
          <w:numId w:val="2"/>
        </w:numPr>
        <w:spacing w:after="120" w:before="120" w:lineRule="auto"/>
        <w:ind w:left="720" w:hanging="720"/>
        <w:rPr/>
      </w:pPr>
      <w:bookmarkStart w:colFirst="0" w:colLast="0" w:name="_heading=h.80j1vx63xyb5" w:id="36"/>
      <w:bookmarkEnd w:id="36"/>
      <w:r w:rsidDel="00000000" w:rsidR="00000000" w:rsidRPr="00000000">
        <w:rPr>
          <w:rtl w:val="0"/>
        </w:rPr>
        <w:t xml:space="preserve">Governance, information sharing and co-operation</w:t>
      </w:r>
    </w:p>
    <w:p w:rsidR="00000000" w:rsidDel="00000000" w:rsidP="00000000" w:rsidRDefault="00000000" w:rsidRPr="00000000" w14:paraId="000001A6">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Governance</w:t>
      </w:r>
    </w:p>
    <w:p w:rsidR="00000000" w:rsidDel="00000000" w:rsidP="00000000" w:rsidRDefault="00000000" w:rsidRPr="00000000" w14:paraId="000001A7">
      <w:pPr>
        <w:pStyle w:val="Heading2"/>
        <w:numPr>
          <w:ilvl w:val="1"/>
          <w:numId w:val="2"/>
        </w:numPr>
        <w:spacing w:after="120" w:before="120" w:lineRule="auto"/>
        <w:ind w:left="720" w:hanging="720"/>
        <w:rPr>
          <w:sz w:val="24"/>
          <w:szCs w:val="24"/>
        </w:rPr>
      </w:pPr>
      <w:bookmarkStart w:colFirst="0" w:colLast="0" w:name="_heading=h.8hmrdtw61y9h" w:id="37"/>
      <w:bookmarkEnd w:id="37"/>
      <w:r w:rsidDel="00000000" w:rsidR="00000000" w:rsidRPr="00000000">
        <w:rPr>
          <w:sz w:val="24"/>
          <w:szCs w:val="24"/>
          <w:rtl w:val="0"/>
        </w:rPr>
        <w:t xml:space="preserve">Paragraphs 8.1 to 8.8 apply where a Security Working Group, or Board, established under this Paragraph 8,  with a similar remit, is not provided for otherwise in the Contract.</w:t>
      </w:r>
    </w:p>
    <w:p w:rsidR="00000000" w:rsidDel="00000000" w:rsidP="00000000" w:rsidRDefault="00000000" w:rsidRPr="00000000" w14:paraId="000001A8">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The Buyer must establish a Security Working Group on which both the Buyer and the Supplier are represented.</w:t>
      </w:r>
    </w:p>
    <w:p w:rsidR="00000000" w:rsidDel="00000000" w:rsidP="00000000" w:rsidRDefault="00000000" w:rsidRPr="00000000" w14:paraId="000001A9">
      <w:pPr>
        <w:pStyle w:val="Heading2"/>
        <w:keepNext w:val="1"/>
        <w:numPr>
          <w:ilvl w:val="1"/>
          <w:numId w:val="2"/>
        </w:numPr>
        <w:spacing w:after="120" w:before="120" w:lineRule="auto"/>
        <w:ind w:left="720" w:hanging="720"/>
        <w:rPr>
          <w:sz w:val="24"/>
          <w:szCs w:val="24"/>
        </w:rPr>
      </w:pPr>
      <w:bookmarkStart w:colFirst="0" w:colLast="0" w:name="_heading=h.os8ypely7god" w:id="38"/>
      <w:bookmarkEnd w:id="38"/>
      <w:r w:rsidDel="00000000" w:rsidR="00000000" w:rsidRPr="00000000">
        <w:rPr>
          <w:sz w:val="24"/>
          <w:szCs w:val="24"/>
          <w:rtl w:val="0"/>
        </w:rPr>
        <w:t xml:space="preserve">The notice or other document establishing the Security Working Group must set out:</w:t>
      </w:r>
    </w:p>
    <w:p w:rsidR="00000000" w:rsidDel="00000000" w:rsidP="00000000" w:rsidRDefault="00000000" w:rsidRPr="00000000" w14:paraId="000001AA">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Buyer members;</w:t>
      </w:r>
    </w:p>
    <w:p w:rsidR="00000000" w:rsidDel="00000000" w:rsidP="00000000" w:rsidRDefault="00000000" w:rsidRPr="00000000" w14:paraId="000001AB">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Supplier members;</w:t>
      </w:r>
    </w:p>
    <w:p w:rsidR="00000000" w:rsidDel="00000000" w:rsidP="00000000" w:rsidRDefault="00000000" w:rsidRPr="00000000" w14:paraId="000001AC">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chairperson of the Security Working Group;</w:t>
      </w:r>
    </w:p>
    <w:p w:rsidR="00000000" w:rsidDel="00000000" w:rsidP="00000000" w:rsidRDefault="00000000" w:rsidRPr="00000000" w14:paraId="000001AD">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date of the first meeting;</w:t>
      </w:r>
    </w:p>
    <w:p w:rsidR="00000000" w:rsidDel="00000000" w:rsidP="00000000" w:rsidRDefault="00000000" w:rsidRPr="00000000" w14:paraId="000001AE">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frequency of meetings; and</w:t>
      </w:r>
    </w:p>
    <w:p w:rsidR="00000000" w:rsidDel="00000000" w:rsidP="00000000" w:rsidRDefault="00000000" w:rsidRPr="00000000" w14:paraId="000001AF">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location of meetings</w:t>
      </w:r>
    </w:p>
    <w:p w:rsidR="00000000" w:rsidDel="00000000" w:rsidP="00000000" w:rsidRDefault="00000000" w:rsidRPr="00000000" w14:paraId="000001B0">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The Security Working Group has oversight of all matters relating to the security of the Government Data and the Supplier Information Management System.</w:t>
      </w:r>
    </w:p>
    <w:p w:rsidR="00000000" w:rsidDel="00000000" w:rsidP="00000000" w:rsidRDefault="00000000" w:rsidRPr="00000000" w14:paraId="000001B1">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The Security Working Group meets:</w:t>
      </w:r>
    </w:p>
    <w:p w:rsidR="00000000" w:rsidDel="00000000" w:rsidP="00000000" w:rsidRDefault="00000000" w:rsidRPr="00000000" w14:paraId="000001B2">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at least once every three months; and</w:t>
      </w:r>
    </w:p>
    <w:p w:rsidR="00000000" w:rsidDel="00000000" w:rsidP="00000000" w:rsidRDefault="00000000" w:rsidRPr="00000000" w14:paraId="000001B3">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additionally when required by the Buyer.</w:t>
      </w:r>
    </w:p>
    <w:p w:rsidR="00000000" w:rsidDel="00000000" w:rsidP="00000000" w:rsidRDefault="00000000" w:rsidRPr="00000000" w14:paraId="000001B4">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The Supplier must ensure that the Supplier Staff attending each meeting of the Security Working Group:</w:t>
      </w:r>
    </w:p>
    <w:p w:rsidR="00000000" w:rsidDel="00000000" w:rsidP="00000000" w:rsidRDefault="00000000" w:rsidRPr="00000000" w14:paraId="000001B5">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have sufficient knowledge and experience to contribute to the discussion of the matters on the agenda for the meeting;</w:t>
      </w:r>
    </w:p>
    <w:p w:rsidR="00000000" w:rsidDel="00000000" w:rsidP="00000000" w:rsidRDefault="00000000" w:rsidRPr="00000000" w14:paraId="000001B6">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are authorised to make decisions that are binding on the Supplier in respect of those matters, including any decisions that require expenditure or investment by the Supplier; and</w:t>
      </w:r>
    </w:p>
    <w:p w:rsidR="00000000" w:rsidDel="00000000" w:rsidP="00000000" w:rsidRDefault="00000000" w:rsidRPr="00000000" w14:paraId="000001B7">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where relevant to the matters on the agenda for the meeting, include representatives of relevant Sub-contractors.</w:t>
      </w:r>
    </w:p>
    <w:p w:rsidR="00000000" w:rsidDel="00000000" w:rsidP="00000000" w:rsidRDefault="00000000" w:rsidRPr="00000000" w14:paraId="000001B8">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Any decisions, recommendations or advice of the Security Working Group:</w:t>
      </w:r>
    </w:p>
    <w:p w:rsidR="00000000" w:rsidDel="00000000" w:rsidP="00000000" w:rsidRDefault="00000000" w:rsidRPr="00000000" w14:paraId="000001B9">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are binding on the Supplier, unless:</w:t>
      </w:r>
    </w:p>
    <w:p w:rsidR="00000000" w:rsidDel="00000000" w:rsidP="00000000" w:rsidRDefault="00000000" w:rsidRPr="00000000" w14:paraId="000001BA">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the Buyer agrees otherwise; or</w:t>
      </w:r>
    </w:p>
    <w:p w:rsidR="00000000" w:rsidDel="00000000" w:rsidP="00000000" w:rsidRDefault="00000000" w:rsidRPr="00000000" w14:paraId="000001BB">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the decision, recommendation or advice of the Security Working Group imposes on the Supplier more onerous requirements than those provided for in this Schedule; and</w:t>
      </w:r>
    </w:p>
    <w:p w:rsidR="00000000" w:rsidDel="00000000" w:rsidP="00000000" w:rsidRDefault="00000000" w:rsidRPr="00000000" w14:paraId="000001BC">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do not limit or modify the Supplier’s responsibilities under this Schedule.</w:t>
      </w:r>
    </w:p>
    <w:p w:rsidR="00000000" w:rsidDel="00000000" w:rsidP="00000000" w:rsidRDefault="00000000" w:rsidRPr="00000000" w14:paraId="000001BD">
      <w:pPr>
        <w:pStyle w:val="Heading2"/>
        <w:numPr>
          <w:ilvl w:val="1"/>
          <w:numId w:val="2"/>
        </w:numPr>
        <w:spacing w:after="120" w:before="120" w:lineRule="auto"/>
        <w:ind w:left="720" w:hanging="720"/>
        <w:rPr>
          <w:sz w:val="24"/>
          <w:szCs w:val="24"/>
        </w:rPr>
      </w:pPr>
      <w:bookmarkStart w:colFirst="0" w:colLast="0" w:name="_heading=h.o751mpdwmpl8" w:id="39"/>
      <w:bookmarkEnd w:id="39"/>
      <w:r w:rsidDel="00000000" w:rsidR="00000000" w:rsidRPr="00000000">
        <w:rPr>
          <w:sz w:val="24"/>
          <w:szCs w:val="24"/>
          <w:rtl w:val="0"/>
        </w:rPr>
        <w:t xml:space="preserve">Appendix 3 applies to the Security Working Group.</w:t>
      </w:r>
    </w:p>
    <w:p w:rsidR="00000000" w:rsidDel="00000000" w:rsidP="00000000" w:rsidRDefault="00000000" w:rsidRPr="00000000" w14:paraId="000001BE">
      <w:pPr>
        <w:pStyle w:val="Heading1"/>
        <w:numPr>
          <w:ilvl w:val="0"/>
          <w:numId w:val="2"/>
        </w:numPr>
        <w:spacing w:after="120" w:before="120" w:lineRule="auto"/>
        <w:ind w:left="720" w:hanging="720"/>
        <w:rPr/>
      </w:pPr>
      <w:r w:rsidDel="00000000" w:rsidR="00000000" w:rsidRPr="00000000">
        <w:rPr>
          <w:rtl w:val="0"/>
        </w:rPr>
        <w:t xml:space="preserve">Staff</w:t>
      </w:r>
    </w:p>
    <w:p w:rsidR="00000000" w:rsidDel="00000000" w:rsidP="00000000" w:rsidRDefault="00000000" w:rsidRPr="00000000" w14:paraId="000001BF">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The Supplier must ensure that at all times it maintains within the Supplier Staff sufficient numbers of qualified, skilled security professionals to ensure the Supplier complies with the requirements of this Schedule.</w:t>
      </w:r>
    </w:p>
    <w:p w:rsidR="00000000" w:rsidDel="00000000" w:rsidP="00000000" w:rsidRDefault="00000000" w:rsidRPr="00000000" w14:paraId="000001C0">
      <w:pPr>
        <w:pStyle w:val="Heading2"/>
        <w:numPr>
          <w:ilvl w:val="1"/>
          <w:numId w:val="2"/>
        </w:numPr>
        <w:spacing w:after="120" w:before="120" w:lineRule="auto"/>
        <w:ind w:left="720" w:hanging="720"/>
        <w:rPr>
          <w:sz w:val="24"/>
          <w:szCs w:val="24"/>
        </w:rPr>
      </w:pPr>
      <w:bookmarkStart w:colFirst="0" w:colLast="0" w:name="_heading=h.fk8sgiev3gj" w:id="40"/>
      <w:bookmarkEnd w:id="40"/>
      <w:r w:rsidDel="00000000" w:rsidR="00000000" w:rsidRPr="00000000">
        <w:rPr>
          <w:sz w:val="24"/>
          <w:szCs w:val="24"/>
          <w:rtl w:val="0"/>
        </w:rPr>
        <w:t xml:space="preserve">The Supplier must appoint:</w:t>
      </w:r>
    </w:p>
    <w:p w:rsidR="00000000" w:rsidDel="00000000" w:rsidP="00000000" w:rsidRDefault="00000000" w:rsidRPr="00000000" w14:paraId="000001C1">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a senior individual within its organisation with accountability for managing security risks and the Supplier’s implementation of the requirements of this Schedule; and</w:t>
      </w:r>
    </w:p>
    <w:p w:rsidR="00000000" w:rsidDel="00000000" w:rsidP="00000000" w:rsidRDefault="00000000" w:rsidRPr="00000000" w14:paraId="000001C2">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a senior individual within the team responsible for the delivery of the Services with responsibility for managing the security risks to the Supplier Information Management System.</w:t>
      </w:r>
    </w:p>
    <w:p w:rsidR="00000000" w:rsidDel="00000000" w:rsidP="00000000" w:rsidRDefault="00000000" w:rsidRPr="00000000" w14:paraId="000001C3">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The individuals appointed under Paragraph 9.2:</w:t>
      </w:r>
    </w:p>
    <w:p w:rsidR="00000000" w:rsidDel="00000000" w:rsidP="00000000" w:rsidRDefault="00000000" w:rsidRPr="00000000" w14:paraId="000001C4">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must have sufficient experience, knowledge and authority to undertake their roles effectively; and</w:t>
      </w:r>
    </w:p>
    <w:p w:rsidR="00000000" w:rsidDel="00000000" w:rsidP="00000000" w:rsidRDefault="00000000" w:rsidRPr="00000000" w14:paraId="000001C5">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are to be designated as Key Staff and treated for the purposes of the Contract as Key Staff, whether or not they are otherwise designated as such;</w:t>
      </w:r>
    </w:p>
    <w:p w:rsidR="00000000" w:rsidDel="00000000" w:rsidP="00000000" w:rsidRDefault="00000000" w:rsidRPr="00000000" w14:paraId="000001C6">
      <w:pPr>
        <w:pStyle w:val="Heading2"/>
        <w:numPr>
          <w:ilvl w:val="1"/>
          <w:numId w:val="2"/>
        </w:numPr>
        <w:spacing w:after="120" w:before="120" w:lineRule="auto"/>
        <w:ind w:left="720" w:hanging="720"/>
        <w:rPr>
          <w:sz w:val="24"/>
          <w:szCs w:val="24"/>
        </w:rPr>
      </w:pPr>
      <w:bookmarkStart w:colFirst="0" w:colLast="0" w:name="_heading=h.fa262ub13qam" w:id="41"/>
      <w:bookmarkEnd w:id="41"/>
      <w:r w:rsidDel="00000000" w:rsidR="00000000" w:rsidRPr="00000000">
        <w:rPr>
          <w:sz w:val="24"/>
          <w:szCs w:val="24"/>
          <w:rtl w:val="0"/>
        </w:rPr>
        <w:t xml:space="preserve">The Supplier must review, and if necessary replace, the individuals appointed under Paragraph 9.2 if required to do so by the Buyer.</w:t>
      </w:r>
    </w:p>
    <w:p w:rsidR="00000000" w:rsidDel="00000000" w:rsidP="00000000" w:rsidRDefault="00000000" w:rsidRPr="00000000" w14:paraId="000001C7">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To facilitate:</w:t>
      </w:r>
    </w:p>
    <w:p w:rsidR="00000000" w:rsidDel="00000000" w:rsidP="00000000" w:rsidRDefault="00000000" w:rsidRPr="00000000" w14:paraId="000001C8">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the Buyer's oversight of the Supplier Information Management System; and</w:t>
      </w:r>
    </w:p>
    <w:p w:rsidR="00000000" w:rsidDel="00000000" w:rsidP="00000000" w:rsidRDefault="00000000" w:rsidRPr="00000000" w14:paraId="000001C9">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Supplier's design, implementation, operation, management and continual improvement of the Security Management Plan and the security of the Services and Supplier Information Management System and otherwise,</w:t>
      </w:r>
    </w:p>
    <w:p w:rsidR="00000000" w:rsidDel="00000000" w:rsidP="00000000" w:rsidRDefault="00000000" w:rsidRPr="00000000" w14:paraId="000001CA">
      <w:pPr>
        <w:pStyle w:val="Heading2"/>
        <w:keepNext w:val="1"/>
        <w:spacing w:after="120" w:before="120" w:lineRule="auto"/>
        <w:ind w:left="720" w:firstLine="0"/>
        <w:rPr>
          <w:sz w:val="24"/>
          <w:szCs w:val="24"/>
        </w:rPr>
      </w:pPr>
      <w:r w:rsidDel="00000000" w:rsidR="00000000" w:rsidRPr="00000000">
        <w:rPr>
          <w:sz w:val="24"/>
          <w:szCs w:val="24"/>
          <w:rtl w:val="0"/>
        </w:rPr>
        <w:t xml:space="preserve">at reasonable times and on reasonable notice:</w:t>
      </w:r>
    </w:p>
    <w:p w:rsidR="00000000" w:rsidDel="00000000" w:rsidP="00000000" w:rsidRDefault="00000000" w:rsidRPr="00000000" w14:paraId="000001CB">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Supplier shall provide access to the Supplier Staff responsible for information assurance; and</w:t>
      </w:r>
    </w:p>
    <w:p w:rsidR="00000000" w:rsidDel="00000000" w:rsidP="00000000" w:rsidRDefault="00000000" w:rsidRPr="00000000" w14:paraId="000001CC">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Buyer shall provide access to its staff responsible for information assurance.</w:t>
      </w:r>
    </w:p>
    <w:p w:rsidR="00000000" w:rsidDel="00000000" w:rsidP="00000000" w:rsidRDefault="00000000" w:rsidRPr="00000000" w14:paraId="000001CD">
      <w:pPr>
        <w:pStyle w:val="Heading1"/>
        <w:numPr>
          <w:ilvl w:val="0"/>
          <w:numId w:val="2"/>
        </w:numPr>
        <w:spacing w:after="120" w:before="120" w:lineRule="auto"/>
        <w:ind w:left="720" w:hanging="720"/>
        <w:rPr/>
      </w:pPr>
      <w:bookmarkStart w:colFirst="0" w:colLast="0" w:name="_heading=h.2s890r560rx7" w:id="42"/>
      <w:bookmarkEnd w:id="42"/>
      <w:r w:rsidDel="00000000" w:rsidR="00000000" w:rsidRPr="00000000">
        <w:rPr>
          <w:rtl w:val="0"/>
        </w:rPr>
        <w:t xml:space="preserve">Sub-contractors</w:t>
      </w:r>
    </w:p>
    <w:p w:rsidR="00000000" w:rsidDel="00000000" w:rsidP="00000000" w:rsidRDefault="00000000" w:rsidRPr="00000000" w14:paraId="000001CE">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Paragraphs 10.2 to 10.4 are subject to Paragraph 5.4. </w:t>
      </w:r>
    </w:p>
    <w:p w:rsidR="00000000" w:rsidDel="00000000" w:rsidP="00000000" w:rsidRDefault="00000000" w:rsidRPr="00000000" w14:paraId="000001CF">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SIMS Sub-contractor</w:t>
      </w:r>
    </w:p>
    <w:p w:rsidR="00000000" w:rsidDel="00000000" w:rsidP="00000000" w:rsidRDefault="00000000" w:rsidRPr="00000000" w14:paraId="000001D0">
      <w:pPr>
        <w:pStyle w:val="Heading2"/>
        <w:keepNext w:val="1"/>
        <w:numPr>
          <w:ilvl w:val="1"/>
          <w:numId w:val="2"/>
        </w:numPr>
        <w:spacing w:after="120" w:before="120" w:lineRule="auto"/>
        <w:ind w:left="720" w:hanging="720"/>
        <w:rPr>
          <w:sz w:val="24"/>
          <w:szCs w:val="24"/>
        </w:rPr>
      </w:pPr>
      <w:bookmarkStart w:colFirst="0" w:colLast="0" w:name="_heading=h.v0nixgfhf9b" w:id="43"/>
      <w:bookmarkEnd w:id="43"/>
      <w:r w:rsidDel="00000000" w:rsidR="00000000" w:rsidRPr="00000000">
        <w:rPr>
          <w:sz w:val="24"/>
          <w:szCs w:val="24"/>
          <w:rtl w:val="0"/>
        </w:rPr>
        <w:t xml:space="preserve">A SIMS Sub-contractor shall be treated for all purposes as a Key Subcontractor.</w:t>
      </w:r>
    </w:p>
    <w:p w:rsidR="00000000" w:rsidDel="00000000" w:rsidP="00000000" w:rsidRDefault="00000000" w:rsidRPr="00000000" w14:paraId="000001D1">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In addition to the obligations imposed by the Contract on Key Subcontractors, the Supplier must ensure that the Key Sub-Contract with each SIMS Sub-contractor contains obligations no less onerous on the Key Subcontractor than those imposed on the Supplier under this Schedule.</w:t>
      </w:r>
    </w:p>
    <w:p w:rsidR="00000000" w:rsidDel="00000000" w:rsidP="00000000" w:rsidRDefault="00000000" w:rsidRPr="00000000" w14:paraId="000001D2">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Sub-contractors</w:t>
      </w:r>
    </w:p>
    <w:p w:rsidR="00000000" w:rsidDel="00000000" w:rsidP="00000000" w:rsidRDefault="00000000" w:rsidRPr="00000000" w14:paraId="000001D3">
      <w:pPr>
        <w:pStyle w:val="Heading2"/>
        <w:keepNext w:val="1"/>
        <w:numPr>
          <w:ilvl w:val="1"/>
          <w:numId w:val="2"/>
        </w:numPr>
        <w:spacing w:after="120" w:before="120" w:lineRule="auto"/>
        <w:ind w:left="720" w:hanging="720"/>
        <w:rPr>
          <w:sz w:val="24"/>
          <w:szCs w:val="24"/>
        </w:rPr>
      </w:pPr>
      <w:bookmarkStart w:colFirst="0" w:colLast="0" w:name="_heading=h.x7weebyuhe41" w:id="44"/>
      <w:bookmarkEnd w:id="44"/>
      <w:r w:rsidDel="00000000" w:rsidR="00000000" w:rsidRPr="00000000">
        <w:rPr>
          <w:sz w:val="24"/>
          <w:szCs w:val="24"/>
          <w:rtl w:val="0"/>
        </w:rPr>
        <w:t xml:space="preserve">The Supplier must, before entering into a binding Sub-Contract with any Sub-contractor:</w:t>
      </w:r>
    </w:p>
    <w:p w:rsidR="00000000" w:rsidDel="00000000" w:rsidP="00000000" w:rsidRDefault="00000000" w:rsidRPr="00000000" w14:paraId="000001D4">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undertake sufficient due diligence of the proposed Sub-contractor to provide reasonable assurance that the proposed Sub-contractor can perform the obligations that this Schedule requires the Supplier ensure that the proposed Sub-contractor performs;</w:t>
      </w:r>
    </w:p>
    <w:p w:rsidR="00000000" w:rsidDel="00000000" w:rsidP="00000000" w:rsidRDefault="00000000" w:rsidRPr="00000000" w14:paraId="000001D5">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keeps adequate records of the due diligence it has undertaken in respect of the proposed Sub-contractors; and</w:t>
      </w:r>
    </w:p>
    <w:p w:rsidR="00000000" w:rsidDel="00000000" w:rsidP="00000000" w:rsidRDefault="00000000" w:rsidRPr="00000000" w14:paraId="000001D6">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provides those records to the Buyer on request.</w:t>
      </w:r>
    </w:p>
    <w:p w:rsidR="00000000" w:rsidDel="00000000" w:rsidP="00000000" w:rsidRDefault="00000000" w:rsidRPr="00000000" w14:paraId="000001D7">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qeodofrg2tvy" w:id="45"/>
      <w:bookmarkEnd w:id="45"/>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Key Subcontractor Default</w:t>
      </w:r>
    </w:p>
    <w:p w:rsidR="00000000" w:rsidDel="00000000" w:rsidP="00000000" w:rsidRDefault="00000000" w:rsidRPr="00000000" w14:paraId="000001D8">
      <w:pPr>
        <w:pStyle w:val="Heading2"/>
        <w:keepNext w:val="1"/>
        <w:numPr>
          <w:ilvl w:val="1"/>
          <w:numId w:val="2"/>
        </w:numPr>
        <w:spacing w:after="120" w:before="120" w:lineRule="auto"/>
        <w:ind w:left="720" w:hanging="720"/>
        <w:rPr>
          <w:sz w:val="24"/>
          <w:szCs w:val="24"/>
        </w:rPr>
      </w:pPr>
      <w:bookmarkStart w:colFirst="0" w:colLast="0" w:name="_heading=h.p141k67fttzq" w:id="46"/>
      <w:bookmarkEnd w:id="46"/>
      <w:r w:rsidDel="00000000" w:rsidR="00000000" w:rsidRPr="00000000">
        <w:rPr>
          <w:sz w:val="24"/>
          <w:szCs w:val="24"/>
          <w:rtl w:val="0"/>
        </w:rPr>
        <w:t xml:space="preserve">Where the Supplier becomes aware of an actual or suspected failure by a Key Subcontractor to comply with any obligation in this Schedule with which the Supplier is, by virtue of Paragraph 5.2.2, required to ensure the Key Subcontractor complies (</w:t>
      </w:r>
      <w:r w:rsidDel="00000000" w:rsidR="00000000" w:rsidRPr="00000000">
        <w:rPr>
          <w:b w:val="1"/>
          <w:sz w:val="24"/>
          <w:szCs w:val="24"/>
          <w:rtl w:val="0"/>
        </w:rPr>
        <w:t xml:space="preserve">Key Subcontractor Default</w:t>
      </w:r>
      <w:r w:rsidDel="00000000" w:rsidR="00000000" w:rsidRPr="00000000">
        <w:rPr>
          <w:sz w:val="24"/>
          <w:szCs w:val="24"/>
          <w:rtl w:val="0"/>
        </w:rPr>
        <w:t xml:space="preserve">), the Supplier must:</w:t>
      </w:r>
    </w:p>
    <w:p w:rsidR="00000000" w:rsidDel="00000000" w:rsidP="00000000" w:rsidRDefault="00000000" w:rsidRPr="00000000" w14:paraId="000001D9">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as soon as reasonably practicable and in any event within two Working days of becoming aware of the Key Subcontractor Default notify the Buyer setting out the actual or anticipated effect of the Key Subcontractor Default; and</w:t>
      </w:r>
    </w:p>
    <w:p w:rsidR="00000000" w:rsidDel="00000000" w:rsidP="00000000" w:rsidRDefault="00000000" w:rsidRPr="00000000" w14:paraId="000001DA">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unless the Buyer waives the requirement, comply with the Remediation Action Plan process in Paragraph 18.</w:t>
      </w:r>
    </w:p>
    <w:p w:rsidR="00000000" w:rsidDel="00000000" w:rsidP="00000000" w:rsidRDefault="00000000" w:rsidRPr="00000000" w14:paraId="000001DB">
      <w:pPr>
        <w:pStyle w:val="Heading1"/>
        <w:numPr>
          <w:ilvl w:val="0"/>
          <w:numId w:val="2"/>
        </w:numPr>
        <w:spacing w:after="120" w:before="120" w:lineRule="auto"/>
        <w:ind w:left="720" w:hanging="720"/>
        <w:rPr/>
      </w:pPr>
      <w:bookmarkStart w:colFirst="0" w:colLast="0" w:name="_heading=h.wmw05pdobv81" w:id="47"/>
      <w:bookmarkEnd w:id="47"/>
      <w:r w:rsidDel="00000000" w:rsidR="00000000" w:rsidRPr="00000000">
        <w:rPr>
          <w:rtl w:val="0"/>
        </w:rPr>
        <w:t xml:space="preserve">Supplier Information Management System</w:t>
      </w:r>
    </w:p>
    <w:p w:rsidR="00000000" w:rsidDel="00000000" w:rsidP="00000000" w:rsidRDefault="00000000" w:rsidRPr="00000000" w14:paraId="000001DC">
      <w:pPr>
        <w:pStyle w:val="Heading2"/>
        <w:keepNext w:val="1"/>
        <w:numPr>
          <w:ilvl w:val="1"/>
          <w:numId w:val="2"/>
        </w:numPr>
        <w:spacing w:after="120" w:before="120" w:lineRule="auto"/>
        <w:ind w:left="720" w:hanging="720"/>
        <w:rPr>
          <w:sz w:val="24"/>
          <w:szCs w:val="24"/>
        </w:rPr>
      </w:pPr>
      <w:bookmarkStart w:colFirst="0" w:colLast="0" w:name="_heading=h.x3jb7fd5jhrv" w:id="48"/>
      <w:bookmarkEnd w:id="48"/>
      <w:r w:rsidDel="00000000" w:rsidR="00000000" w:rsidRPr="00000000">
        <w:rPr>
          <w:sz w:val="24"/>
          <w:szCs w:val="24"/>
          <w:rtl w:val="0"/>
        </w:rPr>
        <w:t xml:space="preserve">The Supplier must determine:</w:t>
      </w:r>
    </w:p>
    <w:p w:rsidR="00000000" w:rsidDel="00000000" w:rsidP="00000000" w:rsidRDefault="00000000" w:rsidRPr="00000000" w14:paraId="000001DD">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scope and component parts of the Supplier Information Management System; and</w:t>
      </w:r>
    </w:p>
    <w:p w:rsidR="00000000" w:rsidDel="00000000" w:rsidP="00000000" w:rsidRDefault="00000000" w:rsidRPr="00000000" w14:paraId="000001DE">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boundary between the Supplier Information Management System and the Wider Information Management System.</w:t>
      </w:r>
    </w:p>
    <w:p w:rsidR="00000000" w:rsidDel="00000000" w:rsidP="00000000" w:rsidRDefault="00000000" w:rsidRPr="00000000" w14:paraId="000001DF">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Before making its determination under Paragraph 11.1, the Supplier must consult with the Buyer and in doing so must provide the Buyer with such documentation and information that the Buyer may require regarding the Wider Information Management System.</w:t>
      </w:r>
    </w:p>
    <w:p w:rsidR="00000000" w:rsidDel="00000000" w:rsidP="00000000" w:rsidRDefault="00000000" w:rsidRPr="00000000" w14:paraId="000001E0">
      <w:pPr>
        <w:pStyle w:val="Heading2"/>
        <w:numPr>
          <w:ilvl w:val="1"/>
          <w:numId w:val="2"/>
        </w:numPr>
        <w:spacing w:after="120" w:before="120" w:lineRule="auto"/>
        <w:ind w:left="720" w:hanging="720"/>
        <w:rPr>
          <w:sz w:val="24"/>
          <w:szCs w:val="24"/>
        </w:rPr>
      </w:pPr>
      <w:bookmarkStart w:colFirst="0" w:colLast="0" w:name="_heading=h.9v1i204k2ha9" w:id="49"/>
      <w:bookmarkEnd w:id="49"/>
      <w:r w:rsidDel="00000000" w:rsidR="00000000" w:rsidRPr="00000000">
        <w:rPr>
          <w:sz w:val="24"/>
          <w:szCs w:val="24"/>
          <w:rtl w:val="0"/>
        </w:rPr>
        <w:t xml:space="preserve">The Supplier shall reproduce its decision under Paragraph 11.1 as a diagram documenting the components and systems forming part of, and the boundary between, the Supplier Information Management System and the Wider Information Management System.</w:t>
      </w:r>
    </w:p>
    <w:p w:rsidR="00000000" w:rsidDel="00000000" w:rsidP="00000000" w:rsidRDefault="00000000" w:rsidRPr="00000000" w14:paraId="000001E1">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The diagram prepared under Paragraph 11.3 forms part of the Security Management Plan.</w:t>
      </w:r>
    </w:p>
    <w:p w:rsidR="00000000" w:rsidDel="00000000" w:rsidP="00000000" w:rsidRDefault="00000000" w:rsidRPr="00000000" w14:paraId="000001E2">
      <w:pPr>
        <w:pStyle w:val="Heading2"/>
        <w:keepNext w:val="1"/>
        <w:numPr>
          <w:ilvl w:val="1"/>
          <w:numId w:val="2"/>
        </w:numPr>
        <w:spacing w:after="120" w:before="120" w:lineRule="auto"/>
        <w:ind w:left="720" w:hanging="720"/>
        <w:rPr>
          <w:sz w:val="24"/>
          <w:szCs w:val="24"/>
        </w:rPr>
      </w:pPr>
      <w:bookmarkStart w:colFirst="0" w:colLast="0" w:name="_heading=h.3uassknd4x6v" w:id="50"/>
      <w:bookmarkEnd w:id="50"/>
      <w:r w:rsidDel="00000000" w:rsidR="00000000" w:rsidRPr="00000000">
        <w:rPr>
          <w:sz w:val="24"/>
          <w:szCs w:val="24"/>
          <w:rtl w:val="0"/>
        </w:rPr>
        <w:t xml:space="preserve">Any proposed change to:</w:t>
      </w:r>
    </w:p>
    <w:p w:rsidR="00000000" w:rsidDel="00000000" w:rsidP="00000000" w:rsidRDefault="00000000" w:rsidRPr="00000000" w14:paraId="000001E3">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component parts of the Supplier Information Management System; or</w:t>
      </w:r>
    </w:p>
    <w:p w:rsidR="00000000" w:rsidDel="00000000" w:rsidP="00000000" w:rsidRDefault="00000000" w:rsidRPr="00000000" w14:paraId="000001E4">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boundary between the Supplier Information Management System and the Wider Information Management System,</w:t>
      </w:r>
    </w:p>
    <w:p w:rsidR="00000000" w:rsidDel="00000000" w:rsidP="00000000" w:rsidRDefault="00000000" w:rsidRPr="00000000" w14:paraId="000001E5">
      <w:pPr>
        <w:pStyle w:val="Heading3"/>
        <w:keepNext w:val="1"/>
        <w:spacing w:after="120" w:before="120" w:lineRule="auto"/>
        <w:ind w:left="720" w:firstLine="720"/>
        <w:rPr>
          <w:sz w:val="24"/>
          <w:szCs w:val="24"/>
        </w:rPr>
      </w:pPr>
      <w:r w:rsidDel="00000000" w:rsidR="00000000" w:rsidRPr="00000000">
        <w:rPr>
          <w:sz w:val="24"/>
          <w:szCs w:val="24"/>
          <w:rtl w:val="0"/>
        </w:rPr>
        <w:t xml:space="preserve"> is:</w:t>
      </w:r>
    </w:p>
    <w:p w:rsidR="00000000" w:rsidDel="00000000" w:rsidP="00000000" w:rsidRDefault="00000000" w:rsidRPr="00000000" w14:paraId="000001E6">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a Variation to which the Variation Procedure applies;</w:t>
      </w:r>
    </w:p>
    <w:p w:rsidR="00000000" w:rsidDel="00000000" w:rsidP="00000000" w:rsidRDefault="00000000" w:rsidRPr="00000000" w14:paraId="000001E7">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requires approval by the Buyer under Paragraph 17; and</w:t>
      </w:r>
    </w:p>
    <w:p w:rsidR="00000000" w:rsidDel="00000000" w:rsidP="00000000" w:rsidRDefault="00000000" w:rsidRPr="00000000" w14:paraId="000001E8">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Buyer may require the appointment of an Independent Security Adviser to advise on the proposed change.</w:t>
      </w:r>
    </w:p>
    <w:p w:rsidR="00000000" w:rsidDel="00000000" w:rsidP="00000000" w:rsidRDefault="00000000" w:rsidRPr="00000000" w14:paraId="000001E9">
      <w:pPr>
        <w:pStyle w:val="Heading1"/>
        <w:numPr>
          <w:ilvl w:val="0"/>
          <w:numId w:val="2"/>
        </w:numPr>
        <w:spacing w:after="120" w:before="120" w:lineRule="auto"/>
        <w:ind w:left="720" w:hanging="720"/>
        <w:rPr/>
      </w:pPr>
      <w:bookmarkStart w:colFirst="0" w:colLast="0" w:name="_heading=h.flib9zexci90" w:id="51"/>
      <w:bookmarkEnd w:id="51"/>
      <w:r w:rsidDel="00000000" w:rsidR="00000000" w:rsidRPr="00000000">
        <w:rPr>
          <w:rtl w:val="0"/>
        </w:rPr>
        <w:t xml:space="preserve">Government Data Handled using Supplier Information Management System</w:t>
      </w:r>
    </w:p>
    <w:p w:rsidR="00000000" w:rsidDel="00000000" w:rsidP="00000000" w:rsidRDefault="00000000" w:rsidRPr="00000000" w14:paraId="000001EA">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The Supplier acknowledges that the Supplier Information Management System:</w:t>
      </w:r>
    </w:p>
    <w:p w:rsidR="00000000" w:rsidDel="00000000" w:rsidP="00000000" w:rsidRDefault="00000000" w:rsidRPr="00000000" w14:paraId="000001EB">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is intended only for the Handling of Government Data that is classified as OFFICIAL; and</w:t>
      </w:r>
    </w:p>
    <w:p w:rsidR="00000000" w:rsidDel="00000000" w:rsidP="00000000" w:rsidRDefault="00000000" w:rsidRPr="00000000" w14:paraId="000001EC">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is not intended for the Handling of Government Data that is classified as SECRET or TOP SECRET,</w:t>
      </w:r>
    </w:p>
    <w:p w:rsidR="00000000" w:rsidDel="00000000" w:rsidP="00000000" w:rsidRDefault="00000000" w:rsidRPr="00000000" w14:paraId="000001ED">
      <w:pPr>
        <w:pStyle w:val="Heading2"/>
        <w:keepNext w:val="1"/>
        <w:spacing w:after="120" w:before="120" w:lineRule="auto"/>
        <w:ind w:left="720" w:firstLine="0"/>
        <w:rPr>
          <w:sz w:val="24"/>
          <w:szCs w:val="24"/>
        </w:rPr>
      </w:pPr>
      <w:r w:rsidDel="00000000" w:rsidR="00000000" w:rsidRPr="00000000">
        <w:rPr>
          <w:sz w:val="24"/>
          <w:szCs w:val="24"/>
          <w:rtl w:val="0"/>
        </w:rPr>
        <w:t xml:space="preserve">in each case using the Government Security Classification Policy.</w:t>
      </w:r>
    </w:p>
    <w:p w:rsidR="00000000" w:rsidDel="00000000" w:rsidP="00000000" w:rsidRDefault="00000000" w:rsidRPr="00000000" w14:paraId="000001EE">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The Supplier must:</w:t>
      </w:r>
    </w:p>
    <w:p w:rsidR="00000000" w:rsidDel="00000000" w:rsidP="00000000" w:rsidRDefault="00000000" w:rsidRPr="00000000" w14:paraId="000001EF">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not alter the classification of any Government Data; and</w:t>
      </w:r>
    </w:p>
    <w:p w:rsidR="00000000" w:rsidDel="00000000" w:rsidP="00000000" w:rsidRDefault="00000000" w:rsidRPr="00000000" w14:paraId="000001F0">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if it becomes aware that any Government Data classified as SECRET or TOP SECRET is being Handled using the Supplier Information Management System:</w:t>
      </w:r>
    </w:p>
    <w:p w:rsidR="00000000" w:rsidDel="00000000" w:rsidP="00000000" w:rsidRDefault="00000000" w:rsidRPr="00000000" w14:paraId="000001F1">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immediately inform the Buyer; and</w:t>
      </w:r>
    </w:p>
    <w:p w:rsidR="00000000" w:rsidDel="00000000" w:rsidP="00000000" w:rsidRDefault="00000000" w:rsidRPr="00000000" w14:paraId="000001F2">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follow any instructions from the Buyer concerning that Government Data.</w:t>
      </w:r>
    </w:p>
    <w:p w:rsidR="00000000" w:rsidDel="00000000" w:rsidP="00000000" w:rsidRDefault="00000000" w:rsidRPr="00000000" w14:paraId="000001F3">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The Supplier must, and must ensure that Sub-contractors and Supplier Staff, when Handling Government Data, comply with:</w:t>
      </w:r>
    </w:p>
    <w:p w:rsidR="00000000" w:rsidDel="00000000" w:rsidP="00000000" w:rsidRDefault="00000000" w:rsidRPr="00000000" w14:paraId="000001F4">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Expected Behaviours; and</w:t>
      </w:r>
    </w:p>
    <w:p w:rsidR="00000000" w:rsidDel="00000000" w:rsidP="00000000" w:rsidRDefault="00000000" w:rsidRPr="00000000" w14:paraId="000001F5">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Security Controls.</w:t>
      </w:r>
    </w:p>
    <w:p w:rsidR="00000000" w:rsidDel="00000000" w:rsidP="00000000" w:rsidRDefault="00000000" w:rsidRPr="00000000" w14:paraId="000001F6">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Where there is a conflict between the Expected Behaviours or the Security Controls and this Schedule the provisions of this Schedule</w:t>
      </w:r>
      <w:r w:rsidDel="00000000" w:rsidR="00000000" w:rsidRPr="00000000">
        <w:rPr>
          <w:i w:val="1"/>
          <w:sz w:val="24"/>
          <w:szCs w:val="24"/>
          <w:rtl w:val="0"/>
        </w:rPr>
        <w:t xml:space="preserve"> </w:t>
      </w:r>
      <w:r w:rsidDel="00000000" w:rsidR="00000000" w:rsidRPr="00000000">
        <w:rPr>
          <w:sz w:val="24"/>
          <w:szCs w:val="24"/>
          <w:rtl w:val="0"/>
        </w:rPr>
        <w:t xml:space="preserve">shall apply to the extent of any conflict.</w:t>
      </w:r>
    </w:p>
    <w:p w:rsidR="00000000" w:rsidDel="00000000" w:rsidP="00000000" w:rsidRDefault="00000000" w:rsidRPr="00000000" w14:paraId="000001F7">
      <w:pPr>
        <w:pStyle w:val="Heading1"/>
        <w:numPr>
          <w:ilvl w:val="0"/>
          <w:numId w:val="2"/>
        </w:numPr>
        <w:spacing w:after="120" w:before="120" w:lineRule="auto"/>
        <w:ind w:left="720" w:hanging="720"/>
        <w:rPr/>
      </w:pPr>
      <w:bookmarkStart w:colFirst="0" w:colLast="0" w:name="_heading=h.b0boumf299zv" w:id="52"/>
      <w:bookmarkEnd w:id="52"/>
      <w:r w:rsidDel="00000000" w:rsidR="00000000" w:rsidRPr="00000000">
        <w:rPr>
          <w:rtl w:val="0"/>
        </w:rPr>
        <w:t xml:space="preserve">Certification Requirements</w:t>
      </w:r>
    </w:p>
    <w:p w:rsidR="00000000" w:rsidDel="00000000" w:rsidP="00000000" w:rsidRDefault="00000000" w:rsidRPr="00000000" w14:paraId="000001F8">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The Supplier shall ensure that, unless otherwise agreed by the Buyer, both:</w:t>
      </w:r>
    </w:p>
    <w:p w:rsidR="00000000" w:rsidDel="00000000" w:rsidP="00000000" w:rsidRDefault="00000000" w:rsidRPr="00000000" w14:paraId="000001F9">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it; and</w:t>
      </w:r>
    </w:p>
    <w:p w:rsidR="00000000" w:rsidDel="00000000" w:rsidP="00000000" w:rsidRDefault="00000000" w:rsidRPr="00000000" w14:paraId="000001FA">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any SIMS Sub-contractor, any Key Subcontractor, any Higher-risk Sub-contractor and any Medium-risk Sub-contractor,</w:t>
      </w:r>
    </w:p>
    <w:p w:rsidR="00000000" w:rsidDel="00000000" w:rsidP="00000000" w:rsidRDefault="00000000" w:rsidRPr="00000000" w14:paraId="000001FB">
      <w:pPr>
        <w:pStyle w:val="Heading2"/>
        <w:keepNext w:val="1"/>
        <w:spacing w:after="120" w:before="120" w:lineRule="auto"/>
        <w:ind w:left="720" w:firstLine="0"/>
        <w:rPr>
          <w:sz w:val="24"/>
          <w:szCs w:val="24"/>
        </w:rPr>
      </w:pPr>
      <w:r w:rsidDel="00000000" w:rsidR="00000000" w:rsidRPr="00000000">
        <w:rPr>
          <w:sz w:val="24"/>
          <w:szCs w:val="24"/>
          <w:rtl w:val="0"/>
        </w:rPr>
        <w:t xml:space="preserve">are certified as compliant with the Relevant Certifications, that is to say:</w:t>
      </w:r>
    </w:p>
    <w:p w:rsidR="00000000" w:rsidDel="00000000" w:rsidP="00000000" w:rsidRDefault="00000000" w:rsidRPr="00000000" w14:paraId="000001FC">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in the case of the Supplier, any SIMS Sub-contractor and any Key Subcontractor:</w:t>
      </w:r>
    </w:p>
    <w:p w:rsidR="00000000" w:rsidDel="00000000" w:rsidP="00000000" w:rsidRDefault="00000000" w:rsidRPr="00000000" w14:paraId="000001FD">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either:</w:t>
      </w:r>
    </w:p>
    <w:p w:rsidR="00000000" w:rsidDel="00000000" w:rsidP="00000000" w:rsidRDefault="00000000" w:rsidRPr="00000000" w14:paraId="000001FE">
      <w:pPr>
        <w:pStyle w:val="Heading5"/>
        <w:numPr>
          <w:ilvl w:val="4"/>
          <w:numId w:val="2"/>
        </w:numPr>
        <w:ind w:left="2880" w:hanging="720"/>
        <w:rPr>
          <w:sz w:val="24"/>
          <w:szCs w:val="24"/>
        </w:rPr>
      </w:pPr>
      <w:r w:rsidDel="00000000" w:rsidR="00000000" w:rsidRPr="00000000">
        <w:rPr>
          <w:sz w:val="24"/>
          <w:szCs w:val="24"/>
          <w:rtl w:val="0"/>
        </w:rPr>
        <w:t xml:space="preserve">an ISO Certification in respect of the Supplier Information Management System; or</w:t>
      </w:r>
    </w:p>
    <w:p w:rsidR="00000000" w:rsidDel="00000000" w:rsidP="00000000" w:rsidRDefault="00000000" w:rsidRPr="00000000" w14:paraId="000001FF">
      <w:pPr>
        <w:pStyle w:val="Heading5"/>
        <w:numPr>
          <w:ilvl w:val="4"/>
          <w:numId w:val="2"/>
        </w:numPr>
        <w:spacing w:after="120" w:before="120" w:lineRule="auto"/>
        <w:ind w:left="2880" w:hanging="720"/>
        <w:rPr>
          <w:sz w:val="24"/>
          <w:szCs w:val="24"/>
        </w:rPr>
      </w:pPr>
      <w:r w:rsidDel="00000000" w:rsidR="00000000" w:rsidRPr="00000000">
        <w:rPr>
          <w:sz w:val="24"/>
          <w:szCs w:val="24"/>
          <w:rtl w:val="0"/>
        </w:rPr>
        <w:t xml:space="preserve">where the Supplier Information Management System is included within the scope of a wider ISO Certification, that ISO Certification; and</w:t>
      </w:r>
    </w:p>
    <w:p w:rsidR="00000000" w:rsidDel="00000000" w:rsidP="00000000" w:rsidRDefault="00000000" w:rsidRPr="00000000" w14:paraId="00000200">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Cyber Essentials Plus;</w:t>
      </w:r>
    </w:p>
    <w:p w:rsidR="00000000" w:rsidDel="00000000" w:rsidP="00000000" w:rsidRDefault="00000000" w:rsidRPr="00000000" w14:paraId="00000201">
      <w:pPr>
        <w:pStyle w:val="Heading4"/>
        <w:spacing w:after="120" w:before="120" w:lineRule="auto"/>
        <w:ind w:left="1440" w:firstLine="1440"/>
        <w:rPr>
          <w:sz w:val="24"/>
          <w:szCs w:val="24"/>
        </w:rPr>
      </w:pPr>
      <w:r w:rsidDel="00000000" w:rsidR="00000000" w:rsidRPr="00000000">
        <w:rPr>
          <w:sz w:val="24"/>
          <w:szCs w:val="24"/>
          <w:rtl w:val="0"/>
        </w:rPr>
        <w:t xml:space="preserve">(or equivalent); and</w:t>
      </w:r>
    </w:p>
    <w:p w:rsidR="00000000" w:rsidDel="00000000" w:rsidP="00000000" w:rsidRDefault="00000000" w:rsidRPr="00000000" w14:paraId="00000202">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In the case of any Higher-risk Sub-contractor, either:</w:t>
      </w:r>
    </w:p>
    <w:p w:rsidR="00000000" w:rsidDel="00000000" w:rsidP="00000000" w:rsidRDefault="00000000" w:rsidRPr="00000000" w14:paraId="00000203">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an ISO Certification in respect of that part of the Supplier Information Management System provided by the Higher-risk Sub-contractor; or</w:t>
      </w:r>
    </w:p>
    <w:p w:rsidR="00000000" w:rsidDel="00000000" w:rsidP="00000000" w:rsidRDefault="00000000" w:rsidRPr="00000000" w14:paraId="00000204">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where that part of the Supplier Information Management System provided by the Higher-risk Sub-contractor is included within the scope of a wider ISO Certification, that ISO Certification; or</w:t>
      </w:r>
    </w:p>
    <w:p w:rsidR="00000000" w:rsidDel="00000000" w:rsidP="00000000" w:rsidRDefault="00000000" w:rsidRPr="00000000" w14:paraId="00000205">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Cyber Essentials Plus; and</w:t>
      </w:r>
    </w:p>
    <w:p w:rsidR="00000000" w:rsidDel="00000000" w:rsidP="00000000" w:rsidRDefault="00000000" w:rsidRPr="00000000" w14:paraId="00000206">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in the case of any Medium-risk Sub-contractor, Cyber Essentials (or equivalent).</w:t>
      </w:r>
    </w:p>
    <w:p w:rsidR="00000000" w:rsidDel="00000000" w:rsidP="00000000" w:rsidRDefault="00000000" w:rsidRPr="00000000" w14:paraId="00000207">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Unless otherwise agreed by the Buyer, before it begins to provide the Services, the Supplier must provide the Buyer with a copy of:</w:t>
      </w:r>
    </w:p>
    <w:p w:rsidR="00000000" w:rsidDel="00000000" w:rsidP="00000000" w:rsidRDefault="00000000" w:rsidRPr="00000000" w14:paraId="00000208">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the Relevant Certifications for it and any Sub-contractor; and</w:t>
      </w:r>
    </w:p>
    <w:p w:rsidR="00000000" w:rsidDel="00000000" w:rsidP="00000000" w:rsidRDefault="00000000" w:rsidRPr="00000000" w14:paraId="00000209">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relevant scope and statement of applicability required under the ISO/IEC 27001 Relevant Certifications.</w:t>
      </w:r>
    </w:p>
    <w:p w:rsidR="00000000" w:rsidDel="00000000" w:rsidP="00000000" w:rsidRDefault="00000000" w:rsidRPr="00000000" w14:paraId="0000020A">
      <w:pPr>
        <w:pStyle w:val="Heading2"/>
        <w:keepNext w:val="1"/>
        <w:numPr>
          <w:ilvl w:val="1"/>
          <w:numId w:val="2"/>
        </w:numPr>
        <w:spacing w:after="120" w:before="120" w:lineRule="auto"/>
        <w:ind w:left="720" w:hanging="720"/>
        <w:rPr>
          <w:sz w:val="24"/>
          <w:szCs w:val="24"/>
        </w:rPr>
      </w:pPr>
      <w:bookmarkStart w:colFirst="0" w:colLast="0" w:name="_heading=h.47hu8kna23rr" w:id="53"/>
      <w:bookmarkEnd w:id="53"/>
      <w:r w:rsidDel="00000000" w:rsidR="00000000" w:rsidRPr="00000000">
        <w:rPr>
          <w:sz w:val="24"/>
          <w:szCs w:val="24"/>
          <w:rtl w:val="0"/>
        </w:rPr>
        <w:t xml:space="preserve">The Supplier must ensure that at the time it begins to provide the Services, the Relevant Certifications for it and any Sub-contractor are:</w:t>
      </w:r>
    </w:p>
    <w:p w:rsidR="00000000" w:rsidDel="00000000" w:rsidP="00000000" w:rsidRDefault="00000000" w:rsidRPr="00000000" w14:paraId="0000020B">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currently in effect;</w:t>
      </w:r>
    </w:p>
    <w:p w:rsidR="00000000" w:rsidDel="00000000" w:rsidP="00000000" w:rsidRDefault="00000000" w:rsidRPr="00000000" w14:paraId="0000020C">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together cover at least the full scope of the Supplier Information Management System; and</w:t>
      </w:r>
    </w:p>
    <w:p w:rsidR="00000000" w:rsidDel="00000000" w:rsidP="00000000" w:rsidRDefault="00000000" w:rsidRPr="00000000" w14:paraId="0000020D">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are not subject to any condition that may impact the provision of the Services or the Development Activity (</w:t>
      </w:r>
      <w:r w:rsidDel="00000000" w:rsidR="00000000" w:rsidRPr="00000000">
        <w:rPr>
          <w:b w:val="1"/>
          <w:sz w:val="24"/>
          <w:szCs w:val="24"/>
          <w:rtl w:val="0"/>
        </w:rPr>
        <w:t xml:space="preserve">Certification Requirements</w:t>
      </w:r>
      <w:r w:rsidDel="00000000" w:rsidR="00000000" w:rsidRPr="00000000">
        <w:rPr>
          <w:sz w:val="24"/>
          <w:szCs w:val="24"/>
          <w:rtl w:val="0"/>
        </w:rPr>
        <w:t xml:space="preserve">).</w:t>
      </w:r>
    </w:p>
    <w:p w:rsidR="00000000" w:rsidDel="00000000" w:rsidP="00000000" w:rsidRDefault="00000000" w:rsidRPr="00000000" w14:paraId="0000020E">
      <w:pPr>
        <w:pStyle w:val="Heading2"/>
        <w:keepNext w:val="1"/>
        <w:numPr>
          <w:ilvl w:val="1"/>
          <w:numId w:val="2"/>
        </w:numPr>
        <w:spacing w:after="120" w:before="120" w:lineRule="auto"/>
        <w:ind w:left="720" w:hanging="720"/>
        <w:rPr>
          <w:sz w:val="24"/>
          <w:szCs w:val="24"/>
        </w:rPr>
      </w:pPr>
      <w:bookmarkStart w:colFirst="0" w:colLast="0" w:name="_heading=h.9lr2n2l7sqe3" w:id="54"/>
      <w:bookmarkEnd w:id="54"/>
      <w:r w:rsidDel="00000000" w:rsidR="00000000" w:rsidRPr="00000000">
        <w:rPr>
          <w:sz w:val="24"/>
          <w:szCs w:val="24"/>
          <w:rtl w:val="0"/>
        </w:rPr>
        <w:t xml:space="preserve">The Supplier must notify the Buyer promptly, and in any event within three Working Days, after becoming aware that, in respect of it or any Sub-contractor:</w:t>
      </w:r>
    </w:p>
    <w:p w:rsidR="00000000" w:rsidDel="00000000" w:rsidP="00000000" w:rsidRDefault="00000000" w:rsidRPr="00000000" w14:paraId="0000020F">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a Relevant Certification in respect of the Supplier Information Management System has been revoked or cancelled by the body that awarded it;</w:t>
      </w:r>
    </w:p>
    <w:p w:rsidR="00000000" w:rsidDel="00000000" w:rsidP="00000000" w:rsidRDefault="00000000" w:rsidRPr="00000000" w14:paraId="00000210">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a Relevant Certification in respect of the Supplier Information Management System has expired and has not been renewed by the Supplier;</w:t>
      </w:r>
    </w:p>
    <w:p w:rsidR="00000000" w:rsidDel="00000000" w:rsidP="00000000" w:rsidRDefault="00000000" w:rsidRPr="00000000" w14:paraId="00000211">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Relevant Certifications together no longer apply to the full scope of the Supplier Information Management System; or</w:t>
      </w:r>
    </w:p>
    <w:p w:rsidR="00000000" w:rsidDel="00000000" w:rsidP="00000000" w:rsidRDefault="00000000" w:rsidRPr="00000000" w14:paraId="00000212">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body that awarded a Relevant Certification has made it subject to conditions, the compliance with which may impact the provision of the Services (each a </w:t>
      </w:r>
      <w:r w:rsidDel="00000000" w:rsidR="00000000" w:rsidRPr="00000000">
        <w:rPr>
          <w:b w:val="1"/>
          <w:sz w:val="24"/>
          <w:szCs w:val="24"/>
          <w:rtl w:val="0"/>
        </w:rPr>
        <w:t xml:space="preserve">Certification Default</w:t>
      </w:r>
      <w:r w:rsidDel="00000000" w:rsidR="00000000" w:rsidRPr="00000000">
        <w:rPr>
          <w:sz w:val="24"/>
          <w:szCs w:val="24"/>
          <w:rtl w:val="0"/>
        </w:rPr>
        <w:t xml:space="preserve">)</w:t>
      </w:r>
    </w:p>
    <w:p w:rsidR="00000000" w:rsidDel="00000000" w:rsidP="00000000" w:rsidRDefault="00000000" w:rsidRPr="00000000" w14:paraId="00000213">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Where the Supplier has notified the Buyer of a Certification Default under Paragraph 13.4:</w:t>
      </w:r>
    </w:p>
    <w:p w:rsidR="00000000" w:rsidDel="00000000" w:rsidP="00000000" w:rsidRDefault="00000000" w:rsidRPr="00000000" w14:paraId="00000214">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the Supplier must, within ten Working Days of the date in which the Supplier provided notice under Paragraph 13.4(or such other period as the Parties may agree) provide a draft plan (</w:t>
      </w:r>
      <w:r w:rsidDel="00000000" w:rsidR="00000000" w:rsidRPr="00000000">
        <w:rPr>
          <w:b w:val="1"/>
          <w:sz w:val="24"/>
          <w:szCs w:val="24"/>
          <w:rtl w:val="0"/>
        </w:rPr>
        <w:t xml:space="preserve">Certification Rectification Plan</w:t>
      </w:r>
      <w:r w:rsidDel="00000000" w:rsidR="00000000" w:rsidRPr="00000000">
        <w:rPr>
          <w:sz w:val="24"/>
          <w:szCs w:val="24"/>
          <w:rtl w:val="0"/>
        </w:rPr>
        <w:t xml:space="preserve">) to the Buyer setting out:</w:t>
      </w:r>
    </w:p>
    <w:p w:rsidR="00000000" w:rsidDel="00000000" w:rsidP="00000000" w:rsidRDefault="00000000" w:rsidRPr="00000000" w14:paraId="00000215">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full details of the Certification Default, including a root cause analysis;</w:t>
      </w:r>
    </w:p>
    <w:p w:rsidR="00000000" w:rsidDel="00000000" w:rsidP="00000000" w:rsidRDefault="00000000" w:rsidRPr="00000000" w14:paraId="00000216">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the actual and anticipated effects of the Certification Default; and</w:t>
      </w:r>
    </w:p>
    <w:p w:rsidR="00000000" w:rsidDel="00000000" w:rsidP="00000000" w:rsidRDefault="00000000" w:rsidRPr="00000000" w14:paraId="00000217">
      <w:pPr>
        <w:pStyle w:val="Heading4"/>
        <w:keepNext w:val="1"/>
        <w:numPr>
          <w:ilvl w:val="3"/>
          <w:numId w:val="2"/>
        </w:numPr>
        <w:spacing w:after="120" w:before="120" w:lineRule="auto"/>
        <w:ind w:left="2160" w:hanging="720"/>
        <w:rPr>
          <w:sz w:val="24"/>
          <w:szCs w:val="24"/>
        </w:rPr>
      </w:pPr>
      <w:r w:rsidDel="00000000" w:rsidR="00000000" w:rsidRPr="00000000">
        <w:rPr>
          <w:sz w:val="24"/>
          <w:szCs w:val="24"/>
          <w:rtl w:val="0"/>
        </w:rPr>
        <w:t xml:space="preserve">the steps the Supplier and any Sub-contractor to which the Certification Default relates will take to remedy the Certification Default;</w:t>
      </w:r>
    </w:p>
    <w:p w:rsidR="00000000" w:rsidDel="00000000" w:rsidP="00000000" w:rsidRDefault="00000000" w:rsidRPr="00000000" w14:paraId="00000218">
      <w:pPr>
        <w:pStyle w:val="Heading3"/>
        <w:numPr>
          <w:ilvl w:val="2"/>
          <w:numId w:val="2"/>
        </w:numPr>
        <w:spacing w:after="120" w:before="120" w:lineRule="auto"/>
        <w:ind w:left="1440" w:hanging="720"/>
        <w:rPr>
          <w:sz w:val="24"/>
          <w:szCs w:val="24"/>
        </w:rPr>
      </w:pPr>
      <w:bookmarkStart w:colFirst="0" w:colLast="0" w:name="_heading=h.4ev0rhk9kfk0" w:id="55"/>
      <w:bookmarkEnd w:id="55"/>
      <w:r w:rsidDel="00000000" w:rsidR="00000000" w:rsidRPr="00000000">
        <w:rPr>
          <w:sz w:val="24"/>
          <w:szCs w:val="24"/>
          <w:rtl w:val="0"/>
        </w:rPr>
        <w:t xml:space="preserve">the Buyer must notify the Supplier as soon as reasonably practicable whether it accepts or rejects the Certification Rectification Plan;</w:t>
      </w:r>
    </w:p>
    <w:p w:rsidR="00000000" w:rsidDel="00000000" w:rsidP="00000000" w:rsidRDefault="00000000" w:rsidRPr="00000000" w14:paraId="00000219">
      <w:pPr>
        <w:pStyle w:val="Heading3"/>
        <w:keepNext w:val="1"/>
        <w:numPr>
          <w:ilvl w:val="2"/>
          <w:numId w:val="2"/>
        </w:numPr>
        <w:spacing w:after="120" w:before="120" w:lineRule="auto"/>
        <w:ind w:left="1440" w:hanging="720"/>
        <w:rPr>
          <w:sz w:val="24"/>
          <w:szCs w:val="24"/>
        </w:rPr>
      </w:pPr>
      <w:bookmarkStart w:colFirst="0" w:colLast="0" w:name="_heading=h.n6rgf7p3bld1" w:id="56"/>
      <w:bookmarkEnd w:id="56"/>
      <w:r w:rsidDel="00000000" w:rsidR="00000000" w:rsidRPr="00000000">
        <w:rPr>
          <w:sz w:val="24"/>
          <w:szCs w:val="24"/>
          <w:rtl w:val="0"/>
        </w:rPr>
        <w:t xml:space="preserve">if the Buyer rejects the Certification Rectification Plan, the Supplier must within five Working Days of the date of the rejection submit a revised Certification Rectification Plan and Paragraph 13.5.2 will apply to the re-submitted plan;</w:t>
      </w:r>
    </w:p>
    <w:p w:rsidR="00000000" w:rsidDel="00000000" w:rsidP="00000000" w:rsidRDefault="00000000" w:rsidRPr="00000000" w14:paraId="0000021A">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rejection by the Buyer of a revised Certification Rectification Plan is a material Default of the Contract; and</w:t>
      </w:r>
    </w:p>
    <w:p w:rsidR="00000000" w:rsidDel="00000000" w:rsidP="00000000" w:rsidRDefault="00000000" w:rsidRPr="00000000" w14:paraId="0000021B">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if the Buyer accepts the Certification Rectification Plan, the Supplier must start work immediately on the plan.</w:t>
      </w:r>
    </w:p>
    <w:p w:rsidR="00000000" w:rsidDel="00000000" w:rsidP="00000000" w:rsidRDefault="00000000" w:rsidRPr="00000000" w14:paraId="0000021C">
      <w:pPr>
        <w:pStyle w:val="Heading1"/>
        <w:numPr>
          <w:ilvl w:val="0"/>
          <w:numId w:val="2"/>
        </w:numPr>
        <w:spacing w:after="120" w:before="120" w:lineRule="auto"/>
        <w:ind w:left="720" w:hanging="720"/>
        <w:rPr/>
      </w:pPr>
      <w:bookmarkStart w:colFirst="0" w:colLast="0" w:name="_heading=h.q5jt2d1k5n2y" w:id="57"/>
      <w:bookmarkEnd w:id="57"/>
      <w:r w:rsidDel="00000000" w:rsidR="00000000" w:rsidRPr="00000000">
        <w:rPr>
          <w:rtl w:val="0"/>
        </w:rPr>
        <w:t xml:space="preserve">Security Management Plan</w:t>
      </w:r>
    </w:p>
    <w:p w:rsidR="00000000" w:rsidDel="00000000" w:rsidP="00000000" w:rsidRDefault="00000000" w:rsidRPr="00000000" w14:paraId="0000021D">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Purpose of Security Management Plan</w:t>
      </w:r>
    </w:p>
    <w:p w:rsidR="00000000" w:rsidDel="00000000" w:rsidP="00000000" w:rsidRDefault="00000000" w:rsidRPr="00000000" w14:paraId="0000021E">
      <w:pPr>
        <w:pStyle w:val="Heading2"/>
        <w:numPr>
          <w:ilvl w:val="1"/>
          <w:numId w:val="2"/>
        </w:numPr>
        <w:spacing w:after="120" w:before="120" w:lineRule="auto"/>
        <w:ind w:left="720" w:hanging="720"/>
        <w:rPr>
          <w:sz w:val="24"/>
          <w:szCs w:val="24"/>
        </w:rPr>
      </w:pPr>
      <w:bookmarkStart w:colFirst="0" w:colLast="0" w:name="_heading=h.2yi7z9dg55nv" w:id="58"/>
      <w:bookmarkEnd w:id="58"/>
      <w:r w:rsidDel="00000000" w:rsidR="00000000" w:rsidRPr="00000000">
        <w:rPr>
          <w:sz w:val="24"/>
          <w:szCs w:val="24"/>
          <w:rtl w:val="0"/>
        </w:rPr>
        <w:t xml:space="preserve">The Buyer may, at any time, provide the Supplier with a Statement of Information Risk Appetite.</w:t>
      </w:r>
    </w:p>
    <w:p w:rsidR="00000000" w:rsidDel="00000000" w:rsidP="00000000" w:rsidRDefault="00000000" w:rsidRPr="00000000" w14:paraId="0000021F">
      <w:pPr>
        <w:pStyle w:val="Heading2"/>
        <w:keepNext w:val="1"/>
        <w:numPr>
          <w:ilvl w:val="1"/>
          <w:numId w:val="2"/>
        </w:numPr>
        <w:spacing w:after="120" w:before="120" w:lineRule="auto"/>
        <w:ind w:left="720" w:hanging="720"/>
        <w:rPr>
          <w:sz w:val="24"/>
          <w:szCs w:val="24"/>
        </w:rPr>
      </w:pPr>
      <w:bookmarkStart w:colFirst="0" w:colLast="0" w:name="_heading=h.b7qa6uisiica" w:id="59"/>
      <w:bookmarkEnd w:id="59"/>
      <w:r w:rsidDel="00000000" w:rsidR="00000000" w:rsidRPr="00000000">
        <w:rPr>
          <w:sz w:val="24"/>
          <w:szCs w:val="24"/>
          <w:rtl w:val="0"/>
        </w:rPr>
        <w:t xml:space="preserve">The Supplier must document in the Security Management Plan how the Supplier and its Sub-contractors will:</w:t>
      </w:r>
    </w:p>
    <w:p w:rsidR="00000000" w:rsidDel="00000000" w:rsidP="00000000" w:rsidRDefault="00000000" w:rsidRPr="00000000" w14:paraId="00000220">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comply with the requirements set out in this Schedule and the Contract in order to ensure the security of the Government Data and the Supplier Information Management System; and</w:t>
      </w:r>
    </w:p>
    <w:p w:rsidR="00000000" w:rsidDel="00000000" w:rsidP="00000000" w:rsidRDefault="00000000" w:rsidRPr="00000000" w14:paraId="00000221">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ensure that the operation of the Supplier Information Management System and the provision of the Services does not give rise to any information security risks greater than those set out in that Statement of Information Risk Appetite (where one has been provided). </w:t>
      </w:r>
    </w:p>
    <w:p w:rsidR="00000000" w:rsidDel="00000000" w:rsidP="00000000" w:rsidRDefault="00000000" w:rsidRPr="00000000" w14:paraId="00000222">
      <w:pPr>
        <w:pStyle w:val="Heading2"/>
        <w:keepNext w:val="1"/>
        <w:numPr>
          <w:ilvl w:val="1"/>
          <w:numId w:val="2"/>
        </w:numPr>
        <w:spacing w:after="120" w:before="120" w:lineRule="auto"/>
        <w:ind w:left="720" w:hanging="720"/>
        <w:rPr>
          <w:sz w:val="24"/>
          <w:szCs w:val="24"/>
        </w:rPr>
      </w:pPr>
      <w:bookmarkStart w:colFirst="0" w:colLast="0" w:name="_heading=h.6psw5v24fs32" w:id="60"/>
      <w:bookmarkEnd w:id="60"/>
      <w:r w:rsidDel="00000000" w:rsidR="00000000" w:rsidRPr="00000000">
        <w:rPr>
          <w:sz w:val="24"/>
          <w:szCs w:val="24"/>
          <w:rtl w:val="0"/>
        </w:rPr>
        <w:t xml:space="preserve">The Supplier must ensure that:</w:t>
      </w:r>
    </w:p>
    <w:p w:rsidR="00000000" w:rsidDel="00000000" w:rsidP="00000000" w:rsidRDefault="00000000" w:rsidRPr="00000000" w14:paraId="00000223">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Security Management Plan accurately represents the Supplier Information Management System; </w:t>
      </w:r>
    </w:p>
    <w:p w:rsidR="00000000" w:rsidDel="00000000" w:rsidP="00000000" w:rsidRDefault="00000000" w:rsidRPr="00000000" w14:paraId="00000224">
      <w:pPr>
        <w:pStyle w:val="Heading3"/>
        <w:numPr>
          <w:ilvl w:val="2"/>
          <w:numId w:val="2"/>
        </w:numPr>
        <w:spacing w:after="120" w:before="120" w:lineRule="auto"/>
        <w:ind w:left="1440" w:hanging="720"/>
        <w:rPr>
          <w:sz w:val="24"/>
          <w:szCs w:val="24"/>
        </w:rPr>
      </w:pPr>
      <w:bookmarkStart w:colFirst="0" w:colLast="0" w:name="_heading=h.id10lbdr431n" w:id="61"/>
      <w:bookmarkEnd w:id="61"/>
      <w:r w:rsidDel="00000000" w:rsidR="00000000" w:rsidRPr="00000000">
        <w:rPr>
          <w:sz w:val="24"/>
          <w:szCs w:val="24"/>
          <w:rtl w:val="0"/>
        </w:rPr>
        <w:t xml:space="preserve">the Supplier Information Management System will meet the requirements of this Schedule and the Statement of Information Risk Appetite (where one has been provided); and</w:t>
      </w:r>
    </w:p>
    <w:p w:rsidR="00000000" w:rsidDel="00000000" w:rsidP="00000000" w:rsidRDefault="00000000" w:rsidRPr="00000000" w14:paraId="00000225">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residual risks of the Supplier Information Management System are no greater than those provided for in the Statement of Information Risk Appetite (where one has been provided).</w:t>
      </w:r>
    </w:p>
    <w:p w:rsidR="00000000" w:rsidDel="00000000" w:rsidP="00000000" w:rsidRDefault="00000000" w:rsidRPr="00000000" w14:paraId="00000226">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Preparation of Security Management Plan</w:t>
      </w:r>
    </w:p>
    <w:p w:rsidR="00000000" w:rsidDel="00000000" w:rsidP="00000000" w:rsidRDefault="00000000" w:rsidRPr="00000000" w14:paraId="00000227">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The Supplier must prepare and submit the Security Management Plan to the Buyer:</w:t>
      </w:r>
    </w:p>
    <w:p w:rsidR="00000000" w:rsidDel="00000000" w:rsidP="00000000" w:rsidRDefault="00000000" w:rsidRPr="00000000" w14:paraId="00000228">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by the date specified in the Implementation Plan; or</w:t>
      </w:r>
    </w:p>
    <w:p w:rsidR="00000000" w:rsidDel="00000000" w:rsidP="00000000" w:rsidRDefault="00000000" w:rsidRPr="00000000" w14:paraId="00000229">
      <w:pPr>
        <w:pStyle w:val="Heading3"/>
        <w:keepNext w:val="1"/>
        <w:numPr>
          <w:ilvl w:val="2"/>
          <w:numId w:val="2"/>
        </w:numPr>
        <w:spacing w:after="120" w:before="120" w:lineRule="auto"/>
        <w:ind w:left="1440" w:hanging="720"/>
        <w:rPr>
          <w:sz w:val="24"/>
          <w:szCs w:val="24"/>
        </w:rPr>
      </w:pPr>
      <w:bookmarkStart w:colFirst="0" w:colLast="0" w:name="_heading=h.hhix8iqlhxfv" w:id="62"/>
      <w:bookmarkEnd w:id="62"/>
      <w:r w:rsidDel="00000000" w:rsidR="00000000" w:rsidRPr="00000000">
        <w:rPr>
          <w:sz w:val="24"/>
          <w:szCs w:val="24"/>
          <w:rtl w:val="0"/>
        </w:rPr>
        <w:t xml:space="preserve">if no such date is specified, in sufficient time to allow for the Buyer review and approve the Security Management Plan before the Start Date.</w:t>
      </w:r>
    </w:p>
    <w:p w:rsidR="00000000" w:rsidDel="00000000" w:rsidP="00000000" w:rsidRDefault="00000000" w:rsidRPr="00000000" w14:paraId="0000022A">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If Paragraph 14.4.2 applies, and any delay resulting from the Buyer's review and approval of the Security Management Plan (including any additional activity required by the Supplier to ensure the Security Management Plan complies with Paragraph 14.3) causes or contributes to Supplier Non-Performance  that delay is not a Authority Cause and the Supplier shall not be entitled to any relief or compensation under Clause 5.1 </w:t>
      </w:r>
      <w:r w:rsidDel="00000000" w:rsidR="00000000" w:rsidRPr="00000000">
        <w:rPr>
          <w:i w:val="1"/>
          <w:sz w:val="24"/>
          <w:szCs w:val="24"/>
          <w:rtl w:val="0"/>
        </w:rPr>
        <w:t xml:space="preserve">(the Buyer's obligations to the Supplier)</w:t>
      </w:r>
      <w:r w:rsidDel="00000000" w:rsidR="00000000" w:rsidRPr="00000000">
        <w:rPr>
          <w:sz w:val="24"/>
          <w:szCs w:val="24"/>
          <w:rtl w:val="0"/>
        </w:rPr>
        <w:t xml:space="preserve"> of the General Terms.</w:t>
      </w:r>
    </w:p>
    <w:p w:rsidR="00000000" w:rsidDel="00000000" w:rsidP="00000000" w:rsidRDefault="00000000" w:rsidRPr="00000000" w14:paraId="0000022B">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Contents of Security Management Plan</w:t>
      </w:r>
    </w:p>
    <w:p w:rsidR="00000000" w:rsidDel="00000000" w:rsidP="00000000" w:rsidRDefault="00000000" w:rsidRPr="00000000" w14:paraId="0000022C">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The Security Management Plan must include:</w:t>
      </w:r>
    </w:p>
    <w:p w:rsidR="00000000" w:rsidDel="00000000" w:rsidP="00000000" w:rsidRDefault="00000000" w:rsidRPr="00000000" w14:paraId="0000022D">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a formal information risk assessment of, and a risk treatment plan for, the Supplier Information Management System;</w:t>
      </w:r>
    </w:p>
    <w:p w:rsidR="00000000" w:rsidDel="00000000" w:rsidP="00000000" w:rsidRDefault="00000000" w:rsidRPr="00000000" w14:paraId="0000022E">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a completed statement of applicability under the relevant ISO Certification for the Supplier Information Management System;</w:t>
      </w:r>
    </w:p>
    <w:p w:rsidR="00000000" w:rsidDel="00000000" w:rsidP="00000000" w:rsidRDefault="00000000" w:rsidRPr="00000000" w14:paraId="0000022F">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the process for managing any security risks from Sub-contractors and third parties with access to the Services, the Supplier Information Management System or the Government Data;</w:t>
      </w:r>
    </w:p>
    <w:p w:rsidR="00000000" w:rsidDel="00000000" w:rsidP="00000000" w:rsidRDefault="00000000" w:rsidRPr="00000000" w14:paraId="00000230">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unless the Buyer has waived this requirement by selecting the relevant option in Paragraph 1, an assessment of the Supplier Information Management System against the table in Appendix 6 (</w:t>
      </w:r>
      <w:r w:rsidDel="00000000" w:rsidR="00000000" w:rsidRPr="00000000">
        <w:rPr>
          <w:i w:val="1"/>
          <w:sz w:val="24"/>
          <w:szCs w:val="24"/>
          <w:rtl w:val="0"/>
        </w:rPr>
        <w:t xml:space="preserve">Secure by Design Principles Evaluation Table</w:t>
      </w:r>
      <w:r w:rsidDel="00000000" w:rsidR="00000000" w:rsidRPr="00000000">
        <w:rPr>
          <w:sz w:val="24"/>
          <w:szCs w:val="24"/>
          <w:rtl w:val="0"/>
        </w:rPr>
        <w:t xml:space="preserve">);</w:t>
      </w:r>
    </w:p>
    <w:p w:rsidR="00000000" w:rsidDel="00000000" w:rsidP="00000000" w:rsidRDefault="00000000" w:rsidRPr="00000000" w14:paraId="00000231">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unless such requirement is waived by the Buyer, the controls the Supplier will implement in respect of the Services and all processes associated with the delivery of the Services, including:</w:t>
      </w:r>
    </w:p>
    <w:p w:rsidR="00000000" w:rsidDel="00000000" w:rsidP="00000000" w:rsidRDefault="00000000" w:rsidRPr="00000000" w14:paraId="00000232">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the Supplier System;</w:t>
      </w:r>
    </w:p>
    <w:p w:rsidR="00000000" w:rsidDel="00000000" w:rsidP="00000000" w:rsidRDefault="00000000" w:rsidRPr="00000000" w14:paraId="00000233">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the Sites; and</w:t>
      </w:r>
    </w:p>
    <w:p w:rsidR="00000000" w:rsidDel="00000000" w:rsidP="00000000" w:rsidRDefault="00000000" w:rsidRPr="00000000" w14:paraId="00000234">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the Buyer System (to the extent that it is under the control of the Supplier); and </w:t>
      </w:r>
    </w:p>
    <w:p w:rsidR="00000000" w:rsidDel="00000000" w:rsidP="00000000" w:rsidRDefault="00000000" w:rsidRPr="00000000" w14:paraId="00000235">
      <w:pPr>
        <w:pStyle w:val="Heading4"/>
        <w:keepNext w:val="1"/>
        <w:numPr>
          <w:ilvl w:val="3"/>
          <w:numId w:val="2"/>
        </w:numPr>
        <w:spacing w:after="120" w:before="120" w:lineRule="auto"/>
        <w:ind w:left="2160" w:hanging="720"/>
        <w:rPr>
          <w:sz w:val="24"/>
          <w:szCs w:val="24"/>
        </w:rPr>
      </w:pPr>
      <w:r w:rsidDel="00000000" w:rsidR="00000000" w:rsidRPr="00000000">
        <w:rPr>
          <w:sz w:val="24"/>
          <w:szCs w:val="24"/>
          <w:rtl w:val="0"/>
        </w:rPr>
        <w:t xml:space="preserve">any IT, Information and data (including the Confidential Information of the Buyer and the Government Data) to the extent used by the Buyer or the Supplier:</w:t>
      </w:r>
    </w:p>
    <w:p w:rsidR="00000000" w:rsidDel="00000000" w:rsidP="00000000" w:rsidRDefault="00000000" w:rsidRPr="00000000" w14:paraId="00000236">
      <w:pPr>
        <w:pStyle w:val="Heading5"/>
        <w:numPr>
          <w:ilvl w:val="4"/>
          <w:numId w:val="2"/>
        </w:numPr>
        <w:spacing w:after="120" w:before="120" w:lineRule="auto"/>
        <w:ind w:left="2880" w:hanging="720"/>
        <w:rPr>
          <w:sz w:val="24"/>
          <w:szCs w:val="24"/>
        </w:rPr>
      </w:pPr>
      <w:r w:rsidDel="00000000" w:rsidR="00000000" w:rsidRPr="00000000">
        <w:rPr>
          <w:sz w:val="24"/>
          <w:szCs w:val="24"/>
          <w:rtl w:val="0"/>
        </w:rPr>
        <w:t xml:space="preserve">in connection with the Contract; or</w:t>
      </w:r>
    </w:p>
    <w:p w:rsidR="00000000" w:rsidDel="00000000" w:rsidP="00000000" w:rsidRDefault="00000000" w:rsidRPr="00000000" w14:paraId="00000237">
      <w:pPr>
        <w:pStyle w:val="Heading5"/>
        <w:numPr>
          <w:ilvl w:val="4"/>
          <w:numId w:val="2"/>
        </w:numPr>
        <w:spacing w:after="120" w:before="120" w:lineRule="auto"/>
        <w:ind w:left="2880" w:hanging="720"/>
        <w:rPr>
          <w:sz w:val="24"/>
          <w:szCs w:val="24"/>
        </w:rPr>
      </w:pPr>
      <w:r w:rsidDel="00000000" w:rsidR="00000000" w:rsidRPr="00000000">
        <w:rPr>
          <w:sz w:val="24"/>
          <w:szCs w:val="24"/>
          <w:rtl w:val="0"/>
        </w:rPr>
        <w:t xml:space="preserve">in connection with any system that could directly or indirectly have an impact on that Information, data and/or the Services;</w:t>
      </w:r>
    </w:p>
    <w:p w:rsidR="00000000" w:rsidDel="00000000" w:rsidP="00000000" w:rsidRDefault="00000000" w:rsidRPr="00000000" w14:paraId="00000238">
      <w:pPr>
        <w:pStyle w:val="Heading3"/>
        <w:numPr>
          <w:ilvl w:val="2"/>
          <w:numId w:val="2"/>
        </w:numPr>
        <w:spacing w:after="120" w:before="120" w:lineRule="auto"/>
        <w:ind w:left="1440" w:hanging="720"/>
        <w:rPr>
          <w:sz w:val="24"/>
          <w:szCs w:val="24"/>
        </w:rPr>
      </w:pPr>
      <w:bookmarkStart w:colFirst="0" w:colLast="0" w:name="_heading=h.ecsenehcimgb" w:id="63"/>
      <w:bookmarkEnd w:id="63"/>
      <w:r w:rsidDel="00000000" w:rsidR="00000000" w:rsidRPr="00000000">
        <w:rPr>
          <w:sz w:val="24"/>
          <w:szCs w:val="24"/>
          <w:rtl w:val="0"/>
        </w:rPr>
        <w:t xml:space="preserve">the Required Changes Register;</w:t>
      </w:r>
    </w:p>
    <w:p w:rsidR="00000000" w:rsidDel="00000000" w:rsidP="00000000" w:rsidRDefault="00000000" w:rsidRPr="00000000" w14:paraId="00000239">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evidence that the Supplier and each Sub-contractor (so far as those requirements apply) is compliant with:</w:t>
      </w:r>
    </w:p>
    <w:p w:rsidR="00000000" w:rsidDel="00000000" w:rsidP="00000000" w:rsidRDefault="00000000" w:rsidRPr="00000000" w14:paraId="0000023A">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the Certification Requirements;</w:t>
      </w:r>
    </w:p>
    <w:p w:rsidR="00000000" w:rsidDel="00000000" w:rsidP="00000000" w:rsidRDefault="00000000" w:rsidRPr="00000000" w14:paraId="0000023B">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the security requirements in Appendix 1; and</w:t>
      </w:r>
    </w:p>
    <w:p w:rsidR="00000000" w:rsidDel="00000000" w:rsidP="00000000" w:rsidRDefault="00000000" w:rsidRPr="00000000" w14:paraId="0000023C">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where the relevant option in Paragraph 1 is selected, the security requirements for Development Activity in Appendix 2;</w:t>
      </w:r>
    </w:p>
    <w:p w:rsidR="00000000" w:rsidDel="00000000" w:rsidP="00000000" w:rsidRDefault="00000000" w:rsidRPr="00000000" w14:paraId="0000023D">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diagram documenting the Supplier Information Management System, the Wider Information Management System and the boundary between them (created under Paragraph 11).</w:t>
      </w:r>
    </w:p>
    <w:p w:rsidR="00000000" w:rsidDel="00000000" w:rsidP="00000000" w:rsidRDefault="00000000" w:rsidRPr="00000000" w14:paraId="0000023E">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an assessment of the Supplier Information Management System against the requirements of this Schedule, including the security requirements in Appendix 1 and, where the relevant option in Paragraph 1 is selected, the security requirements for Development Activity in Appendix 2 (where applicable);</w:t>
      </w:r>
    </w:p>
    <w:p w:rsidR="00000000" w:rsidDel="00000000" w:rsidP="00000000" w:rsidRDefault="00000000" w:rsidRPr="00000000" w14:paraId="0000023F">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process the Supplier will implement immediately after it becomes aware of a Breach of Security to restore normal operations as quickly as possible, minimising any adverse impact on the Government Data, the Buyer, the Services and/or users of the Services; and</w:t>
      </w:r>
    </w:p>
    <w:p w:rsidR="00000000" w:rsidDel="00000000" w:rsidP="00000000" w:rsidRDefault="00000000" w:rsidRPr="00000000" w14:paraId="00000240">
      <w:pPr>
        <w:pStyle w:val="Heading3"/>
        <w:numPr>
          <w:ilvl w:val="2"/>
          <w:numId w:val="2"/>
        </w:numPr>
        <w:spacing w:after="120" w:before="120" w:lineRule="auto"/>
        <w:ind w:left="1440" w:hanging="720"/>
        <w:rPr>
          <w:sz w:val="24"/>
          <w:szCs w:val="24"/>
        </w:rPr>
      </w:pPr>
      <w:bookmarkStart w:colFirst="0" w:colLast="0" w:name="_heading=h.i24grya6rugm" w:id="64"/>
      <w:bookmarkEnd w:id="64"/>
      <w:r w:rsidDel="00000000" w:rsidR="00000000" w:rsidRPr="00000000">
        <w:rPr>
          <w:sz w:val="24"/>
          <w:szCs w:val="24"/>
          <w:rtl w:val="0"/>
        </w:rPr>
        <w:t xml:space="preserve">the following information, so far as is applicable, in respect of each Sub-contractor:</w:t>
      </w:r>
    </w:p>
    <w:p w:rsidR="00000000" w:rsidDel="00000000" w:rsidP="00000000" w:rsidRDefault="00000000" w:rsidRPr="00000000" w14:paraId="00000241">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the Sub-contractor’s:</w:t>
      </w:r>
    </w:p>
    <w:p w:rsidR="00000000" w:rsidDel="00000000" w:rsidP="00000000" w:rsidRDefault="00000000" w:rsidRPr="00000000" w14:paraId="00000242">
      <w:pPr>
        <w:pStyle w:val="Heading5"/>
        <w:numPr>
          <w:ilvl w:val="4"/>
          <w:numId w:val="2"/>
        </w:numPr>
        <w:spacing w:after="120" w:before="120" w:lineRule="auto"/>
        <w:ind w:left="2880" w:hanging="720"/>
        <w:rPr>
          <w:sz w:val="24"/>
          <w:szCs w:val="24"/>
        </w:rPr>
      </w:pPr>
      <w:r w:rsidDel="00000000" w:rsidR="00000000" w:rsidRPr="00000000">
        <w:rPr>
          <w:sz w:val="24"/>
          <w:szCs w:val="24"/>
          <w:rtl w:val="0"/>
        </w:rPr>
        <w:t xml:space="preserve">legal name;</w:t>
      </w:r>
    </w:p>
    <w:p w:rsidR="00000000" w:rsidDel="00000000" w:rsidP="00000000" w:rsidRDefault="00000000" w:rsidRPr="00000000" w14:paraId="00000243">
      <w:pPr>
        <w:pStyle w:val="Heading5"/>
        <w:numPr>
          <w:ilvl w:val="4"/>
          <w:numId w:val="2"/>
        </w:numPr>
        <w:spacing w:after="120" w:before="120" w:lineRule="auto"/>
        <w:ind w:left="2880" w:hanging="720"/>
        <w:rPr>
          <w:sz w:val="24"/>
          <w:szCs w:val="24"/>
        </w:rPr>
      </w:pPr>
      <w:r w:rsidDel="00000000" w:rsidR="00000000" w:rsidRPr="00000000">
        <w:rPr>
          <w:sz w:val="24"/>
          <w:szCs w:val="24"/>
          <w:rtl w:val="0"/>
        </w:rPr>
        <w:t xml:space="preserve">trading name (if any); and </w:t>
      </w:r>
    </w:p>
    <w:p w:rsidR="00000000" w:rsidDel="00000000" w:rsidP="00000000" w:rsidRDefault="00000000" w:rsidRPr="00000000" w14:paraId="00000244">
      <w:pPr>
        <w:pStyle w:val="Heading5"/>
        <w:numPr>
          <w:ilvl w:val="4"/>
          <w:numId w:val="2"/>
        </w:numPr>
        <w:spacing w:after="120" w:before="120" w:lineRule="auto"/>
        <w:ind w:left="2880" w:hanging="720"/>
        <w:rPr>
          <w:sz w:val="24"/>
          <w:szCs w:val="24"/>
        </w:rPr>
      </w:pPr>
      <w:r w:rsidDel="00000000" w:rsidR="00000000" w:rsidRPr="00000000">
        <w:rPr>
          <w:sz w:val="24"/>
          <w:szCs w:val="24"/>
          <w:rtl w:val="0"/>
        </w:rPr>
        <w:t xml:space="preserve">registration details (where the Sub-contractor is not an individual);</w:t>
      </w:r>
    </w:p>
    <w:p w:rsidR="00000000" w:rsidDel="00000000" w:rsidP="00000000" w:rsidRDefault="00000000" w:rsidRPr="00000000" w14:paraId="00000245">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the Relevant Certifications held by the Sub-contractor;</w:t>
      </w:r>
    </w:p>
    <w:p w:rsidR="00000000" w:rsidDel="00000000" w:rsidP="00000000" w:rsidRDefault="00000000" w:rsidRPr="00000000" w14:paraId="00000246">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the Sites used by the Sub-contractor;</w:t>
      </w:r>
    </w:p>
    <w:p w:rsidR="00000000" w:rsidDel="00000000" w:rsidP="00000000" w:rsidRDefault="00000000" w:rsidRPr="00000000" w14:paraId="00000247">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the Services provided, or contributed to, by the Sub-contractor;</w:t>
      </w:r>
    </w:p>
    <w:p w:rsidR="00000000" w:rsidDel="00000000" w:rsidP="00000000" w:rsidRDefault="00000000" w:rsidRPr="00000000" w14:paraId="00000248">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the access the Sub-contractor has to the Supplier Information Management System;</w:t>
      </w:r>
    </w:p>
    <w:p w:rsidR="00000000" w:rsidDel="00000000" w:rsidP="00000000" w:rsidRDefault="00000000" w:rsidRPr="00000000" w14:paraId="00000249">
      <w:pPr>
        <w:pStyle w:val="Heading4"/>
        <w:keepNext w:val="1"/>
        <w:numPr>
          <w:ilvl w:val="3"/>
          <w:numId w:val="2"/>
        </w:numPr>
        <w:spacing w:after="120" w:before="120" w:lineRule="auto"/>
        <w:ind w:left="2160" w:hanging="720"/>
        <w:rPr>
          <w:sz w:val="24"/>
          <w:szCs w:val="24"/>
        </w:rPr>
      </w:pPr>
      <w:r w:rsidDel="00000000" w:rsidR="00000000" w:rsidRPr="00000000">
        <w:rPr>
          <w:sz w:val="24"/>
          <w:szCs w:val="24"/>
          <w:rtl w:val="0"/>
        </w:rPr>
        <w:t xml:space="preserve">the Government Data Handled by the Sub-contractor;</w:t>
      </w:r>
    </w:p>
    <w:p w:rsidR="00000000" w:rsidDel="00000000" w:rsidP="00000000" w:rsidRDefault="00000000" w:rsidRPr="00000000" w14:paraId="0000024A">
      <w:pPr>
        <w:pStyle w:val="Heading4"/>
        <w:keepNext w:val="1"/>
        <w:numPr>
          <w:ilvl w:val="3"/>
          <w:numId w:val="2"/>
        </w:numPr>
        <w:spacing w:after="120" w:before="120" w:lineRule="auto"/>
        <w:ind w:left="2160" w:hanging="720"/>
        <w:rPr>
          <w:sz w:val="24"/>
          <w:szCs w:val="24"/>
        </w:rPr>
      </w:pPr>
      <w:r w:rsidDel="00000000" w:rsidR="00000000" w:rsidRPr="00000000">
        <w:rPr>
          <w:sz w:val="24"/>
          <w:szCs w:val="24"/>
          <w:rtl w:val="0"/>
        </w:rPr>
        <w:t xml:space="preserve">the Handling that the Sub-contractor will undertake in respect of the Government Data; and</w:t>
      </w:r>
    </w:p>
    <w:p w:rsidR="00000000" w:rsidDel="00000000" w:rsidP="00000000" w:rsidRDefault="00000000" w:rsidRPr="00000000" w14:paraId="0000024B">
      <w:pPr>
        <w:pStyle w:val="Heading4"/>
        <w:keepNext w:val="1"/>
        <w:numPr>
          <w:ilvl w:val="3"/>
          <w:numId w:val="2"/>
        </w:numPr>
        <w:spacing w:after="120" w:before="120" w:lineRule="auto"/>
        <w:ind w:left="2160" w:hanging="720"/>
        <w:rPr>
          <w:sz w:val="24"/>
          <w:szCs w:val="24"/>
        </w:rPr>
      </w:pPr>
      <w:r w:rsidDel="00000000" w:rsidR="00000000" w:rsidRPr="00000000">
        <w:rPr>
          <w:sz w:val="24"/>
          <w:szCs w:val="24"/>
          <w:rtl w:val="0"/>
        </w:rPr>
        <w:t xml:space="preserve">the measures the Sub-contractor has in place to comply with the requirements of this Schedule; and</w:t>
      </w:r>
    </w:p>
    <w:p w:rsidR="00000000" w:rsidDel="00000000" w:rsidP="00000000" w:rsidRDefault="00000000" w:rsidRPr="00000000" w14:paraId="0000024C">
      <w:pPr>
        <w:pStyle w:val="Heading4"/>
        <w:keepNext w:val="1"/>
        <w:numPr>
          <w:ilvl w:val="3"/>
          <w:numId w:val="2"/>
        </w:numPr>
        <w:spacing w:after="120" w:before="120" w:lineRule="auto"/>
        <w:ind w:left="2160" w:hanging="720"/>
        <w:rPr>
          <w:sz w:val="24"/>
          <w:szCs w:val="24"/>
        </w:rPr>
      </w:pPr>
      <w:r w:rsidDel="00000000" w:rsidR="00000000" w:rsidRPr="00000000">
        <w:rPr>
          <w:sz w:val="24"/>
          <w:szCs w:val="24"/>
          <w:rtl w:val="0"/>
        </w:rPr>
        <w:t xml:space="preserve">the due diligence the Supplier has taken to assess that compliance;</w:t>
      </w:r>
    </w:p>
    <w:p w:rsidR="00000000" w:rsidDel="00000000" w:rsidP="00000000" w:rsidRDefault="00000000" w:rsidRPr="00000000" w14:paraId="0000024D">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Register of Sites, Support Locations and Third-party Tools;</w:t>
      </w:r>
    </w:p>
    <w:p w:rsidR="00000000" w:rsidDel="00000000" w:rsidP="00000000" w:rsidRDefault="00000000" w:rsidRPr="00000000" w14:paraId="0000024E">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Modules Register;</w:t>
      </w:r>
    </w:p>
    <w:p w:rsidR="00000000" w:rsidDel="00000000" w:rsidP="00000000" w:rsidRDefault="00000000" w:rsidRPr="00000000" w14:paraId="0000024F">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Support Register;</w:t>
      </w:r>
    </w:p>
    <w:p w:rsidR="00000000" w:rsidDel="00000000" w:rsidP="00000000" w:rsidRDefault="00000000" w:rsidRPr="00000000" w14:paraId="00000250">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Backup and Recovery Plan;</w:t>
      </w:r>
    </w:p>
    <w:p w:rsidR="00000000" w:rsidDel="00000000" w:rsidP="00000000" w:rsidRDefault="00000000" w:rsidRPr="00000000" w14:paraId="00000251">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Remote Working Policy (where the Supplier or a Sub-contractor proposes to allow Supplier Staff to work from a Remote Location); and</w:t>
      </w:r>
    </w:p>
    <w:p w:rsidR="00000000" w:rsidDel="00000000" w:rsidP="00000000" w:rsidRDefault="00000000" w:rsidRPr="00000000" w14:paraId="00000252">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details of the protective monitoring that the Supplier will undertake in accordance with Paragraph 14 of Appendix 1, including:</w:t>
      </w:r>
    </w:p>
    <w:p w:rsidR="00000000" w:rsidDel="00000000" w:rsidP="00000000" w:rsidRDefault="00000000" w:rsidRPr="00000000" w14:paraId="00000253">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the additional audit and monitoring the Supplier will undertake of the Supplier Information Management System; and</w:t>
      </w:r>
    </w:p>
    <w:p w:rsidR="00000000" w:rsidDel="00000000" w:rsidP="00000000" w:rsidRDefault="00000000" w:rsidRPr="00000000" w14:paraId="00000254">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the retention periods for audit records and event logs.</w:t>
      </w:r>
    </w:p>
    <w:p w:rsidR="00000000" w:rsidDel="00000000" w:rsidP="00000000" w:rsidRDefault="00000000" w:rsidRPr="00000000" w14:paraId="00000255">
      <w:pPr>
        <w:pStyle w:val="Heading1"/>
        <w:numPr>
          <w:ilvl w:val="0"/>
          <w:numId w:val="2"/>
        </w:numPr>
        <w:spacing w:after="120" w:before="120" w:lineRule="auto"/>
        <w:ind w:left="720" w:hanging="720"/>
        <w:rPr/>
      </w:pPr>
      <w:bookmarkStart w:colFirst="0" w:colLast="0" w:name="_heading=h.3k7iqldxg98e" w:id="65"/>
      <w:bookmarkEnd w:id="65"/>
      <w:r w:rsidDel="00000000" w:rsidR="00000000" w:rsidRPr="00000000">
        <w:rPr>
          <w:rtl w:val="0"/>
        </w:rPr>
        <w:t xml:space="preserve">Monitoring and updating Security Management Plan</w:t>
      </w:r>
    </w:p>
    <w:p w:rsidR="00000000" w:rsidDel="00000000" w:rsidP="00000000" w:rsidRDefault="00000000" w:rsidRPr="00000000" w14:paraId="00000256">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Updating Security Management Plan</w:t>
      </w:r>
    </w:p>
    <w:p w:rsidR="00000000" w:rsidDel="00000000" w:rsidP="00000000" w:rsidRDefault="00000000" w:rsidRPr="00000000" w14:paraId="00000257">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The Supplier shall regularly review and update the Security Management Plan, and provide such to the Buyer, at least once each year and as required by this Paragraph.</w:t>
      </w:r>
    </w:p>
    <w:p w:rsidR="00000000" w:rsidDel="00000000" w:rsidP="00000000" w:rsidRDefault="00000000" w:rsidRPr="00000000" w14:paraId="00000258">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Monitoring</w:t>
      </w:r>
    </w:p>
    <w:p w:rsidR="00000000" w:rsidDel="00000000" w:rsidP="00000000" w:rsidRDefault="00000000" w:rsidRPr="00000000" w14:paraId="00000259">
      <w:pPr>
        <w:pStyle w:val="Heading2"/>
        <w:keepNext w:val="1"/>
        <w:numPr>
          <w:ilvl w:val="1"/>
          <w:numId w:val="2"/>
        </w:numPr>
        <w:spacing w:after="120" w:before="120" w:lineRule="auto"/>
        <w:ind w:left="720" w:hanging="720"/>
        <w:rPr>
          <w:sz w:val="24"/>
          <w:szCs w:val="24"/>
        </w:rPr>
      </w:pPr>
      <w:bookmarkStart w:colFirst="0" w:colLast="0" w:name="_heading=h.swxhnjcynddz" w:id="66"/>
      <w:bookmarkEnd w:id="66"/>
      <w:r w:rsidDel="00000000" w:rsidR="00000000" w:rsidRPr="00000000">
        <w:rPr>
          <w:sz w:val="24"/>
          <w:szCs w:val="24"/>
          <w:rtl w:val="0"/>
        </w:rPr>
        <w:t xml:space="preserve">The Supplier, where it plans to undertake, or after becoming aware of, any of the following:</w:t>
      </w:r>
    </w:p>
    <w:p w:rsidR="00000000" w:rsidDel="00000000" w:rsidP="00000000" w:rsidRDefault="00000000" w:rsidRPr="00000000" w14:paraId="0000025A">
      <w:pPr>
        <w:pStyle w:val="Heading3"/>
        <w:numPr>
          <w:ilvl w:val="2"/>
          <w:numId w:val="2"/>
        </w:numPr>
        <w:spacing w:after="120" w:before="120" w:lineRule="auto"/>
        <w:ind w:left="1440" w:hanging="720"/>
        <w:rPr>
          <w:sz w:val="24"/>
          <w:szCs w:val="24"/>
        </w:rPr>
      </w:pPr>
      <w:bookmarkStart w:colFirst="0" w:colLast="0" w:name="_heading=h.c4wj0u8eixlc" w:id="67"/>
      <w:bookmarkEnd w:id="67"/>
      <w:r w:rsidDel="00000000" w:rsidR="00000000" w:rsidRPr="00000000">
        <w:rPr>
          <w:sz w:val="24"/>
          <w:szCs w:val="24"/>
          <w:rtl w:val="0"/>
        </w:rPr>
        <w:t xml:space="preserve">a significant change to the components or architecture of the Supplier Information Management System;</w:t>
      </w:r>
    </w:p>
    <w:p w:rsidR="00000000" w:rsidDel="00000000" w:rsidP="00000000" w:rsidRDefault="00000000" w:rsidRPr="00000000" w14:paraId="0000025B">
      <w:pPr>
        <w:pStyle w:val="Heading3"/>
        <w:numPr>
          <w:ilvl w:val="2"/>
          <w:numId w:val="2"/>
        </w:numPr>
        <w:spacing w:after="120" w:before="120" w:lineRule="auto"/>
        <w:ind w:left="1440" w:hanging="720"/>
        <w:rPr>
          <w:sz w:val="24"/>
          <w:szCs w:val="24"/>
        </w:rPr>
      </w:pPr>
      <w:bookmarkStart w:colFirst="0" w:colLast="0" w:name="_heading=h.5uh9ma3sx5oy" w:id="68"/>
      <w:bookmarkEnd w:id="68"/>
      <w:r w:rsidDel="00000000" w:rsidR="00000000" w:rsidRPr="00000000">
        <w:rPr>
          <w:sz w:val="24"/>
          <w:szCs w:val="24"/>
          <w:rtl w:val="0"/>
        </w:rPr>
        <w:t xml:space="preserve">a significant change in the boundary between the Supplier Information Management System and the Wider Information Management System</w:t>
      </w:r>
    </w:p>
    <w:p w:rsidR="00000000" w:rsidDel="00000000" w:rsidP="00000000" w:rsidRDefault="00000000" w:rsidRPr="00000000" w14:paraId="0000025C">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a significant change in the operation of the Supplier Information Management System;</w:t>
      </w:r>
    </w:p>
    <w:p w:rsidR="00000000" w:rsidDel="00000000" w:rsidP="00000000" w:rsidRDefault="00000000" w:rsidRPr="00000000" w14:paraId="0000025D">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the replacement of an existing, or the appointment of a new:</w:t>
      </w:r>
    </w:p>
    <w:p w:rsidR="00000000" w:rsidDel="00000000" w:rsidP="00000000" w:rsidRDefault="00000000" w:rsidRPr="00000000" w14:paraId="0000025E">
      <w:pPr>
        <w:pStyle w:val="Heading4"/>
        <w:keepNext w:val="1"/>
        <w:numPr>
          <w:ilvl w:val="3"/>
          <w:numId w:val="2"/>
        </w:numPr>
        <w:spacing w:after="120" w:before="120" w:lineRule="auto"/>
        <w:ind w:left="2160" w:hanging="720"/>
        <w:rPr>
          <w:sz w:val="24"/>
          <w:szCs w:val="24"/>
        </w:rPr>
      </w:pPr>
      <w:r w:rsidDel="00000000" w:rsidR="00000000" w:rsidRPr="00000000">
        <w:rPr>
          <w:sz w:val="24"/>
          <w:szCs w:val="24"/>
          <w:rtl w:val="0"/>
        </w:rPr>
        <w:t xml:space="preserve">SIMS Sub-contractor; or</w:t>
      </w:r>
    </w:p>
    <w:p w:rsidR="00000000" w:rsidDel="00000000" w:rsidP="00000000" w:rsidRDefault="00000000" w:rsidRPr="00000000" w14:paraId="0000025F">
      <w:pPr>
        <w:pStyle w:val="Heading4"/>
        <w:keepNext w:val="1"/>
        <w:numPr>
          <w:ilvl w:val="3"/>
          <w:numId w:val="2"/>
        </w:numPr>
        <w:spacing w:after="120" w:before="120" w:lineRule="auto"/>
        <w:ind w:left="2160" w:hanging="720"/>
        <w:rPr>
          <w:sz w:val="24"/>
          <w:szCs w:val="24"/>
        </w:rPr>
      </w:pPr>
      <w:r w:rsidDel="00000000" w:rsidR="00000000" w:rsidRPr="00000000">
        <w:rPr>
          <w:sz w:val="24"/>
          <w:szCs w:val="24"/>
          <w:rtl w:val="0"/>
        </w:rPr>
        <w:t xml:space="preserve">Sub-contractor that Handles Government Data;</w:t>
      </w:r>
    </w:p>
    <w:p w:rsidR="00000000" w:rsidDel="00000000" w:rsidP="00000000" w:rsidRDefault="00000000" w:rsidRPr="00000000" w14:paraId="00000260">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a significant change in the quantity of Personal Data held within the Service; and/or</w:t>
      </w:r>
    </w:p>
    <w:p w:rsidR="00000000" w:rsidDel="00000000" w:rsidP="00000000" w:rsidRDefault="00000000" w:rsidRPr="00000000" w14:paraId="00000261">
      <w:pPr>
        <w:pStyle w:val="Heading3"/>
        <w:keepNext w:val="1"/>
        <w:numPr>
          <w:ilvl w:val="2"/>
          <w:numId w:val="2"/>
        </w:numPr>
        <w:spacing w:after="120" w:before="120" w:lineRule="auto"/>
        <w:ind w:left="1440" w:hanging="720"/>
        <w:rPr>
          <w:sz w:val="24"/>
          <w:szCs w:val="24"/>
        </w:rPr>
      </w:pPr>
      <w:bookmarkStart w:colFirst="0" w:colLast="0" w:name="_heading=h.g5eqw6498kzw" w:id="69"/>
      <w:bookmarkEnd w:id="69"/>
      <w:r w:rsidDel="00000000" w:rsidR="00000000" w:rsidRPr="00000000">
        <w:rPr>
          <w:sz w:val="24"/>
          <w:szCs w:val="24"/>
          <w:rtl w:val="0"/>
        </w:rPr>
        <w:t xml:space="preserve">where the Supplier or a Sub-contractor has previously Handled Government Data that is Personal Data, other than Special Category Personal Data, it proposes to start to Handle Government Data that is Special Category Personal Data under the Contract;</w:t>
      </w:r>
    </w:p>
    <w:p w:rsidR="00000000" w:rsidDel="00000000" w:rsidP="00000000" w:rsidRDefault="00000000" w:rsidRPr="00000000" w14:paraId="00000262">
      <w:pPr>
        <w:pStyle w:val="Heading3"/>
        <w:keepNext w:val="1"/>
        <w:spacing w:after="120" w:before="120" w:lineRule="auto"/>
        <w:ind w:left="720" w:firstLine="720"/>
        <w:rPr>
          <w:sz w:val="24"/>
          <w:szCs w:val="24"/>
        </w:rPr>
      </w:pPr>
      <w:r w:rsidDel="00000000" w:rsidR="00000000" w:rsidRPr="00000000">
        <w:rPr>
          <w:sz w:val="24"/>
          <w:szCs w:val="24"/>
          <w:rtl w:val="0"/>
        </w:rPr>
        <w:t xml:space="preserve">must:</w:t>
      </w:r>
    </w:p>
    <w:p w:rsidR="00000000" w:rsidDel="00000000" w:rsidP="00000000" w:rsidRDefault="00000000" w:rsidRPr="00000000" w14:paraId="00000263">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within two Working Days notify the Buyer; and </w:t>
      </w:r>
    </w:p>
    <w:p w:rsidR="00000000" w:rsidDel="00000000" w:rsidP="00000000" w:rsidRDefault="00000000" w:rsidRPr="00000000" w14:paraId="00000264">
      <w:pPr>
        <w:pStyle w:val="Heading3"/>
        <w:keepNext w:val="1"/>
        <w:numPr>
          <w:ilvl w:val="2"/>
          <w:numId w:val="2"/>
        </w:numPr>
        <w:spacing w:after="120" w:before="120" w:lineRule="auto"/>
        <w:ind w:left="1440" w:hanging="720"/>
        <w:rPr>
          <w:sz w:val="24"/>
          <w:szCs w:val="24"/>
        </w:rPr>
      </w:pPr>
      <w:bookmarkStart w:colFirst="0" w:colLast="0" w:name="_heading=h.y9c11t4rpwqu" w:id="70"/>
      <w:bookmarkEnd w:id="70"/>
      <w:r w:rsidDel="00000000" w:rsidR="00000000" w:rsidRPr="00000000">
        <w:rPr>
          <w:sz w:val="24"/>
          <w:szCs w:val="24"/>
          <w:rtl w:val="0"/>
        </w:rPr>
        <w:t xml:space="preserve">within ten Working Days, or such other timescale as may be agreed with the Buyer:</w:t>
      </w:r>
    </w:p>
    <w:p w:rsidR="00000000" w:rsidDel="00000000" w:rsidP="00000000" w:rsidRDefault="00000000" w:rsidRPr="00000000" w14:paraId="00000265">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update the Required Changes Register and any other affected parts of the Security Management Plan; and</w:t>
      </w:r>
    </w:p>
    <w:p w:rsidR="00000000" w:rsidDel="00000000" w:rsidP="00000000" w:rsidRDefault="00000000" w:rsidRPr="00000000" w14:paraId="00000266">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provide the Buyer with a copy those documents for review and approval.</w:t>
      </w:r>
    </w:p>
    <w:p w:rsidR="00000000" w:rsidDel="00000000" w:rsidP="00000000" w:rsidRDefault="00000000" w:rsidRPr="00000000" w14:paraId="00000267">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Paragraph 15.2 applies in addition to, and not in substitution of, the Parties obligations to comply with the Variation Procedure for any Variation.</w:t>
      </w:r>
    </w:p>
    <w:p w:rsidR="00000000" w:rsidDel="00000000" w:rsidP="00000000" w:rsidRDefault="00000000" w:rsidRPr="00000000" w14:paraId="00000268">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Any proposed change under Paragraph 15.2.1, 15.2.2 or 15.2.6 constitutes a Variation to which the Variation Procedure applies.</w:t>
      </w:r>
    </w:p>
    <w:p w:rsidR="00000000" w:rsidDel="00000000" w:rsidP="00000000" w:rsidRDefault="00000000" w:rsidRPr="00000000" w14:paraId="00000269">
      <w:pPr>
        <w:pStyle w:val="Heading1"/>
        <w:numPr>
          <w:ilvl w:val="0"/>
          <w:numId w:val="2"/>
        </w:numPr>
        <w:spacing w:after="120" w:before="120" w:lineRule="auto"/>
        <w:ind w:left="720" w:hanging="720"/>
        <w:rPr/>
      </w:pPr>
      <w:bookmarkStart w:colFirst="0" w:colLast="0" w:name="_heading=h.t68o186ilpfm" w:id="71"/>
      <w:bookmarkEnd w:id="71"/>
      <w:r w:rsidDel="00000000" w:rsidR="00000000" w:rsidRPr="00000000">
        <w:rPr>
          <w:rtl w:val="0"/>
        </w:rPr>
        <w:t xml:space="preserve">Review and approval of updated Security Management Plan</w:t>
      </w:r>
    </w:p>
    <w:p w:rsidR="00000000" w:rsidDel="00000000" w:rsidP="00000000" w:rsidRDefault="00000000" w:rsidRPr="00000000" w14:paraId="0000026A">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Where the Supplier has prepared or updated the Security Management Plan the Buyer may review the plan and to do so may request such further information as the Buyer considers necessary or desirable.</w:t>
      </w:r>
    </w:p>
    <w:p w:rsidR="00000000" w:rsidDel="00000000" w:rsidP="00000000" w:rsidRDefault="00000000" w:rsidRPr="00000000" w14:paraId="0000026B">
      <w:pPr>
        <w:pStyle w:val="Heading2"/>
        <w:keepNext w:val="1"/>
        <w:numPr>
          <w:ilvl w:val="1"/>
          <w:numId w:val="2"/>
        </w:numPr>
        <w:spacing w:after="120" w:before="120" w:lineRule="auto"/>
        <w:ind w:left="720" w:hanging="720"/>
        <w:rPr>
          <w:sz w:val="24"/>
          <w:szCs w:val="24"/>
        </w:rPr>
      </w:pPr>
      <w:bookmarkStart w:colFirst="0" w:colLast="0" w:name="_heading=h.iphw4ngxh51j" w:id="72"/>
      <w:bookmarkEnd w:id="72"/>
      <w:r w:rsidDel="00000000" w:rsidR="00000000" w:rsidRPr="00000000">
        <w:rPr>
          <w:sz w:val="24"/>
          <w:szCs w:val="24"/>
          <w:rtl w:val="0"/>
        </w:rPr>
        <w:t xml:space="preserve">At the conclusion of that review, it may issue to the Supplier:</w:t>
      </w:r>
    </w:p>
    <w:p w:rsidR="00000000" w:rsidDel="00000000" w:rsidP="00000000" w:rsidRDefault="00000000" w:rsidRPr="00000000" w14:paraId="0000026C">
      <w:pPr>
        <w:keepNext w:val="1"/>
        <w:numPr>
          <w:ilvl w:val="2"/>
          <w:numId w:val="2"/>
        </w:numPr>
        <w:spacing w:after="120" w:before="120" w:lineRule="auto"/>
        <w:ind w:left="1440" w:hanging="720"/>
        <w:rPr/>
      </w:pPr>
      <w:r w:rsidDel="00000000" w:rsidR="00000000" w:rsidRPr="00000000">
        <w:rPr>
          <w:rtl w:val="0"/>
        </w:rPr>
        <w:t xml:space="preserve">where satisfied that the:</w:t>
      </w:r>
    </w:p>
    <w:p w:rsidR="00000000" w:rsidDel="00000000" w:rsidP="00000000" w:rsidRDefault="00000000" w:rsidRPr="00000000" w14:paraId="0000026D">
      <w:pPr>
        <w:numPr>
          <w:ilvl w:val="3"/>
          <w:numId w:val="2"/>
        </w:numPr>
        <w:spacing w:after="120" w:before="120" w:lineRule="auto"/>
        <w:ind w:left="2160" w:hanging="720"/>
        <w:rPr/>
      </w:pPr>
      <w:r w:rsidDel="00000000" w:rsidR="00000000" w:rsidRPr="00000000">
        <w:rPr>
          <w:rtl w:val="0"/>
        </w:rPr>
        <w:t xml:space="preserve">identified risks to the Supplier Information Management System are adequately and appropriately addressed; and </w:t>
      </w:r>
    </w:p>
    <w:p w:rsidR="00000000" w:rsidDel="00000000" w:rsidP="00000000" w:rsidRDefault="00000000" w:rsidRPr="00000000" w14:paraId="0000026E">
      <w:pPr>
        <w:keepNext w:val="1"/>
        <w:numPr>
          <w:ilvl w:val="3"/>
          <w:numId w:val="2"/>
        </w:numPr>
        <w:spacing w:after="120" w:before="120" w:lineRule="auto"/>
        <w:ind w:left="2160" w:hanging="720"/>
        <w:rPr/>
      </w:pPr>
      <w:r w:rsidDel="00000000" w:rsidR="00000000" w:rsidRPr="00000000">
        <w:rPr>
          <w:rtl w:val="0"/>
        </w:rPr>
        <w:t xml:space="preserve">that the residual risks are:</w:t>
      </w:r>
    </w:p>
    <w:p w:rsidR="00000000" w:rsidDel="00000000" w:rsidP="00000000" w:rsidRDefault="00000000" w:rsidRPr="00000000" w14:paraId="0000026F">
      <w:pPr>
        <w:keepNext w:val="1"/>
        <w:numPr>
          <w:ilvl w:val="4"/>
          <w:numId w:val="2"/>
        </w:numPr>
        <w:spacing w:after="120" w:before="120" w:lineRule="auto"/>
        <w:ind w:left="2880" w:hanging="720"/>
        <w:rPr/>
      </w:pPr>
      <w:r w:rsidDel="00000000" w:rsidR="00000000" w:rsidRPr="00000000">
        <w:rPr>
          <w:rtl w:val="0"/>
        </w:rPr>
        <w:t xml:space="preserve">either:</w:t>
      </w:r>
    </w:p>
    <w:p w:rsidR="00000000" w:rsidDel="00000000" w:rsidP="00000000" w:rsidRDefault="00000000" w:rsidRPr="00000000" w14:paraId="00000270">
      <w:pPr>
        <w:numPr>
          <w:ilvl w:val="5"/>
          <w:numId w:val="2"/>
        </w:numPr>
        <w:spacing w:after="120" w:before="120" w:lineRule="auto"/>
        <w:ind w:left="3600" w:hanging="720"/>
        <w:rPr/>
      </w:pPr>
      <w:r w:rsidDel="00000000" w:rsidR="00000000" w:rsidRPr="00000000">
        <w:rPr>
          <w:rtl w:val="0"/>
        </w:rPr>
        <w:t xml:space="preserve">where the Buyer has provided a Statement of Information Risk Appetite, reduced to the level anticipated by that statement; or</w:t>
      </w:r>
    </w:p>
    <w:p w:rsidR="00000000" w:rsidDel="00000000" w:rsidP="00000000" w:rsidRDefault="00000000" w:rsidRPr="00000000" w14:paraId="00000271">
      <w:pPr>
        <w:numPr>
          <w:ilvl w:val="5"/>
          <w:numId w:val="2"/>
        </w:numPr>
        <w:spacing w:after="120" w:before="120" w:lineRule="auto"/>
        <w:ind w:left="3600" w:hanging="720"/>
        <w:rPr/>
      </w:pPr>
      <w:r w:rsidDel="00000000" w:rsidR="00000000" w:rsidRPr="00000000">
        <w:rPr>
          <w:rtl w:val="0"/>
        </w:rPr>
        <w:t xml:space="preserve">where the Buyer has not provided a Statement of Information Risk Appetite, reduced to an acceptable level;</w:t>
      </w:r>
    </w:p>
    <w:p w:rsidR="00000000" w:rsidDel="00000000" w:rsidP="00000000" w:rsidRDefault="00000000" w:rsidRPr="00000000" w14:paraId="00000272">
      <w:pPr>
        <w:numPr>
          <w:ilvl w:val="4"/>
          <w:numId w:val="2"/>
        </w:numPr>
        <w:spacing w:after="120" w:before="120" w:lineRule="auto"/>
        <w:ind w:left="2880" w:hanging="720"/>
        <w:rPr/>
      </w:pPr>
      <w:r w:rsidDel="00000000" w:rsidR="00000000" w:rsidRPr="00000000">
        <w:rPr>
          <w:rtl w:val="0"/>
        </w:rPr>
        <w:t xml:space="preserve">understood and accepted by the Buyer; and</w:t>
      </w:r>
    </w:p>
    <w:p w:rsidR="00000000" w:rsidDel="00000000" w:rsidP="00000000" w:rsidRDefault="00000000" w:rsidRPr="00000000" w14:paraId="00000273">
      <w:pPr>
        <w:numPr>
          <w:ilvl w:val="4"/>
          <w:numId w:val="2"/>
        </w:numPr>
        <w:spacing w:after="120" w:before="120" w:lineRule="auto"/>
        <w:ind w:left="2880" w:hanging="720"/>
        <w:rPr/>
      </w:pPr>
      <w:r w:rsidDel="00000000" w:rsidR="00000000" w:rsidRPr="00000000">
        <w:rPr>
          <w:rtl w:val="0"/>
        </w:rPr>
        <w:t xml:space="preserve">recorded in the Residual Risk Statement;</w:t>
      </w:r>
    </w:p>
    <w:p w:rsidR="00000000" w:rsidDel="00000000" w:rsidP="00000000" w:rsidRDefault="00000000" w:rsidRPr="00000000" w14:paraId="00000274">
      <w:pPr>
        <w:spacing w:after="120" w:before="120" w:lineRule="auto"/>
        <w:ind w:left="1440" w:firstLine="0"/>
        <w:rPr/>
      </w:pPr>
      <w:r w:rsidDel="00000000" w:rsidR="00000000" w:rsidRPr="00000000">
        <w:rPr>
          <w:rtl w:val="0"/>
        </w:rPr>
        <w:t xml:space="preserve">a Risk Management Approval Statement; or</w:t>
      </w:r>
    </w:p>
    <w:p w:rsidR="00000000" w:rsidDel="00000000" w:rsidP="00000000" w:rsidRDefault="00000000" w:rsidRPr="00000000" w14:paraId="00000275">
      <w:pPr>
        <w:keepNext w:val="1"/>
        <w:numPr>
          <w:ilvl w:val="2"/>
          <w:numId w:val="2"/>
        </w:numPr>
        <w:spacing w:after="120" w:before="120" w:lineRule="auto"/>
        <w:ind w:left="1440" w:hanging="720"/>
        <w:rPr/>
      </w:pPr>
      <w:r w:rsidDel="00000000" w:rsidR="00000000" w:rsidRPr="00000000">
        <w:rPr>
          <w:rtl w:val="0"/>
        </w:rPr>
        <w:t xml:space="preserve">where the Buyer reasonably considers that:</w:t>
      </w:r>
    </w:p>
    <w:p w:rsidR="00000000" w:rsidDel="00000000" w:rsidP="00000000" w:rsidRDefault="00000000" w:rsidRPr="00000000" w14:paraId="00000276">
      <w:pPr>
        <w:numPr>
          <w:ilvl w:val="3"/>
          <w:numId w:val="2"/>
        </w:numPr>
        <w:spacing w:after="120" w:before="120" w:lineRule="auto"/>
        <w:ind w:left="2160" w:hanging="720"/>
        <w:rPr/>
      </w:pPr>
      <w:r w:rsidDel="00000000" w:rsidR="00000000" w:rsidRPr="00000000">
        <w:rPr>
          <w:rtl w:val="0"/>
        </w:rPr>
        <w:t xml:space="preserve">the identified risks to the Supplier Information Management System have not been adequately or appropriately addressed; or</w:t>
      </w:r>
    </w:p>
    <w:p w:rsidR="00000000" w:rsidDel="00000000" w:rsidP="00000000" w:rsidRDefault="00000000" w:rsidRPr="00000000" w14:paraId="00000277">
      <w:pPr>
        <w:keepNext w:val="1"/>
        <w:numPr>
          <w:ilvl w:val="3"/>
          <w:numId w:val="2"/>
        </w:numPr>
        <w:spacing w:after="120" w:before="120" w:lineRule="auto"/>
        <w:ind w:left="2160" w:hanging="720"/>
        <w:rPr/>
      </w:pPr>
      <w:r w:rsidDel="00000000" w:rsidR="00000000" w:rsidRPr="00000000">
        <w:rPr>
          <w:rtl w:val="0"/>
        </w:rPr>
        <w:t xml:space="preserve">the residual risks to the Supplier Information Management System have not been reduced:</w:t>
      </w:r>
    </w:p>
    <w:p w:rsidR="00000000" w:rsidDel="00000000" w:rsidP="00000000" w:rsidRDefault="00000000" w:rsidRPr="00000000" w14:paraId="00000278">
      <w:pPr>
        <w:numPr>
          <w:ilvl w:val="4"/>
          <w:numId w:val="2"/>
        </w:numPr>
        <w:spacing w:after="120" w:before="120" w:lineRule="auto"/>
        <w:ind w:left="2880" w:hanging="720"/>
        <w:rPr/>
      </w:pPr>
      <w:r w:rsidDel="00000000" w:rsidR="00000000" w:rsidRPr="00000000">
        <w:rPr>
          <w:rtl w:val="0"/>
        </w:rPr>
        <w:t xml:space="preserve">where the Buyer has Provided a Statement of Information Risk Appetite, to the level anticipated by that statement; or</w:t>
      </w:r>
    </w:p>
    <w:p w:rsidR="00000000" w:rsidDel="00000000" w:rsidP="00000000" w:rsidRDefault="00000000" w:rsidRPr="00000000" w14:paraId="00000279">
      <w:pPr>
        <w:numPr>
          <w:ilvl w:val="4"/>
          <w:numId w:val="2"/>
        </w:numPr>
        <w:spacing w:after="120" w:before="120" w:lineRule="auto"/>
        <w:ind w:left="2880" w:hanging="720"/>
        <w:rPr/>
      </w:pPr>
      <w:r w:rsidDel="00000000" w:rsidR="00000000" w:rsidRPr="00000000">
        <w:rPr>
          <w:rtl w:val="0"/>
        </w:rPr>
        <w:t xml:space="preserve">where the Buyer has not Provided a Statement of Information Risk Appetite, to an acceptable level,</w:t>
      </w:r>
    </w:p>
    <w:p w:rsidR="00000000" w:rsidDel="00000000" w:rsidP="00000000" w:rsidRDefault="00000000" w:rsidRPr="00000000" w14:paraId="0000027A">
      <w:pPr>
        <w:spacing w:after="120" w:before="120" w:lineRule="auto"/>
        <w:ind w:left="1440" w:firstLine="0"/>
        <w:rPr/>
      </w:pPr>
      <w:r w:rsidDel="00000000" w:rsidR="00000000" w:rsidRPr="00000000">
        <w:rPr>
          <w:rtl w:val="0"/>
        </w:rPr>
        <w:t xml:space="preserve">a Risk Management Rejection Notice, with the reasons for its decision.</w:t>
      </w:r>
    </w:p>
    <w:p w:rsidR="00000000" w:rsidDel="00000000" w:rsidP="00000000" w:rsidRDefault="00000000" w:rsidRPr="00000000" w14:paraId="0000027B">
      <w:pPr>
        <w:pStyle w:val="Heading1"/>
        <w:numPr>
          <w:ilvl w:val="0"/>
          <w:numId w:val="2"/>
        </w:numPr>
        <w:spacing w:after="120" w:before="120" w:lineRule="auto"/>
        <w:ind w:left="720" w:hanging="720"/>
        <w:rPr/>
      </w:pPr>
      <w:bookmarkStart w:colFirst="0" w:colLast="0" w:name="_heading=h.um35fo50i2hq" w:id="73"/>
      <w:bookmarkEnd w:id="73"/>
      <w:r w:rsidDel="00000000" w:rsidR="00000000" w:rsidRPr="00000000">
        <w:rPr>
          <w:rtl w:val="0"/>
        </w:rPr>
        <w:t xml:space="preserve">Changes to the Supplier Information Management System</w:t>
      </w:r>
    </w:p>
    <w:p w:rsidR="00000000" w:rsidDel="00000000" w:rsidP="00000000" w:rsidRDefault="00000000" w:rsidRPr="00000000" w14:paraId="0000027C">
      <w:pPr>
        <w:pStyle w:val="Heading2"/>
        <w:keepNext w:val="1"/>
        <w:numPr>
          <w:ilvl w:val="1"/>
          <w:numId w:val="2"/>
        </w:numPr>
        <w:spacing w:after="120" w:before="120" w:lineRule="auto"/>
        <w:ind w:left="720" w:hanging="720"/>
        <w:rPr>
          <w:sz w:val="24"/>
          <w:szCs w:val="24"/>
        </w:rPr>
      </w:pPr>
      <w:bookmarkStart w:colFirst="0" w:colLast="0" w:name="_heading=h.kvas6mkznvtk" w:id="74"/>
      <w:bookmarkEnd w:id="74"/>
      <w:r w:rsidDel="00000000" w:rsidR="00000000" w:rsidRPr="00000000">
        <w:rPr>
          <w:sz w:val="24"/>
          <w:szCs w:val="24"/>
          <w:rtl w:val="0"/>
        </w:rPr>
        <w:t xml:space="preserve">Notwithstanding anything in the Contract, the Supplier must obtain the approval of the Buyer before making any of the following changes to the Supplier Information Management System:</w:t>
      </w:r>
    </w:p>
    <w:p w:rsidR="00000000" w:rsidDel="00000000" w:rsidP="00000000" w:rsidRDefault="00000000" w:rsidRPr="00000000" w14:paraId="0000027D">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a significant change in the systems or components making up the Supplier Information Management System;</w:t>
      </w:r>
    </w:p>
    <w:p w:rsidR="00000000" w:rsidDel="00000000" w:rsidP="00000000" w:rsidRDefault="00000000" w:rsidRPr="00000000" w14:paraId="0000027E">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a significant change in the operation or management of the Supplier Information Management System; or</w:t>
      </w:r>
    </w:p>
    <w:p w:rsidR="00000000" w:rsidDel="00000000" w:rsidP="00000000" w:rsidRDefault="00000000" w:rsidRPr="00000000" w14:paraId="0000027F">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the appointment of a new, or the replacement of an existing:</w:t>
      </w:r>
    </w:p>
    <w:p w:rsidR="00000000" w:rsidDel="00000000" w:rsidP="00000000" w:rsidRDefault="00000000" w:rsidRPr="00000000" w14:paraId="00000280">
      <w:pPr>
        <w:pStyle w:val="Heading4"/>
        <w:keepNext w:val="1"/>
        <w:numPr>
          <w:ilvl w:val="3"/>
          <w:numId w:val="2"/>
        </w:numPr>
        <w:spacing w:after="120" w:before="120" w:lineRule="auto"/>
        <w:ind w:left="2160" w:hanging="720"/>
        <w:rPr>
          <w:sz w:val="24"/>
          <w:szCs w:val="24"/>
        </w:rPr>
      </w:pPr>
      <w:r w:rsidDel="00000000" w:rsidR="00000000" w:rsidRPr="00000000">
        <w:rPr>
          <w:sz w:val="24"/>
          <w:szCs w:val="24"/>
          <w:rtl w:val="0"/>
        </w:rPr>
        <w:t xml:space="preserve">SIMS Sub-contractor; or</w:t>
      </w:r>
    </w:p>
    <w:p w:rsidR="00000000" w:rsidDel="00000000" w:rsidP="00000000" w:rsidRDefault="00000000" w:rsidRPr="00000000" w14:paraId="00000281">
      <w:pPr>
        <w:pStyle w:val="Heading4"/>
        <w:keepNext w:val="1"/>
        <w:numPr>
          <w:ilvl w:val="3"/>
          <w:numId w:val="2"/>
        </w:numPr>
        <w:spacing w:after="120" w:before="120" w:lineRule="auto"/>
        <w:ind w:left="2160" w:hanging="720"/>
        <w:rPr>
          <w:sz w:val="24"/>
          <w:szCs w:val="24"/>
        </w:rPr>
      </w:pPr>
      <w:r w:rsidDel="00000000" w:rsidR="00000000" w:rsidRPr="00000000">
        <w:rPr>
          <w:sz w:val="24"/>
          <w:szCs w:val="24"/>
          <w:rtl w:val="0"/>
        </w:rPr>
        <w:t xml:space="preserve">Sub-contractor that Handles Government Data.</w:t>
      </w:r>
    </w:p>
    <w:p w:rsidR="00000000" w:rsidDel="00000000" w:rsidP="00000000" w:rsidRDefault="00000000" w:rsidRPr="00000000" w14:paraId="00000282">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In seeking the Buyer’s approval to a proposed changes to the Supplier Information Management System, the Supplier must:</w:t>
      </w:r>
    </w:p>
    <w:p w:rsidR="00000000" w:rsidDel="00000000" w:rsidP="00000000" w:rsidRDefault="00000000" w:rsidRPr="00000000" w14:paraId="00000283">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update the Required Changes Register;</w:t>
      </w:r>
    </w:p>
    <w:p w:rsidR="00000000" w:rsidDel="00000000" w:rsidP="00000000" w:rsidRDefault="00000000" w:rsidRPr="00000000" w14:paraId="00000284">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prepare a proposal for the Buyer setting out:</w:t>
      </w:r>
    </w:p>
    <w:p w:rsidR="00000000" w:rsidDel="00000000" w:rsidP="00000000" w:rsidRDefault="00000000" w:rsidRPr="00000000" w14:paraId="00000285">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details of the proposed changes to the Supplier Information Management System;</w:t>
      </w:r>
    </w:p>
    <w:p w:rsidR="00000000" w:rsidDel="00000000" w:rsidP="00000000" w:rsidRDefault="00000000" w:rsidRPr="00000000" w14:paraId="00000286">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an assessment of the security implications of the proposed change;</w:t>
      </w:r>
    </w:p>
    <w:p w:rsidR="00000000" w:rsidDel="00000000" w:rsidP="00000000" w:rsidRDefault="00000000" w:rsidRPr="00000000" w14:paraId="00000287">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a risk assessment of the proposed change; and</w:t>
      </w:r>
    </w:p>
    <w:p w:rsidR="00000000" w:rsidDel="00000000" w:rsidP="00000000" w:rsidRDefault="00000000" w:rsidRPr="00000000" w14:paraId="00000288">
      <w:pPr>
        <w:pStyle w:val="Heading4"/>
        <w:numPr>
          <w:ilvl w:val="3"/>
          <w:numId w:val="2"/>
        </w:numPr>
        <w:spacing w:after="120" w:before="120" w:lineRule="auto"/>
        <w:ind w:left="2160" w:hanging="720"/>
        <w:rPr>
          <w:sz w:val="24"/>
          <w:szCs w:val="24"/>
        </w:rPr>
      </w:pPr>
      <w:bookmarkStart w:colFirst="0" w:colLast="0" w:name="_heading=h.wsxhlbmavoph" w:id="75"/>
      <w:bookmarkEnd w:id="75"/>
      <w:r w:rsidDel="00000000" w:rsidR="00000000" w:rsidRPr="00000000">
        <w:rPr>
          <w:sz w:val="24"/>
          <w:szCs w:val="24"/>
          <w:rtl w:val="0"/>
        </w:rPr>
        <w:t xml:space="preserve">any proposed changes to the Security Management Plan; and</w:t>
      </w:r>
    </w:p>
    <w:p w:rsidR="00000000" w:rsidDel="00000000" w:rsidP="00000000" w:rsidRDefault="00000000" w:rsidRPr="00000000" w14:paraId="00000289">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provide that paper to the Buyer no later than 30 Working Days before the date on which it will consider the proposed changes.</w:t>
      </w:r>
    </w:p>
    <w:p w:rsidR="00000000" w:rsidDel="00000000" w:rsidP="00000000" w:rsidRDefault="00000000" w:rsidRPr="00000000" w14:paraId="0000028A">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The Buyer:</w:t>
      </w:r>
    </w:p>
    <w:p w:rsidR="00000000" w:rsidDel="00000000" w:rsidP="00000000" w:rsidRDefault="00000000" w:rsidRPr="00000000" w14:paraId="0000028B">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may request such further information as the Buyer considers necessary or desirable;</w:t>
      </w:r>
    </w:p>
    <w:p w:rsidR="00000000" w:rsidDel="00000000" w:rsidP="00000000" w:rsidRDefault="00000000" w:rsidRPr="00000000" w14:paraId="0000028C">
      <w:pPr>
        <w:pStyle w:val="Heading3"/>
        <w:keepNext w:val="1"/>
        <w:numPr>
          <w:ilvl w:val="2"/>
          <w:numId w:val="2"/>
        </w:numPr>
        <w:spacing w:after="120" w:before="120" w:lineRule="auto"/>
        <w:ind w:left="1440" w:hanging="720"/>
        <w:rPr>
          <w:sz w:val="24"/>
          <w:szCs w:val="24"/>
        </w:rPr>
      </w:pPr>
      <w:bookmarkStart w:colFirst="0" w:colLast="0" w:name="_heading=h.hjp7zrmh9akx" w:id="76"/>
      <w:bookmarkEnd w:id="76"/>
      <w:r w:rsidDel="00000000" w:rsidR="00000000" w:rsidRPr="00000000">
        <w:rPr>
          <w:sz w:val="24"/>
          <w:szCs w:val="24"/>
          <w:rtl w:val="0"/>
        </w:rPr>
        <w:t xml:space="preserve">must provide its decision within 20 Working Days of the later of:</w:t>
      </w:r>
    </w:p>
    <w:p w:rsidR="00000000" w:rsidDel="00000000" w:rsidP="00000000" w:rsidRDefault="00000000" w:rsidRPr="00000000" w14:paraId="0000028D">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the date on which it receives the proposal; or</w:t>
      </w:r>
    </w:p>
    <w:p w:rsidR="00000000" w:rsidDel="00000000" w:rsidP="00000000" w:rsidRDefault="00000000" w:rsidRPr="00000000" w14:paraId="0000028E">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the date on which it receives any requested further information;</w:t>
      </w:r>
    </w:p>
    <w:p w:rsidR="00000000" w:rsidDel="00000000" w:rsidP="00000000" w:rsidRDefault="00000000" w:rsidRPr="00000000" w14:paraId="0000028F">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must not:</w:t>
      </w:r>
    </w:p>
    <w:p w:rsidR="00000000" w:rsidDel="00000000" w:rsidP="00000000" w:rsidRDefault="00000000" w:rsidRPr="00000000" w14:paraId="00000290">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unreasonably refuse any proposal by the Supplier; and</w:t>
      </w:r>
    </w:p>
    <w:p w:rsidR="00000000" w:rsidDel="00000000" w:rsidP="00000000" w:rsidRDefault="00000000" w:rsidRPr="00000000" w14:paraId="00000291">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must not make any approval subject to unreasonable conditions.</w:t>
      </w:r>
    </w:p>
    <w:p w:rsidR="00000000" w:rsidDel="00000000" w:rsidP="00000000" w:rsidRDefault="00000000" w:rsidRPr="00000000" w14:paraId="00000292">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If the Buyer does not provide a decision within the period specified in Paragraph 17.3.2, the proposal shall be deemed to have been accepted.</w:t>
      </w:r>
    </w:p>
    <w:p w:rsidR="00000000" w:rsidDel="00000000" w:rsidP="00000000" w:rsidRDefault="00000000" w:rsidRPr="00000000" w14:paraId="00000293">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Implementation of changes</w:t>
      </w:r>
    </w:p>
    <w:p w:rsidR="00000000" w:rsidDel="00000000" w:rsidP="00000000" w:rsidRDefault="00000000" w:rsidRPr="00000000" w14:paraId="00000294">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Where the Supplier implements a necessary change to the Supplier Information Management System to address a security related risk or vulnerability, the Supplier shall effect such change at its own cost and expense. </w:t>
      </w:r>
    </w:p>
    <w:p w:rsidR="00000000" w:rsidDel="00000000" w:rsidP="00000000" w:rsidRDefault="00000000" w:rsidRPr="00000000" w14:paraId="00000295">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If the Supplier does not implement a necessary change to the Supplier Information Management System to address a security related risk or vulnerability by the date set out in the Required Changes Register:</w:t>
      </w:r>
    </w:p>
    <w:p w:rsidR="00000000" w:rsidDel="00000000" w:rsidP="00000000" w:rsidRDefault="00000000" w:rsidRPr="00000000" w14:paraId="00000296">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that failure is a material Default; and</w:t>
      </w:r>
    </w:p>
    <w:p w:rsidR="00000000" w:rsidDel="00000000" w:rsidP="00000000" w:rsidRDefault="00000000" w:rsidRPr="00000000" w14:paraId="00000297">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the Supplier shall: </w:t>
      </w:r>
    </w:p>
    <w:p w:rsidR="00000000" w:rsidDel="00000000" w:rsidP="00000000" w:rsidRDefault="00000000" w:rsidRPr="00000000" w14:paraId="00000298">
      <w:pPr>
        <w:pStyle w:val="Heading4"/>
        <w:keepNext w:val="1"/>
        <w:numPr>
          <w:ilvl w:val="3"/>
          <w:numId w:val="2"/>
        </w:numPr>
        <w:spacing w:after="120" w:before="120" w:lineRule="auto"/>
        <w:ind w:left="2160" w:hanging="720"/>
        <w:rPr>
          <w:sz w:val="24"/>
          <w:szCs w:val="24"/>
        </w:rPr>
      </w:pPr>
      <w:r w:rsidDel="00000000" w:rsidR="00000000" w:rsidRPr="00000000">
        <w:rPr>
          <w:sz w:val="24"/>
          <w:szCs w:val="24"/>
          <w:rtl w:val="0"/>
        </w:rPr>
        <w:t xml:space="preserve">immediately cease using the Supplier Information Management System to Handle Government Data either:</w:t>
      </w:r>
    </w:p>
    <w:p w:rsidR="00000000" w:rsidDel="00000000" w:rsidP="00000000" w:rsidRDefault="00000000" w:rsidRPr="00000000" w14:paraId="00000299">
      <w:pPr>
        <w:pStyle w:val="Heading5"/>
        <w:numPr>
          <w:ilvl w:val="4"/>
          <w:numId w:val="2"/>
        </w:numPr>
        <w:spacing w:after="120" w:before="120" w:lineRule="auto"/>
        <w:ind w:left="2880" w:hanging="720"/>
        <w:rPr>
          <w:sz w:val="24"/>
          <w:szCs w:val="24"/>
        </w:rPr>
      </w:pPr>
      <w:r w:rsidDel="00000000" w:rsidR="00000000" w:rsidRPr="00000000">
        <w:rPr>
          <w:sz w:val="24"/>
          <w:szCs w:val="24"/>
          <w:rtl w:val="0"/>
        </w:rPr>
        <w:t xml:space="preserve">until the Default is remedied, or</w:t>
      </w:r>
    </w:p>
    <w:p w:rsidR="00000000" w:rsidDel="00000000" w:rsidP="00000000" w:rsidRDefault="00000000" w:rsidRPr="00000000" w14:paraId="0000029A">
      <w:pPr>
        <w:pStyle w:val="Heading5"/>
        <w:numPr>
          <w:ilvl w:val="4"/>
          <w:numId w:val="2"/>
        </w:numPr>
        <w:spacing w:after="120" w:before="120" w:lineRule="auto"/>
        <w:ind w:left="2880" w:hanging="720"/>
        <w:rPr>
          <w:sz w:val="24"/>
          <w:szCs w:val="24"/>
        </w:rPr>
      </w:pPr>
      <w:r w:rsidDel="00000000" w:rsidR="00000000" w:rsidRPr="00000000">
        <w:rPr>
          <w:sz w:val="24"/>
          <w:szCs w:val="24"/>
          <w:rtl w:val="0"/>
        </w:rPr>
        <w:t xml:space="preserve">unless directed otherwise by the Buyer in writing and then only in accordance with the Buyer's written directions; and</w:t>
      </w:r>
    </w:p>
    <w:p w:rsidR="00000000" w:rsidDel="00000000" w:rsidP="00000000" w:rsidRDefault="00000000" w:rsidRPr="00000000" w14:paraId="0000029B">
      <w:pPr>
        <w:pStyle w:val="Heading4"/>
        <w:numPr>
          <w:ilvl w:val="3"/>
          <w:numId w:val="2"/>
        </w:numPr>
        <w:spacing w:after="120" w:before="120" w:lineRule="auto"/>
        <w:ind w:left="2160" w:hanging="720"/>
        <w:rPr>
          <w:sz w:val="24"/>
          <w:szCs w:val="24"/>
        </w:rPr>
      </w:pPr>
      <w:bookmarkStart w:colFirst="0" w:colLast="0" w:name="_heading=h.8fiiymhayn8z" w:id="77"/>
      <w:bookmarkEnd w:id="77"/>
      <w:r w:rsidDel="00000000" w:rsidR="00000000" w:rsidRPr="00000000">
        <w:rPr>
          <w:sz w:val="24"/>
          <w:szCs w:val="24"/>
          <w:rtl w:val="0"/>
        </w:rPr>
        <w:t xml:space="preserve">where such material Default is capable of remedy, remedy such material Default within the timescales set by the Buyer (considering the security risks the material Default presents to the Services and/or the Supplier Information Management System).</w:t>
      </w:r>
    </w:p>
    <w:p w:rsidR="00000000" w:rsidDel="00000000" w:rsidP="00000000" w:rsidRDefault="00000000" w:rsidRPr="00000000" w14:paraId="0000029C">
      <w:pPr>
        <w:pStyle w:val="Heading1"/>
        <w:numPr>
          <w:ilvl w:val="0"/>
          <w:numId w:val="2"/>
        </w:numPr>
        <w:spacing w:after="120" w:before="120" w:lineRule="auto"/>
        <w:ind w:left="720" w:hanging="720"/>
        <w:rPr/>
      </w:pPr>
      <w:bookmarkStart w:colFirst="0" w:colLast="0" w:name="_heading=h.becf9wrg8h5v" w:id="78"/>
      <w:bookmarkEnd w:id="78"/>
      <w:r w:rsidDel="00000000" w:rsidR="00000000" w:rsidRPr="00000000">
        <w:rPr>
          <w:rtl w:val="0"/>
        </w:rPr>
        <w:t xml:space="preserve">Remediation Action Plan</w:t>
      </w:r>
    </w:p>
    <w:p w:rsidR="00000000" w:rsidDel="00000000" w:rsidP="00000000" w:rsidRDefault="00000000" w:rsidRPr="00000000" w14:paraId="0000029D">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Preparation of Remediation Action Plan</w:t>
      </w:r>
    </w:p>
    <w:p w:rsidR="00000000" w:rsidDel="00000000" w:rsidP="00000000" w:rsidRDefault="00000000" w:rsidRPr="00000000" w14:paraId="0000029E">
      <w:pPr>
        <w:pStyle w:val="Heading2"/>
        <w:keepNext w:val="1"/>
        <w:numPr>
          <w:ilvl w:val="1"/>
          <w:numId w:val="2"/>
        </w:numPr>
        <w:spacing w:after="120" w:before="120" w:lineRule="auto"/>
        <w:ind w:left="720" w:hanging="720"/>
        <w:rPr>
          <w:sz w:val="24"/>
          <w:szCs w:val="24"/>
        </w:rPr>
      </w:pPr>
      <w:bookmarkStart w:colFirst="0" w:colLast="0" w:name="_heading=h.9y3b83t31lr5" w:id="79"/>
      <w:bookmarkEnd w:id="79"/>
      <w:r w:rsidDel="00000000" w:rsidR="00000000" w:rsidRPr="00000000">
        <w:rPr>
          <w:sz w:val="24"/>
          <w:szCs w:val="24"/>
          <w:rtl w:val="0"/>
        </w:rPr>
        <w:t xml:space="preserve">This Paragraph 18 applies when:</w:t>
      </w:r>
    </w:p>
    <w:p w:rsidR="00000000" w:rsidDel="00000000" w:rsidP="00000000" w:rsidRDefault="00000000" w:rsidRPr="00000000" w14:paraId="0000029F">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Key Subcontractor Default occurs; </w:t>
      </w:r>
    </w:p>
    <w:p w:rsidR="00000000" w:rsidDel="00000000" w:rsidP="00000000" w:rsidRDefault="00000000" w:rsidRPr="00000000" w14:paraId="000002A0">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Buyer issues a Risk Management Rejection Notice; or</w:t>
      </w:r>
    </w:p>
    <w:p w:rsidR="00000000" w:rsidDel="00000000" w:rsidP="00000000" w:rsidRDefault="00000000" w:rsidRPr="00000000" w14:paraId="000002A1">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Supplier receives a Security Test report identifies vulnerabilities in, or makes findings in respect of, the Supplier Information Management System,</w:t>
      </w:r>
    </w:p>
    <w:p w:rsidR="00000000" w:rsidDel="00000000" w:rsidP="00000000" w:rsidRDefault="00000000" w:rsidRPr="00000000" w14:paraId="000002A2">
      <w:pPr>
        <w:pStyle w:val="Heading3"/>
        <w:spacing w:after="120" w:before="120" w:lineRule="auto"/>
        <w:ind w:left="720" w:firstLine="720"/>
        <w:rPr>
          <w:sz w:val="24"/>
          <w:szCs w:val="24"/>
        </w:rPr>
      </w:pPr>
      <w:r w:rsidDel="00000000" w:rsidR="00000000" w:rsidRPr="00000000">
        <w:rPr>
          <w:sz w:val="24"/>
          <w:szCs w:val="24"/>
          <w:rtl w:val="0"/>
        </w:rPr>
        <w:t xml:space="preserve">(each a </w:t>
      </w:r>
      <w:r w:rsidDel="00000000" w:rsidR="00000000" w:rsidRPr="00000000">
        <w:rPr>
          <w:b w:val="1"/>
          <w:sz w:val="24"/>
          <w:szCs w:val="24"/>
          <w:rtl w:val="0"/>
        </w:rPr>
        <w:t xml:space="preserve">RAP Trigger</w:t>
      </w:r>
      <w:r w:rsidDel="00000000" w:rsidR="00000000" w:rsidRPr="00000000">
        <w:rPr>
          <w:sz w:val="24"/>
          <w:szCs w:val="24"/>
          <w:rtl w:val="0"/>
        </w:rPr>
        <w:t xml:space="preserve">).</w:t>
      </w:r>
    </w:p>
    <w:p w:rsidR="00000000" w:rsidDel="00000000" w:rsidP="00000000" w:rsidRDefault="00000000" w:rsidRPr="00000000" w14:paraId="000002A3">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The Supplier must within [</w:t>
      </w:r>
      <w:r w:rsidDel="00000000" w:rsidR="00000000" w:rsidRPr="00000000">
        <w:rPr>
          <w:sz w:val="24"/>
          <w:szCs w:val="24"/>
          <w:highlight w:val="yellow"/>
          <w:rtl w:val="0"/>
        </w:rPr>
        <w:t xml:space="preserve">20</w:t>
      </w:r>
      <w:r w:rsidDel="00000000" w:rsidR="00000000" w:rsidRPr="00000000">
        <w:rPr>
          <w:sz w:val="24"/>
          <w:szCs w:val="24"/>
          <w:rtl w:val="0"/>
        </w:rPr>
        <w:t xml:space="preserve">] Working Days of the occurrence of a RAP Trigger prepare and submit for approval to the Buyer a draft plan (</w:t>
      </w:r>
      <w:r w:rsidDel="00000000" w:rsidR="00000000" w:rsidRPr="00000000">
        <w:rPr>
          <w:b w:val="1"/>
          <w:sz w:val="24"/>
          <w:szCs w:val="24"/>
          <w:rtl w:val="0"/>
        </w:rPr>
        <w:t xml:space="preserve">Remediation Action Plan</w:t>
      </w:r>
      <w:r w:rsidDel="00000000" w:rsidR="00000000" w:rsidRPr="00000000">
        <w:rPr>
          <w:sz w:val="24"/>
          <w:szCs w:val="24"/>
          <w:rtl w:val="0"/>
        </w:rPr>
        <w:t xml:space="preserve">).</w:t>
      </w:r>
    </w:p>
    <w:p w:rsidR="00000000" w:rsidDel="00000000" w:rsidP="00000000" w:rsidRDefault="00000000" w:rsidRPr="00000000" w14:paraId="000002A4">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The draft Remediation Action Plan must, in respect of each issue raised by the RAP Trigger, set out:</w:t>
      </w:r>
    </w:p>
    <w:p w:rsidR="00000000" w:rsidDel="00000000" w:rsidP="00000000" w:rsidRDefault="00000000" w:rsidRPr="00000000" w14:paraId="000002A5">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full details of that issue;</w:t>
      </w:r>
    </w:p>
    <w:p w:rsidR="00000000" w:rsidDel="00000000" w:rsidP="00000000" w:rsidRDefault="00000000" w:rsidRPr="00000000" w14:paraId="000002A6">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actual or anticipated effect of that issue;</w:t>
      </w:r>
    </w:p>
    <w:p w:rsidR="00000000" w:rsidDel="00000000" w:rsidP="00000000" w:rsidRDefault="00000000" w:rsidRPr="00000000" w14:paraId="000002A7">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how the issue will be remedied;</w:t>
      </w:r>
    </w:p>
    <w:p w:rsidR="00000000" w:rsidDel="00000000" w:rsidP="00000000" w:rsidRDefault="00000000" w:rsidRPr="00000000" w14:paraId="000002A8">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date by which the issue will be remedied; and</w:t>
      </w:r>
    </w:p>
    <w:p w:rsidR="00000000" w:rsidDel="00000000" w:rsidP="00000000" w:rsidRDefault="00000000" w:rsidRPr="00000000" w14:paraId="000002A9">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tests that the Supplier proposes to perform to confirm that the issue has been remedied.</w:t>
      </w:r>
    </w:p>
    <w:p w:rsidR="00000000" w:rsidDel="00000000" w:rsidP="00000000" w:rsidRDefault="00000000" w:rsidRPr="00000000" w14:paraId="000002AA">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Consideration of Remediation Action Plan</w:t>
      </w:r>
    </w:p>
    <w:p w:rsidR="00000000" w:rsidDel="00000000" w:rsidP="00000000" w:rsidRDefault="00000000" w:rsidRPr="00000000" w14:paraId="000002AB">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The Supplier must</w:t>
      </w:r>
    </w:p>
    <w:p w:rsidR="00000000" w:rsidDel="00000000" w:rsidP="00000000" w:rsidRDefault="00000000" w:rsidRPr="00000000" w14:paraId="000002AC">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provide the Buyer with a copy of any Remediation Action Plan it prepares; </w:t>
      </w:r>
    </w:p>
    <w:p w:rsidR="00000000" w:rsidDel="00000000" w:rsidP="00000000" w:rsidRDefault="00000000" w:rsidRPr="00000000" w14:paraId="000002AD">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have regarded to any comments the Buyer provides in respect of the Remediation Action Plan; and</w:t>
      </w:r>
    </w:p>
    <w:p w:rsidR="00000000" w:rsidDel="00000000" w:rsidP="00000000" w:rsidRDefault="00000000" w:rsidRPr="00000000" w14:paraId="000002AE">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fully implement the Remediation Action Plan according to its terms.</w:t>
      </w:r>
    </w:p>
    <w:p w:rsidR="00000000" w:rsidDel="00000000" w:rsidP="00000000" w:rsidRDefault="00000000" w:rsidRPr="00000000" w14:paraId="000002AF">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Implementing an approved Remediation Action Plan</w:t>
      </w:r>
    </w:p>
    <w:p w:rsidR="00000000" w:rsidDel="00000000" w:rsidP="00000000" w:rsidRDefault="00000000" w:rsidRPr="00000000" w14:paraId="000002B0">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In implementing the Remediation Action Plan, the Supplier must conduct such further tests on the Supplier Information Management System as are required by the Remediation Action Plan to confirm that the Remediation Action Plan has fully and correctly implemented.</w:t>
      </w:r>
    </w:p>
    <w:p w:rsidR="00000000" w:rsidDel="00000000" w:rsidP="00000000" w:rsidRDefault="00000000" w:rsidRPr="00000000" w14:paraId="000002B1">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If any such testing identifies a new risk, new threat, vulnerability or exploitation technique with the potential to affect the security of the Supplier Information Management System, the Supplier shall within [</w:t>
      </w:r>
      <w:r w:rsidDel="00000000" w:rsidR="00000000" w:rsidRPr="00000000">
        <w:rPr>
          <w:sz w:val="24"/>
          <w:szCs w:val="24"/>
          <w:highlight w:val="yellow"/>
          <w:rtl w:val="0"/>
        </w:rPr>
        <w:t xml:space="preserve">two</w:t>
      </w:r>
      <w:r w:rsidDel="00000000" w:rsidR="00000000" w:rsidRPr="00000000">
        <w:rPr>
          <w:sz w:val="24"/>
          <w:szCs w:val="24"/>
          <w:rtl w:val="0"/>
        </w:rPr>
        <w:t xml:space="preserve">] Working Days of becoming aware of such risk, threat, vulnerability or exploitation technique:</w:t>
      </w:r>
    </w:p>
    <w:p w:rsidR="00000000" w:rsidDel="00000000" w:rsidP="00000000" w:rsidRDefault="00000000" w:rsidRPr="00000000" w14:paraId="000002B2">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provide the Buyer with a full, unedited and unredacted copy of the test report;</w:t>
      </w:r>
    </w:p>
    <w:p w:rsidR="00000000" w:rsidDel="00000000" w:rsidP="00000000" w:rsidRDefault="00000000" w:rsidRPr="00000000" w14:paraId="000002B3">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implement interim mitigation measures to vulnerabilities in the Information System known to be exploitable where a security patch is not immediately available;</w:t>
      </w:r>
    </w:p>
    <w:p w:rsidR="00000000" w:rsidDel="00000000" w:rsidP="00000000" w:rsidRDefault="00000000" w:rsidRPr="00000000" w14:paraId="000002B4">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as far as practicable, remove or disable any extraneous interfaces, services or capabilities not needed for the provision of the Services within the timescales set out in the test report or such other timescales as may be agreed with the Buyer.</w:t>
      </w:r>
    </w:p>
    <w:p w:rsidR="00000000" w:rsidDel="00000000" w:rsidP="00000000" w:rsidRDefault="00000000" w:rsidRPr="00000000" w14:paraId="000002B5">
      <w:pPr>
        <w:pStyle w:val="Heading1"/>
        <w:numPr>
          <w:ilvl w:val="0"/>
          <w:numId w:val="2"/>
        </w:numPr>
        <w:spacing w:after="120" w:before="120" w:lineRule="auto"/>
        <w:ind w:left="720" w:hanging="720"/>
        <w:rPr/>
      </w:pPr>
      <w:bookmarkStart w:colFirst="0" w:colLast="0" w:name="_heading=h.x8ms1dzfs8hn" w:id="80"/>
      <w:bookmarkEnd w:id="80"/>
      <w:r w:rsidDel="00000000" w:rsidR="00000000" w:rsidRPr="00000000">
        <w:rPr>
          <w:rtl w:val="0"/>
        </w:rPr>
        <w:t xml:space="preserve">Independent Security Adviser</w:t>
      </w:r>
    </w:p>
    <w:p w:rsidR="00000000" w:rsidDel="00000000" w:rsidP="00000000" w:rsidRDefault="00000000" w:rsidRPr="00000000" w14:paraId="000002B6">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The Buyer may require the appointment of an Independent Security Adviser where:</w:t>
      </w:r>
    </w:p>
    <w:p w:rsidR="00000000" w:rsidDel="00000000" w:rsidP="00000000" w:rsidRDefault="00000000" w:rsidRPr="00000000" w14:paraId="000002B7">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there is a proposed change to the Supplier Information Management System (see Paragraph 11.5);</w:t>
      </w:r>
    </w:p>
    <w:p w:rsidR="00000000" w:rsidDel="00000000" w:rsidP="00000000" w:rsidRDefault="00000000" w:rsidRPr="00000000" w14:paraId="000002B8">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Buyer issues two or more Risk Management Rejection Notices (see Paragraph 16.2); or</w:t>
      </w:r>
    </w:p>
    <w:p w:rsidR="00000000" w:rsidDel="00000000" w:rsidP="00000000" w:rsidRDefault="00000000" w:rsidRPr="00000000" w14:paraId="000002B9">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either:</w:t>
      </w:r>
    </w:p>
    <w:p w:rsidR="00000000" w:rsidDel="00000000" w:rsidP="00000000" w:rsidRDefault="00000000" w:rsidRPr="00000000" w14:paraId="000002BA">
      <w:pPr>
        <w:pStyle w:val="Heading4"/>
        <w:numPr>
          <w:ilvl w:val="3"/>
          <w:numId w:val="4"/>
        </w:numPr>
        <w:spacing w:after="120" w:before="120" w:lineRule="auto"/>
        <w:ind w:left="2160" w:hanging="720"/>
        <w:rPr>
          <w:sz w:val="24"/>
          <w:szCs w:val="24"/>
        </w:rPr>
      </w:pPr>
      <w:r w:rsidDel="00000000" w:rsidR="00000000" w:rsidRPr="00000000">
        <w:rPr>
          <w:sz w:val="24"/>
          <w:szCs w:val="24"/>
          <w:rtl w:val="0"/>
        </w:rPr>
        <w:t xml:space="preserve">a Security Test report identifies more than ten vulnerabilities classified as either critical or high; or</w:t>
      </w:r>
    </w:p>
    <w:p w:rsidR="00000000" w:rsidDel="00000000" w:rsidP="00000000" w:rsidRDefault="00000000" w:rsidRPr="00000000" w14:paraId="000002BB">
      <w:pPr>
        <w:pStyle w:val="Heading4"/>
        <w:numPr>
          <w:ilvl w:val="3"/>
          <w:numId w:val="4"/>
        </w:numPr>
        <w:spacing w:after="120" w:before="120" w:lineRule="auto"/>
        <w:ind w:left="2160" w:hanging="720"/>
        <w:rPr>
          <w:sz w:val="24"/>
          <w:szCs w:val="24"/>
        </w:rPr>
      </w:pPr>
      <w:r w:rsidDel="00000000" w:rsidR="00000000" w:rsidRPr="00000000">
        <w:rPr>
          <w:sz w:val="24"/>
          <w:szCs w:val="24"/>
          <w:rtl w:val="0"/>
        </w:rPr>
        <w:t xml:space="preserve">the Buyer rejected a revised draft Remediation Action Plan (see Paragraph 12.21 of Appendix 1).</w:t>
      </w:r>
    </w:p>
    <w:p w:rsidR="00000000" w:rsidDel="00000000" w:rsidP="00000000" w:rsidRDefault="00000000" w:rsidRPr="00000000" w14:paraId="000002BC">
      <w:pPr>
        <w:pStyle w:val="Heading2"/>
        <w:keepNext w:val="1"/>
        <w:numPr>
          <w:ilvl w:val="1"/>
          <w:numId w:val="4"/>
        </w:numPr>
        <w:spacing w:after="120" w:before="120" w:lineRule="auto"/>
        <w:ind w:left="720" w:hanging="720"/>
        <w:rPr>
          <w:sz w:val="24"/>
          <w:szCs w:val="24"/>
        </w:rPr>
      </w:pPr>
      <w:r w:rsidDel="00000000" w:rsidR="00000000" w:rsidRPr="00000000">
        <w:rPr>
          <w:sz w:val="24"/>
          <w:szCs w:val="24"/>
          <w:rtl w:val="0"/>
        </w:rPr>
        <w:t xml:space="preserve">Where the Buyer requires the appointment of an Independent Security Adviser the Independent Security Adviser shall be:</w:t>
      </w:r>
    </w:p>
    <w:p w:rsidR="00000000" w:rsidDel="00000000" w:rsidP="00000000" w:rsidRDefault="00000000" w:rsidRPr="00000000" w14:paraId="000002BD">
      <w:pPr>
        <w:pStyle w:val="Heading3"/>
        <w:numPr>
          <w:ilvl w:val="2"/>
          <w:numId w:val="4"/>
        </w:numPr>
        <w:spacing w:after="120" w:before="120" w:lineRule="auto"/>
        <w:ind w:left="1440" w:hanging="720"/>
        <w:rPr>
          <w:sz w:val="24"/>
          <w:szCs w:val="24"/>
        </w:rPr>
      </w:pPr>
      <w:r w:rsidDel="00000000" w:rsidR="00000000" w:rsidRPr="00000000">
        <w:rPr>
          <w:sz w:val="24"/>
          <w:szCs w:val="24"/>
          <w:rtl w:val="0"/>
        </w:rPr>
        <w:t xml:space="preserve">a person selected by the Supplier and approved by the Buyer; or</w:t>
      </w:r>
    </w:p>
    <w:p w:rsidR="00000000" w:rsidDel="00000000" w:rsidP="00000000" w:rsidRDefault="00000000" w:rsidRPr="00000000" w14:paraId="000002BE">
      <w:pPr>
        <w:pStyle w:val="Heading3"/>
        <w:keepNext w:val="1"/>
        <w:numPr>
          <w:ilvl w:val="2"/>
          <w:numId w:val="4"/>
        </w:numPr>
        <w:spacing w:after="120" w:before="120" w:lineRule="auto"/>
        <w:ind w:left="1440" w:hanging="720"/>
        <w:rPr>
          <w:sz w:val="24"/>
          <w:szCs w:val="24"/>
        </w:rPr>
      </w:pPr>
      <w:r w:rsidDel="00000000" w:rsidR="00000000" w:rsidRPr="00000000">
        <w:rPr>
          <w:sz w:val="24"/>
          <w:szCs w:val="24"/>
          <w:rtl w:val="0"/>
        </w:rPr>
        <w:t xml:space="preserve">where</w:t>
      </w:r>
    </w:p>
    <w:p w:rsidR="00000000" w:rsidDel="00000000" w:rsidP="00000000" w:rsidRDefault="00000000" w:rsidRPr="00000000" w14:paraId="000002BF">
      <w:pPr>
        <w:pStyle w:val="Heading4"/>
        <w:numPr>
          <w:ilvl w:val="3"/>
          <w:numId w:val="4"/>
        </w:numPr>
        <w:spacing w:after="120" w:before="120" w:lineRule="auto"/>
        <w:ind w:left="2160" w:hanging="720"/>
        <w:rPr>
          <w:sz w:val="24"/>
          <w:szCs w:val="24"/>
        </w:rPr>
      </w:pPr>
      <w:r w:rsidDel="00000000" w:rsidR="00000000" w:rsidRPr="00000000">
        <w:rPr>
          <w:sz w:val="24"/>
          <w:szCs w:val="24"/>
          <w:rtl w:val="0"/>
        </w:rPr>
        <w:t xml:space="preserve">the Buyer does not approve the persons selected by the Supplier; or</w:t>
      </w:r>
    </w:p>
    <w:p w:rsidR="00000000" w:rsidDel="00000000" w:rsidP="00000000" w:rsidRDefault="00000000" w:rsidRPr="00000000" w14:paraId="000002C0">
      <w:pPr>
        <w:pStyle w:val="Heading4"/>
        <w:numPr>
          <w:ilvl w:val="3"/>
          <w:numId w:val="4"/>
        </w:numPr>
        <w:spacing w:after="120" w:before="120" w:lineRule="auto"/>
        <w:ind w:left="2160" w:hanging="720"/>
        <w:rPr>
          <w:sz w:val="24"/>
          <w:szCs w:val="24"/>
        </w:rPr>
      </w:pPr>
      <w:r w:rsidDel="00000000" w:rsidR="00000000" w:rsidRPr="00000000">
        <w:rPr>
          <w:sz w:val="24"/>
          <w:szCs w:val="24"/>
          <w:rtl w:val="0"/>
        </w:rPr>
        <w:t xml:space="preserve">the Supplier does not select any person within ten Working Days of the date of the notice requiring the Independent Security Adviser’s appointment,</w:t>
      </w:r>
    </w:p>
    <w:p w:rsidR="00000000" w:rsidDel="00000000" w:rsidP="00000000" w:rsidRDefault="00000000" w:rsidRPr="00000000" w14:paraId="000002C1">
      <w:pPr>
        <w:pStyle w:val="Heading5"/>
        <w:spacing w:after="120" w:before="120" w:lineRule="auto"/>
        <w:ind w:left="1440" w:firstLine="2160"/>
        <w:rPr>
          <w:sz w:val="24"/>
          <w:szCs w:val="24"/>
        </w:rPr>
      </w:pPr>
      <w:r w:rsidDel="00000000" w:rsidR="00000000" w:rsidRPr="00000000">
        <w:rPr>
          <w:sz w:val="24"/>
          <w:szCs w:val="24"/>
          <w:rtl w:val="0"/>
        </w:rPr>
        <w:t xml:space="preserve">a person selected by the Buyer.</w:t>
      </w:r>
    </w:p>
    <w:p w:rsidR="00000000" w:rsidDel="00000000" w:rsidP="00000000" w:rsidRDefault="00000000" w:rsidRPr="00000000" w14:paraId="000002C2">
      <w:pPr>
        <w:pStyle w:val="Heading2"/>
        <w:keepNext w:val="1"/>
        <w:numPr>
          <w:ilvl w:val="1"/>
          <w:numId w:val="4"/>
        </w:numPr>
        <w:spacing w:after="120" w:before="120" w:lineRule="auto"/>
        <w:ind w:left="720" w:hanging="720"/>
        <w:rPr>
          <w:sz w:val="24"/>
          <w:szCs w:val="24"/>
        </w:rPr>
      </w:pPr>
      <w:r w:rsidDel="00000000" w:rsidR="00000000" w:rsidRPr="00000000">
        <w:rPr>
          <w:sz w:val="24"/>
          <w:szCs w:val="24"/>
          <w:rtl w:val="0"/>
        </w:rPr>
        <w:t xml:space="preserve">The terms of the Independent Security Adviser’s appointment shall require that person to:</w:t>
      </w:r>
    </w:p>
    <w:p w:rsidR="00000000" w:rsidDel="00000000" w:rsidP="00000000" w:rsidRDefault="00000000" w:rsidRPr="00000000" w14:paraId="000002C3">
      <w:pPr>
        <w:pStyle w:val="Heading3"/>
        <w:numPr>
          <w:ilvl w:val="2"/>
          <w:numId w:val="4"/>
        </w:numPr>
        <w:spacing w:after="120" w:before="120" w:lineRule="auto"/>
        <w:ind w:left="1440" w:hanging="720"/>
        <w:rPr>
          <w:sz w:val="24"/>
          <w:szCs w:val="24"/>
        </w:rPr>
      </w:pPr>
      <w:r w:rsidDel="00000000" w:rsidR="00000000" w:rsidRPr="00000000">
        <w:rPr>
          <w:sz w:val="24"/>
          <w:szCs w:val="24"/>
          <w:rtl w:val="0"/>
        </w:rPr>
        <w:t xml:space="preserve">undertake a detailed review, including a full root cause analysis where the Independent Security Adviser considers it appropriate to do so, of the circumstances that led to that person’s appointment; and </w:t>
      </w:r>
    </w:p>
    <w:p w:rsidR="00000000" w:rsidDel="00000000" w:rsidP="00000000" w:rsidRDefault="00000000" w:rsidRPr="00000000" w14:paraId="000002C4">
      <w:pPr>
        <w:pStyle w:val="Heading3"/>
        <w:keepNext w:val="1"/>
        <w:numPr>
          <w:ilvl w:val="2"/>
          <w:numId w:val="4"/>
        </w:numPr>
        <w:spacing w:after="120" w:before="120" w:lineRule="auto"/>
        <w:ind w:left="1440" w:hanging="720"/>
        <w:rPr>
          <w:sz w:val="24"/>
          <w:szCs w:val="24"/>
        </w:rPr>
      </w:pPr>
      <w:r w:rsidDel="00000000" w:rsidR="00000000" w:rsidRPr="00000000">
        <w:rPr>
          <w:sz w:val="24"/>
          <w:szCs w:val="24"/>
          <w:rtl w:val="0"/>
        </w:rPr>
        <w:t xml:space="preserve">provide advice and recommendations on:</w:t>
      </w:r>
    </w:p>
    <w:p w:rsidR="00000000" w:rsidDel="00000000" w:rsidP="00000000" w:rsidRDefault="00000000" w:rsidRPr="00000000" w14:paraId="000002C5">
      <w:pPr>
        <w:pStyle w:val="Heading4"/>
        <w:numPr>
          <w:ilvl w:val="3"/>
          <w:numId w:val="4"/>
        </w:numPr>
        <w:spacing w:after="120" w:before="120" w:lineRule="auto"/>
        <w:ind w:left="2160" w:hanging="720"/>
        <w:rPr>
          <w:sz w:val="24"/>
          <w:szCs w:val="24"/>
        </w:rPr>
      </w:pPr>
      <w:r w:rsidDel="00000000" w:rsidR="00000000" w:rsidRPr="00000000">
        <w:rPr>
          <w:sz w:val="24"/>
          <w:szCs w:val="24"/>
          <w:rtl w:val="0"/>
        </w:rPr>
        <w:t xml:space="preserve">steps the Supplier can reasonably take to improvement the security of the Supplier Information Management System; and</w:t>
      </w:r>
    </w:p>
    <w:p w:rsidR="00000000" w:rsidDel="00000000" w:rsidP="00000000" w:rsidRDefault="00000000" w:rsidRPr="00000000" w14:paraId="000002C6">
      <w:pPr>
        <w:pStyle w:val="Heading4"/>
        <w:numPr>
          <w:ilvl w:val="3"/>
          <w:numId w:val="4"/>
        </w:numPr>
        <w:spacing w:after="120" w:before="120" w:lineRule="auto"/>
        <w:ind w:left="2160" w:hanging="720"/>
        <w:rPr>
          <w:sz w:val="24"/>
          <w:szCs w:val="24"/>
        </w:rPr>
      </w:pPr>
      <w:r w:rsidDel="00000000" w:rsidR="00000000" w:rsidRPr="00000000">
        <w:rPr>
          <w:sz w:val="24"/>
          <w:szCs w:val="24"/>
          <w:rtl w:val="0"/>
        </w:rPr>
        <w:t xml:space="preserve">where relevant, how the Supplier may mitigate the effects of, and remedy, those and to avoid the occurrence of similar circumstances to those leading to the appointment of the Independent Security Adviser in the future.</w:t>
      </w:r>
    </w:p>
    <w:p w:rsidR="00000000" w:rsidDel="00000000" w:rsidP="00000000" w:rsidRDefault="00000000" w:rsidRPr="00000000" w14:paraId="000002C7">
      <w:pPr>
        <w:pStyle w:val="Heading2"/>
        <w:keepNext w:val="1"/>
        <w:numPr>
          <w:ilvl w:val="1"/>
          <w:numId w:val="4"/>
        </w:numPr>
        <w:spacing w:after="120" w:before="120" w:lineRule="auto"/>
        <w:ind w:left="720" w:hanging="720"/>
        <w:rPr>
          <w:sz w:val="24"/>
          <w:szCs w:val="24"/>
        </w:rPr>
      </w:pPr>
      <w:r w:rsidDel="00000000" w:rsidR="00000000" w:rsidRPr="00000000">
        <w:rPr>
          <w:sz w:val="24"/>
          <w:szCs w:val="24"/>
          <w:rtl w:val="0"/>
        </w:rPr>
        <w:t xml:space="preserve">The Supplier must permit, and must ensure that relevant Sub-contractors permit, the Independent Security Adviser to:</w:t>
      </w:r>
    </w:p>
    <w:p w:rsidR="00000000" w:rsidDel="00000000" w:rsidP="00000000" w:rsidRDefault="00000000" w:rsidRPr="00000000" w14:paraId="000002C8">
      <w:pPr>
        <w:pStyle w:val="Heading3"/>
        <w:numPr>
          <w:ilvl w:val="2"/>
          <w:numId w:val="4"/>
        </w:numPr>
        <w:spacing w:after="120" w:before="120" w:lineRule="auto"/>
        <w:ind w:left="1440" w:hanging="720"/>
        <w:rPr>
          <w:sz w:val="24"/>
          <w:szCs w:val="24"/>
        </w:rPr>
      </w:pPr>
      <w:r w:rsidDel="00000000" w:rsidR="00000000" w:rsidRPr="00000000">
        <w:rPr>
          <w:sz w:val="24"/>
          <w:szCs w:val="24"/>
          <w:rtl w:val="0"/>
        </w:rPr>
        <w:t xml:space="preserve">observe the conduct of and work alongside the Supplier Staff to the extent that the Independent Security Adviser considers reasonable and proportionate having regard to reason for their appointment; </w:t>
      </w:r>
    </w:p>
    <w:p w:rsidR="00000000" w:rsidDel="00000000" w:rsidP="00000000" w:rsidRDefault="00000000" w:rsidRPr="00000000" w14:paraId="000002C9">
      <w:pPr>
        <w:pStyle w:val="Heading3"/>
        <w:numPr>
          <w:ilvl w:val="2"/>
          <w:numId w:val="4"/>
        </w:numPr>
        <w:spacing w:after="120" w:before="120" w:lineRule="auto"/>
        <w:ind w:left="1440" w:hanging="720"/>
        <w:rPr>
          <w:sz w:val="24"/>
          <w:szCs w:val="24"/>
        </w:rPr>
      </w:pPr>
      <w:r w:rsidDel="00000000" w:rsidR="00000000" w:rsidRPr="00000000">
        <w:rPr>
          <w:sz w:val="24"/>
          <w:szCs w:val="24"/>
          <w:rtl w:val="0"/>
        </w:rPr>
        <w:t xml:space="preserve">gather any information the Independent Security Adviser considers relevant in the furtherance of their appointment; </w:t>
      </w:r>
    </w:p>
    <w:p w:rsidR="00000000" w:rsidDel="00000000" w:rsidP="00000000" w:rsidRDefault="00000000" w:rsidRPr="00000000" w14:paraId="000002CA">
      <w:pPr>
        <w:pStyle w:val="Heading3"/>
        <w:numPr>
          <w:ilvl w:val="2"/>
          <w:numId w:val="4"/>
        </w:numPr>
        <w:spacing w:after="120" w:before="120" w:lineRule="auto"/>
        <w:ind w:left="1440" w:hanging="720"/>
        <w:rPr>
          <w:sz w:val="24"/>
          <w:szCs w:val="24"/>
        </w:rPr>
      </w:pPr>
      <w:r w:rsidDel="00000000" w:rsidR="00000000" w:rsidRPr="00000000">
        <w:rPr>
          <w:sz w:val="24"/>
          <w:szCs w:val="24"/>
          <w:rtl w:val="0"/>
        </w:rPr>
        <w:t xml:space="preserve">write reports and provide information to the Buyer in connection with the steps being taken by the Supplier to remedy the matters leading to the Independent Security Adviser’s appointment; </w:t>
      </w:r>
    </w:p>
    <w:p w:rsidR="00000000" w:rsidDel="00000000" w:rsidP="00000000" w:rsidRDefault="00000000" w:rsidRPr="00000000" w14:paraId="000002CB">
      <w:pPr>
        <w:pStyle w:val="Heading3"/>
        <w:numPr>
          <w:ilvl w:val="2"/>
          <w:numId w:val="4"/>
        </w:numPr>
        <w:spacing w:after="120" w:before="120" w:lineRule="auto"/>
        <w:ind w:left="1440" w:hanging="720"/>
        <w:rPr>
          <w:sz w:val="24"/>
          <w:szCs w:val="24"/>
        </w:rPr>
      </w:pPr>
      <w:r w:rsidDel="00000000" w:rsidR="00000000" w:rsidRPr="00000000">
        <w:rPr>
          <w:sz w:val="24"/>
          <w:szCs w:val="24"/>
          <w:rtl w:val="0"/>
        </w:rPr>
        <w:t xml:space="preserve">make recommendations to the Buyer and/or the Supplier as to how the matters leading to their appointment might be mitigated or avoided in the future; and/or</w:t>
      </w:r>
    </w:p>
    <w:p w:rsidR="00000000" w:rsidDel="00000000" w:rsidP="00000000" w:rsidRDefault="00000000" w:rsidRPr="00000000" w14:paraId="000002CC">
      <w:pPr>
        <w:pStyle w:val="Heading3"/>
        <w:numPr>
          <w:ilvl w:val="2"/>
          <w:numId w:val="4"/>
        </w:numPr>
        <w:spacing w:after="120" w:before="120" w:lineRule="auto"/>
        <w:ind w:left="1440" w:hanging="720"/>
        <w:rPr>
          <w:sz w:val="24"/>
          <w:szCs w:val="24"/>
        </w:rPr>
      </w:pPr>
      <w:r w:rsidDel="00000000" w:rsidR="00000000" w:rsidRPr="00000000">
        <w:rPr>
          <w:sz w:val="24"/>
          <w:szCs w:val="24"/>
          <w:rtl w:val="0"/>
        </w:rPr>
        <w:t xml:space="preserve">take any other steps that the Buyer and/or the Independent Security Adviser reasonably considers necessary or expedient in order to mitigate or rectify matters leading to the Independent Security Adviser’s appointment.</w:t>
      </w:r>
    </w:p>
    <w:p w:rsidR="00000000" w:rsidDel="00000000" w:rsidP="00000000" w:rsidRDefault="00000000" w:rsidRPr="00000000" w14:paraId="000002CD">
      <w:pPr>
        <w:pStyle w:val="Heading2"/>
        <w:keepNext w:val="1"/>
        <w:numPr>
          <w:ilvl w:val="1"/>
          <w:numId w:val="4"/>
        </w:numPr>
        <w:spacing w:after="120" w:before="120" w:lineRule="auto"/>
        <w:ind w:left="720" w:hanging="720"/>
        <w:rPr>
          <w:sz w:val="24"/>
          <w:szCs w:val="24"/>
        </w:rPr>
      </w:pPr>
      <w:r w:rsidDel="00000000" w:rsidR="00000000" w:rsidRPr="00000000">
        <w:rPr>
          <w:sz w:val="24"/>
          <w:szCs w:val="24"/>
          <w:rtl w:val="0"/>
        </w:rPr>
        <w:t xml:space="preserve">The Supplier must, and ensure that relevant Sub-contractors:</w:t>
      </w:r>
    </w:p>
    <w:p w:rsidR="00000000" w:rsidDel="00000000" w:rsidP="00000000" w:rsidRDefault="00000000" w:rsidRPr="00000000" w14:paraId="000002CE">
      <w:pPr>
        <w:pStyle w:val="Heading3"/>
        <w:keepNext w:val="1"/>
        <w:numPr>
          <w:ilvl w:val="2"/>
          <w:numId w:val="4"/>
        </w:numPr>
        <w:spacing w:after="120" w:before="120" w:lineRule="auto"/>
        <w:ind w:left="1440" w:hanging="720"/>
        <w:rPr>
          <w:sz w:val="24"/>
          <w:szCs w:val="24"/>
        </w:rPr>
      </w:pPr>
      <w:r w:rsidDel="00000000" w:rsidR="00000000" w:rsidRPr="00000000">
        <w:rPr>
          <w:sz w:val="24"/>
          <w:szCs w:val="24"/>
          <w:rtl w:val="0"/>
        </w:rPr>
        <w:t xml:space="preserve">where relevant, work alongside, provide information to, co-operate in good faith with and adopt any reasonable methodology in providing the Services recommended by the Independent Security Adviser in order to mitigate or rectify any of the vulnerabilities that led to the appointment of the Independent Security Adviser;</w:t>
      </w:r>
    </w:p>
    <w:p w:rsidR="00000000" w:rsidDel="00000000" w:rsidP="00000000" w:rsidRDefault="00000000" w:rsidRPr="00000000" w14:paraId="000002CF">
      <w:pPr>
        <w:pStyle w:val="Heading3"/>
        <w:numPr>
          <w:ilvl w:val="2"/>
          <w:numId w:val="4"/>
        </w:numPr>
        <w:spacing w:after="120" w:before="120" w:lineRule="auto"/>
        <w:ind w:left="1440" w:hanging="720"/>
        <w:rPr>
          <w:sz w:val="24"/>
          <w:szCs w:val="24"/>
        </w:rPr>
      </w:pPr>
      <w:r w:rsidDel="00000000" w:rsidR="00000000" w:rsidRPr="00000000">
        <w:rPr>
          <w:sz w:val="24"/>
          <w:szCs w:val="24"/>
          <w:rtl w:val="0"/>
        </w:rPr>
        <w:t xml:space="preserve">ensure that the Independent Security Adviser has all the access it may require in order to carry out its objective, including access to the Assets; </w:t>
      </w:r>
    </w:p>
    <w:p w:rsidR="00000000" w:rsidDel="00000000" w:rsidP="00000000" w:rsidRDefault="00000000" w:rsidRPr="00000000" w14:paraId="000002D0">
      <w:pPr>
        <w:pStyle w:val="Heading3"/>
        <w:numPr>
          <w:ilvl w:val="2"/>
          <w:numId w:val="4"/>
        </w:numPr>
        <w:spacing w:after="120" w:before="120" w:lineRule="auto"/>
        <w:ind w:left="1440" w:hanging="720"/>
        <w:rPr>
          <w:sz w:val="24"/>
          <w:szCs w:val="24"/>
        </w:rPr>
      </w:pPr>
      <w:r w:rsidDel="00000000" w:rsidR="00000000" w:rsidRPr="00000000">
        <w:rPr>
          <w:sz w:val="24"/>
          <w:szCs w:val="24"/>
          <w:rtl w:val="0"/>
        </w:rPr>
        <w:t xml:space="preserve">submit to such monitoring as the Buyer and/or the Independent Security Adviser considers reasonable and proportionate in respect of the matters giving rise to their appointment;</w:t>
      </w:r>
    </w:p>
    <w:p w:rsidR="00000000" w:rsidDel="00000000" w:rsidP="00000000" w:rsidRDefault="00000000" w:rsidRPr="00000000" w14:paraId="000002D1">
      <w:pPr>
        <w:pStyle w:val="Heading3"/>
        <w:numPr>
          <w:ilvl w:val="2"/>
          <w:numId w:val="4"/>
        </w:numPr>
        <w:spacing w:after="120" w:before="120" w:lineRule="auto"/>
        <w:ind w:left="1440" w:hanging="720"/>
        <w:rPr>
          <w:sz w:val="24"/>
          <w:szCs w:val="24"/>
        </w:rPr>
      </w:pPr>
      <w:r w:rsidDel="00000000" w:rsidR="00000000" w:rsidRPr="00000000">
        <w:rPr>
          <w:sz w:val="24"/>
          <w:szCs w:val="24"/>
          <w:rtl w:val="0"/>
        </w:rPr>
        <w:t xml:space="preserve">implement any recommendations (including additional security measures and/or controls) made by the Independent Security Adviser that have been approved by the Buyer within the timescales given by the Independent Security Adviser; and</w:t>
      </w:r>
    </w:p>
    <w:p w:rsidR="00000000" w:rsidDel="00000000" w:rsidP="00000000" w:rsidRDefault="00000000" w:rsidRPr="00000000" w14:paraId="000002D2">
      <w:pPr>
        <w:pStyle w:val="Heading3"/>
        <w:numPr>
          <w:ilvl w:val="2"/>
          <w:numId w:val="4"/>
        </w:numPr>
        <w:spacing w:after="120" w:before="120" w:lineRule="auto"/>
        <w:ind w:left="1440" w:hanging="720"/>
        <w:rPr>
          <w:sz w:val="24"/>
          <w:szCs w:val="24"/>
        </w:rPr>
      </w:pPr>
      <w:r w:rsidDel="00000000" w:rsidR="00000000" w:rsidRPr="00000000">
        <w:rPr>
          <w:sz w:val="24"/>
          <w:szCs w:val="24"/>
          <w:rtl w:val="0"/>
        </w:rPr>
        <w:t xml:space="preserve">not terminate the appointment of the Independent Security Adviser without the prior consent of the Buyer (unless such consent has been unreasonably withheld). </w:t>
      </w:r>
    </w:p>
    <w:p w:rsidR="00000000" w:rsidDel="00000000" w:rsidP="00000000" w:rsidRDefault="00000000" w:rsidRPr="00000000" w14:paraId="000002D3">
      <w:pPr>
        <w:pStyle w:val="Heading2"/>
        <w:keepNext w:val="1"/>
        <w:numPr>
          <w:ilvl w:val="1"/>
          <w:numId w:val="4"/>
        </w:numPr>
        <w:spacing w:after="120" w:before="120" w:lineRule="auto"/>
        <w:ind w:left="720" w:hanging="720"/>
        <w:rPr>
          <w:sz w:val="24"/>
          <w:szCs w:val="24"/>
        </w:rPr>
      </w:pPr>
      <w:r w:rsidDel="00000000" w:rsidR="00000000" w:rsidRPr="00000000">
        <w:rPr>
          <w:sz w:val="24"/>
          <w:szCs w:val="24"/>
          <w:rtl w:val="0"/>
        </w:rPr>
        <w:t xml:space="preserve">The Supplier shall be responsible for:</w:t>
      </w:r>
    </w:p>
    <w:p w:rsidR="00000000" w:rsidDel="00000000" w:rsidP="00000000" w:rsidRDefault="00000000" w:rsidRPr="00000000" w14:paraId="000002D4">
      <w:pPr>
        <w:pStyle w:val="Heading3"/>
        <w:numPr>
          <w:ilvl w:val="2"/>
          <w:numId w:val="4"/>
        </w:numPr>
        <w:spacing w:after="120" w:before="120" w:lineRule="auto"/>
        <w:ind w:left="1440" w:hanging="720"/>
        <w:rPr>
          <w:sz w:val="24"/>
          <w:szCs w:val="24"/>
        </w:rPr>
      </w:pPr>
      <w:r w:rsidDel="00000000" w:rsidR="00000000" w:rsidRPr="00000000">
        <w:rPr>
          <w:sz w:val="24"/>
          <w:szCs w:val="24"/>
          <w:rtl w:val="0"/>
        </w:rPr>
        <w:t xml:space="preserve">the costs of appointing, and the fees charged by, the Independent Security Adviser; and</w:t>
      </w:r>
    </w:p>
    <w:p w:rsidR="00000000" w:rsidDel="00000000" w:rsidP="00000000" w:rsidRDefault="00000000" w:rsidRPr="00000000" w14:paraId="000002D5">
      <w:pPr>
        <w:pStyle w:val="Heading3"/>
        <w:numPr>
          <w:ilvl w:val="2"/>
          <w:numId w:val="4"/>
        </w:numPr>
        <w:spacing w:after="120" w:before="120" w:lineRule="auto"/>
        <w:ind w:left="1440" w:hanging="720"/>
        <w:rPr>
          <w:sz w:val="24"/>
          <w:szCs w:val="24"/>
        </w:rPr>
      </w:pPr>
      <w:r w:rsidDel="00000000" w:rsidR="00000000" w:rsidRPr="00000000">
        <w:rPr>
          <w:sz w:val="24"/>
          <w:szCs w:val="24"/>
          <w:rtl w:val="0"/>
        </w:rPr>
        <w:t xml:space="preserve">its own costs in connection with any action required by the Buyer and/or the Independent Security Adviser.</w:t>
      </w:r>
    </w:p>
    <w:p w:rsidR="00000000" w:rsidDel="00000000" w:rsidP="00000000" w:rsidRDefault="00000000" w:rsidRPr="00000000" w14:paraId="000002D6">
      <w:pPr>
        <w:pStyle w:val="Heading2"/>
        <w:keepNext w:val="1"/>
        <w:numPr>
          <w:ilvl w:val="1"/>
          <w:numId w:val="4"/>
        </w:numPr>
        <w:spacing w:after="120" w:before="120" w:lineRule="auto"/>
        <w:ind w:left="720" w:hanging="720"/>
        <w:rPr>
          <w:sz w:val="24"/>
          <w:szCs w:val="24"/>
        </w:rPr>
      </w:pPr>
      <w:r w:rsidDel="00000000" w:rsidR="00000000" w:rsidRPr="00000000">
        <w:rPr>
          <w:sz w:val="24"/>
          <w:szCs w:val="24"/>
          <w:rtl w:val="0"/>
        </w:rPr>
        <w:t xml:space="preserve">If the Supplier or any relevant Sub-contractor:</w:t>
      </w:r>
    </w:p>
    <w:p w:rsidR="00000000" w:rsidDel="00000000" w:rsidP="00000000" w:rsidRDefault="00000000" w:rsidRPr="00000000" w14:paraId="000002D7">
      <w:pPr>
        <w:pStyle w:val="Heading3"/>
        <w:numPr>
          <w:ilvl w:val="2"/>
          <w:numId w:val="4"/>
        </w:numPr>
        <w:spacing w:after="120" w:before="120" w:lineRule="auto"/>
        <w:ind w:left="1440" w:hanging="720"/>
        <w:rPr>
          <w:sz w:val="24"/>
          <w:szCs w:val="24"/>
        </w:rPr>
      </w:pPr>
      <w:r w:rsidDel="00000000" w:rsidR="00000000" w:rsidRPr="00000000">
        <w:rPr>
          <w:sz w:val="24"/>
          <w:szCs w:val="24"/>
          <w:rtl w:val="0"/>
        </w:rPr>
        <w:t xml:space="preserve">fails to perform any of the steps required by the Buyer in the notice appointing the Independent Security Adviser; and/or</w:t>
      </w:r>
    </w:p>
    <w:p w:rsidR="00000000" w:rsidDel="00000000" w:rsidP="00000000" w:rsidRDefault="00000000" w:rsidRPr="00000000" w14:paraId="000002D8">
      <w:pPr>
        <w:pStyle w:val="Heading3"/>
        <w:numPr>
          <w:ilvl w:val="2"/>
          <w:numId w:val="4"/>
        </w:numPr>
        <w:spacing w:after="120" w:before="120" w:lineRule="auto"/>
        <w:ind w:left="1440" w:hanging="720"/>
        <w:rPr>
          <w:sz w:val="24"/>
          <w:szCs w:val="24"/>
        </w:rPr>
      </w:pPr>
      <w:r w:rsidDel="00000000" w:rsidR="00000000" w:rsidRPr="00000000">
        <w:rPr>
          <w:sz w:val="24"/>
          <w:szCs w:val="24"/>
          <w:rtl w:val="0"/>
        </w:rPr>
        <w:t xml:space="preserve">is in Default of any of its obligations under this Paragraph 19,</w:t>
      </w:r>
    </w:p>
    <w:p w:rsidR="00000000" w:rsidDel="00000000" w:rsidP="00000000" w:rsidRDefault="00000000" w:rsidRPr="00000000" w14:paraId="000002D9">
      <w:pPr>
        <w:pStyle w:val="Heading2"/>
        <w:spacing w:after="120" w:before="120" w:lineRule="auto"/>
        <w:ind w:left="720" w:firstLine="0"/>
        <w:rPr>
          <w:sz w:val="24"/>
          <w:szCs w:val="24"/>
        </w:rPr>
      </w:pPr>
      <w:r w:rsidDel="00000000" w:rsidR="00000000" w:rsidRPr="00000000">
        <w:rPr>
          <w:sz w:val="24"/>
          <w:szCs w:val="24"/>
          <w:rtl w:val="0"/>
        </w:rPr>
        <w:t xml:space="preserve">this is a material Default that is not capable of remedy.</w:t>
      </w:r>
    </w:p>
    <w:p w:rsidR="00000000" w:rsidDel="00000000" w:rsidP="00000000" w:rsidRDefault="00000000" w:rsidRPr="00000000" w14:paraId="000002DA">
      <w:pPr>
        <w:pStyle w:val="Heading1"/>
        <w:numPr>
          <w:ilvl w:val="0"/>
          <w:numId w:val="4"/>
        </w:numPr>
        <w:spacing w:after="120" w:before="120" w:lineRule="auto"/>
        <w:ind w:left="720" w:hanging="720"/>
        <w:rPr/>
      </w:pPr>
      <w:bookmarkStart w:colFirst="0" w:colLast="0" w:name="_heading=h.gfxtjb620ug4" w:id="81"/>
      <w:bookmarkEnd w:id="81"/>
      <w:r w:rsidDel="00000000" w:rsidR="00000000" w:rsidRPr="00000000">
        <w:rPr>
          <w:rtl w:val="0"/>
        </w:rPr>
        <w:t xml:space="preserve">Withholding of Charges</w:t>
      </w:r>
    </w:p>
    <w:p w:rsidR="00000000" w:rsidDel="00000000" w:rsidP="00000000" w:rsidRDefault="00000000" w:rsidRPr="00000000" w14:paraId="000002DB">
      <w:pPr>
        <w:pStyle w:val="Heading2"/>
        <w:keepNext w:val="1"/>
        <w:numPr>
          <w:ilvl w:val="1"/>
          <w:numId w:val="4"/>
        </w:numPr>
        <w:spacing w:after="120" w:before="120" w:lineRule="auto"/>
        <w:ind w:left="720" w:hanging="720"/>
        <w:rPr>
          <w:sz w:val="24"/>
          <w:szCs w:val="24"/>
        </w:rPr>
      </w:pPr>
      <w:bookmarkStart w:colFirst="0" w:colLast="0" w:name="_heading=h.oh0ryg4w088b" w:id="82"/>
      <w:bookmarkEnd w:id="82"/>
      <w:r w:rsidDel="00000000" w:rsidR="00000000" w:rsidRPr="00000000">
        <w:rPr>
          <w:sz w:val="24"/>
          <w:szCs w:val="24"/>
          <w:rtl w:val="0"/>
        </w:rPr>
        <w:t xml:space="preserve">The Buyer may withhold some or all of the Charges in accordance with the provisions of this Paragraph 20 where:</w:t>
      </w:r>
    </w:p>
    <w:p w:rsidR="00000000" w:rsidDel="00000000" w:rsidP="00000000" w:rsidRDefault="00000000" w:rsidRPr="00000000" w14:paraId="000002DC">
      <w:pPr>
        <w:pStyle w:val="Heading3"/>
        <w:numPr>
          <w:ilvl w:val="2"/>
          <w:numId w:val="4"/>
        </w:numPr>
        <w:spacing w:after="120" w:before="120" w:lineRule="auto"/>
        <w:ind w:left="1440" w:hanging="720"/>
        <w:rPr>
          <w:sz w:val="24"/>
          <w:szCs w:val="24"/>
        </w:rPr>
      </w:pPr>
      <w:r w:rsidDel="00000000" w:rsidR="00000000" w:rsidRPr="00000000">
        <w:rPr>
          <w:sz w:val="24"/>
          <w:szCs w:val="24"/>
          <w:rtl w:val="0"/>
        </w:rPr>
        <w:t xml:space="preserve">the Supplier in in material Default of any of its obligations under this Schedule; or</w:t>
      </w:r>
    </w:p>
    <w:p w:rsidR="00000000" w:rsidDel="00000000" w:rsidP="00000000" w:rsidRDefault="00000000" w:rsidRPr="00000000" w14:paraId="000002DD">
      <w:pPr>
        <w:pStyle w:val="Heading3"/>
        <w:keepNext w:val="1"/>
        <w:numPr>
          <w:ilvl w:val="2"/>
          <w:numId w:val="4"/>
        </w:numPr>
        <w:spacing w:after="120" w:before="120" w:lineRule="auto"/>
        <w:ind w:left="1440" w:hanging="720"/>
        <w:rPr>
          <w:sz w:val="24"/>
          <w:szCs w:val="24"/>
        </w:rPr>
      </w:pPr>
      <w:r w:rsidDel="00000000" w:rsidR="00000000" w:rsidRPr="00000000">
        <w:rPr>
          <w:sz w:val="24"/>
          <w:szCs w:val="24"/>
          <w:rtl w:val="0"/>
        </w:rPr>
        <w:t xml:space="preserve">any of the following matters occurs (where the those matters arise from a Default by the Supplier of its obligations under this this Schedule):</w:t>
      </w:r>
    </w:p>
    <w:p w:rsidR="00000000" w:rsidDel="00000000" w:rsidP="00000000" w:rsidRDefault="00000000" w:rsidRPr="00000000" w14:paraId="000002DE">
      <w:pPr>
        <w:pStyle w:val="Heading4"/>
        <w:numPr>
          <w:ilvl w:val="3"/>
          <w:numId w:val="4"/>
        </w:numPr>
        <w:spacing w:after="120" w:before="120" w:lineRule="auto"/>
        <w:ind w:left="2160" w:hanging="720"/>
        <w:rPr>
          <w:sz w:val="24"/>
          <w:szCs w:val="24"/>
        </w:rPr>
      </w:pPr>
      <w:r w:rsidDel="00000000" w:rsidR="00000000" w:rsidRPr="00000000">
        <w:rPr>
          <w:sz w:val="24"/>
          <w:szCs w:val="24"/>
          <w:rtl w:val="0"/>
        </w:rPr>
        <w:t xml:space="preserve">a Notifiable Default;</w:t>
      </w:r>
    </w:p>
    <w:p w:rsidR="00000000" w:rsidDel="00000000" w:rsidP="00000000" w:rsidRDefault="00000000" w:rsidRPr="00000000" w14:paraId="000002DF">
      <w:pPr>
        <w:pStyle w:val="Heading4"/>
        <w:numPr>
          <w:ilvl w:val="3"/>
          <w:numId w:val="4"/>
        </w:numPr>
        <w:spacing w:after="120" w:before="120" w:lineRule="auto"/>
        <w:ind w:left="2160" w:hanging="720"/>
        <w:rPr>
          <w:sz w:val="24"/>
          <w:szCs w:val="24"/>
        </w:rPr>
      </w:pPr>
      <w:r w:rsidDel="00000000" w:rsidR="00000000" w:rsidRPr="00000000">
        <w:rPr>
          <w:sz w:val="24"/>
          <w:szCs w:val="24"/>
          <w:rtl w:val="0"/>
        </w:rPr>
        <w:t xml:space="preserve">an Intervention Cause; or</w:t>
      </w:r>
    </w:p>
    <w:p w:rsidR="00000000" w:rsidDel="00000000" w:rsidP="00000000" w:rsidRDefault="00000000" w:rsidRPr="00000000" w14:paraId="000002E0">
      <w:pPr>
        <w:pStyle w:val="Heading4"/>
        <w:keepNext w:val="1"/>
        <w:numPr>
          <w:ilvl w:val="3"/>
          <w:numId w:val="4"/>
        </w:numPr>
        <w:spacing w:after="120" w:before="120" w:lineRule="auto"/>
        <w:ind w:left="2160" w:hanging="720"/>
        <w:rPr>
          <w:sz w:val="24"/>
          <w:szCs w:val="24"/>
        </w:rPr>
      </w:pPr>
      <w:r w:rsidDel="00000000" w:rsidR="00000000" w:rsidRPr="00000000">
        <w:rPr>
          <w:sz w:val="24"/>
          <w:szCs w:val="24"/>
          <w:rtl w:val="0"/>
        </w:rPr>
        <w:t xml:space="preserve">a Step-In Trigger Event.</w:t>
      </w:r>
    </w:p>
    <w:p w:rsidR="00000000" w:rsidDel="00000000" w:rsidP="00000000" w:rsidRDefault="00000000" w:rsidRPr="00000000" w14:paraId="000002E1">
      <w:pPr>
        <w:pStyle w:val="Heading2"/>
        <w:numPr>
          <w:ilvl w:val="1"/>
          <w:numId w:val="4"/>
        </w:numPr>
        <w:spacing w:after="120" w:before="120" w:lineRule="auto"/>
        <w:ind w:left="720" w:hanging="720"/>
        <w:rPr>
          <w:sz w:val="24"/>
          <w:szCs w:val="24"/>
        </w:rPr>
      </w:pPr>
      <w:r w:rsidDel="00000000" w:rsidR="00000000" w:rsidRPr="00000000">
        <w:rPr>
          <w:sz w:val="24"/>
          <w:szCs w:val="24"/>
          <w:rtl w:val="0"/>
        </w:rPr>
        <w:t xml:space="preserve">The Buyer may withhold an amount of the Charges that it considers sufficient, in its sole discretion, to incentivise the Supplier to perform the obligations it has Defaulted upon.</w:t>
      </w:r>
    </w:p>
    <w:p w:rsidR="00000000" w:rsidDel="00000000" w:rsidP="00000000" w:rsidRDefault="00000000" w:rsidRPr="00000000" w14:paraId="000002E2">
      <w:pPr>
        <w:pStyle w:val="Heading2"/>
        <w:keepNext w:val="1"/>
        <w:numPr>
          <w:ilvl w:val="1"/>
          <w:numId w:val="4"/>
        </w:numPr>
        <w:spacing w:after="120" w:before="120" w:lineRule="auto"/>
        <w:ind w:left="720" w:hanging="720"/>
        <w:rPr>
          <w:sz w:val="24"/>
          <w:szCs w:val="24"/>
        </w:rPr>
      </w:pPr>
      <w:r w:rsidDel="00000000" w:rsidR="00000000" w:rsidRPr="00000000">
        <w:rPr>
          <w:sz w:val="24"/>
          <w:szCs w:val="24"/>
          <w:rtl w:val="0"/>
        </w:rPr>
        <w:t xml:space="preserve">Before withholding any Charges under Paragraph 20.1 the Buyer must</w:t>
      </w:r>
    </w:p>
    <w:p w:rsidR="00000000" w:rsidDel="00000000" w:rsidP="00000000" w:rsidRDefault="00000000" w:rsidRPr="00000000" w14:paraId="000002E3">
      <w:pPr>
        <w:pStyle w:val="Heading3"/>
        <w:keepNext w:val="1"/>
        <w:numPr>
          <w:ilvl w:val="2"/>
          <w:numId w:val="4"/>
        </w:numPr>
        <w:spacing w:after="120" w:before="120" w:lineRule="auto"/>
        <w:ind w:left="1440" w:hanging="720"/>
        <w:rPr>
          <w:sz w:val="24"/>
          <w:szCs w:val="24"/>
        </w:rPr>
      </w:pPr>
      <w:bookmarkStart w:colFirst="0" w:colLast="0" w:name="_heading=h.20gl7qgwos3c" w:id="83"/>
      <w:bookmarkEnd w:id="83"/>
      <w:r w:rsidDel="00000000" w:rsidR="00000000" w:rsidRPr="00000000">
        <w:rPr>
          <w:sz w:val="24"/>
          <w:szCs w:val="24"/>
          <w:rtl w:val="0"/>
        </w:rPr>
        <w:t xml:space="preserve">provide written notice to the Supplier setting out:</w:t>
      </w:r>
    </w:p>
    <w:p w:rsidR="00000000" w:rsidDel="00000000" w:rsidP="00000000" w:rsidRDefault="00000000" w:rsidRPr="00000000" w14:paraId="000002E4">
      <w:pPr>
        <w:pStyle w:val="Heading4"/>
        <w:numPr>
          <w:ilvl w:val="3"/>
          <w:numId w:val="4"/>
        </w:numPr>
        <w:spacing w:after="120" w:before="120" w:lineRule="auto"/>
        <w:ind w:left="2160" w:hanging="720"/>
        <w:rPr>
          <w:sz w:val="24"/>
          <w:szCs w:val="24"/>
        </w:rPr>
      </w:pPr>
      <w:r w:rsidDel="00000000" w:rsidR="00000000" w:rsidRPr="00000000">
        <w:rPr>
          <w:sz w:val="24"/>
          <w:szCs w:val="24"/>
          <w:rtl w:val="0"/>
        </w:rPr>
        <w:t xml:space="preserve">the Default in respect of which the Buyer has decided to withhold some or all of the Charges;</w:t>
      </w:r>
    </w:p>
    <w:p w:rsidR="00000000" w:rsidDel="00000000" w:rsidP="00000000" w:rsidRDefault="00000000" w:rsidRPr="00000000" w14:paraId="000002E5">
      <w:pPr>
        <w:pStyle w:val="Heading4"/>
        <w:numPr>
          <w:ilvl w:val="3"/>
          <w:numId w:val="4"/>
        </w:numPr>
        <w:spacing w:after="120" w:before="120" w:lineRule="auto"/>
        <w:ind w:left="2160" w:hanging="720"/>
        <w:rPr>
          <w:sz w:val="24"/>
          <w:szCs w:val="24"/>
        </w:rPr>
      </w:pPr>
      <w:r w:rsidDel="00000000" w:rsidR="00000000" w:rsidRPr="00000000">
        <w:rPr>
          <w:sz w:val="24"/>
          <w:szCs w:val="24"/>
          <w:rtl w:val="0"/>
        </w:rPr>
        <w:t xml:space="preserve">the amount of the Charges that the Buyer will withhold;</w:t>
      </w:r>
    </w:p>
    <w:p w:rsidR="00000000" w:rsidDel="00000000" w:rsidP="00000000" w:rsidRDefault="00000000" w:rsidRPr="00000000" w14:paraId="000002E6">
      <w:pPr>
        <w:pStyle w:val="Heading4"/>
        <w:numPr>
          <w:ilvl w:val="3"/>
          <w:numId w:val="4"/>
        </w:numPr>
        <w:spacing w:after="120" w:before="120" w:lineRule="auto"/>
        <w:ind w:left="2160" w:hanging="720"/>
        <w:rPr>
          <w:sz w:val="24"/>
          <w:szCs w:val="24"/>
        </w:rPr>
      </w:pPr>
      <w:r w:rsidDel="00000000" w:rsidR="00000000" w:rsidRPr="00000000">
        <w:rPr>
          <w:sz w:val="24"/>
          <w:szCs w:val="24"/>
          <w:rtl w:val="0"/>
        </w:rPr>
        <w:t xml:space="preserve">the steps the Supplier must take to remedy the Default;</w:t>
      </w:r>
    </w:p>
    <w:p w:rsidR="00000000" w:rsidDel="00000000" w:rsidP="00000000" w:rsidRDefault="00000000" w:rsidRPr="00000000" w14:paraId="000002E7">
      <w:pPr>
        <w:pStyle w:val="Heading4"/>
        <w:numPr>
          <w:ilvl w:val="3"/>
          <w:numId w:val="4"/>
        </w:numPr>
        <w:spacing w:after="120" w:before="120" w:lineRule="auto"/>
        <w:ind w:left="2160" w:hanging="720"/>
        <w:rPr>
          <w:sz w:val="24"/>
          <w:szCs w:val="24"/>
        </w:rPr>
      </w:pPr>
      <w:r w:rsidDel="00000000" w:rsidR="00000000" w:rsidRPr="00000000">
        <w:rPr>
          <w:sz w:val="24"/>
          <w:szCs w:val="24"/>
          <w:rtl w:val="0"/>
        </w:rPr>
        <w:t xml:space="preserve">the date by which the Supplier must remedy the Default;</w:t>
      </w:r>
    </w:p>
    <w:p w:rsidR="00000000" w:rsidDel="00000000" w:rsidP="00000000" w:rsidRDefault="00000000" w:rsidRPr="00000000" w14:paraId="000002E8">
      <w:pPr>
        <w:pStyle w:val="Heading4"/>
        <w:numPr>
          <w:ilvl w:val="3"/>
          <w:numId w:val="4"/>
        </w:numPr>
        <w:spacing w:after="120" w:before="120" w:lineRule="auto"/>
        <w:ind w:left="2160" w:hanging="720"/>
        <w:rPr>
          <w:sz w:val="24"/>
          <w:szCs w:val="24"/>
        </w:rPr>
      </w:pPr>
      <w:r w:rsidDel="00000000" w:rsidR="00000000" w:rsidRPr="00000000">
        <w:rPr>
          <w:sz w:val="24"/>
          <w:szCs w:val="24"/>
          <w:rtl w:val="0"/>
        </w:rPr>
        <w:t xml:space="preserve">the invoice in respect of which the Buyer will withhold the Charges; and</w:t>
      </w:r>
    </w:p>
    <w:p w:rsidR="00000000" w:rsidDel="00000000" w:rsidP="00000000" w:rsidRDefault="00000000" w:rsidRPr="00000000" w14:paraId="000002E9">
      <w:pPr>
        <w:pStyle w:val="Heading3"/>
        <w:numPr>
          <w:ilvl w:val="2"/>
          <w:numId w:val="4"/>
        </w:numPr>
        <w:spacing w:after="120" w:before="120" w:lineRule="auto"/>
        <w:ind w:left="1440" w:hanging="720"/>
        <w:rPr>
          <w:sz w:val="24"/>
          <w:szCs w:val="24"/>
        </w:rPr>
      </w:pPr>
      <w:r w:rsidDel="00000000" w:rsidR="00000000" w:rsidRPr="00000000">
        <w:rPr>
          <w:sz w:val="24"/>
          <w:szCs w:val="24"/>
          <w:rtl w:val="0"/>
        </w:rPr>
        <w:t xml:space="preserve">consider any representations that the Supplier may make concerning the Buyer’s decision.</w:t>
      </w:r>
    </w:p>
    <w:p w:rsidR="00000000" w:rsidDel="00000000" w:rsidP="00000000" w:rsidRDefault="00000000" w:rsidRPr="00000000" w14:paraId="000002EA">
      <w:pPr>
        <w:pStyle w:val="Heading2"/>
        <w:numPr>
          <w:ilvl w:val="1"/>
          <w:numId w:val="4"/>
        </w:numPr>
        <w:spacing w:after="120" w:before="120" w:lineRule="auto"/>
        <w:ind w:left="720" w:hanging="720"/>
        <w:rPr>
          <w:sz w:val="24"/>
          <w:szCs w:val="24"/>
        </w:rPr>
      </w:pPr>
      <w:bookmarkStart w:colFirst="0" w:colLast="0" w:name="_heading=h.yhwaq9q1ddth" w:id="84"/>
      <w:bookmarkEnd w:id="84"/>
      <w:r w:rsidDel="00000000" w:rsidR="00000000" w:rsidRPr="00000000">
        <w:rPr>
          <w:sz w:val="24"/>
          <w:szCs w:val="24"/>
          <w:rtl w:val="0"/>
        </w:rPr>
        <w:t xml:space="preserve">Where the Supplier does not remedy the Default by the date specified in the notice given under Paragraph 20.3.1, the Buyer may retain the withheld amount.</w:t>
      </w:r>
    </w:p>
    <w:p w:rsidR="00000000" w:rsidDel="00000000" w:rsidP="00000000" w:rsidRDefault="00000000" w:rsidRPr="00000000" w14:paraId="000002EB">
      <w:pPr>
        <w:pStyle w:val="Heading2"/>
        <w:keepNext w:val="1"/>
        <w:numPr>
          <w:ilvl w:val="1"/>
          <w:numId w:val="4"/>
        </w:numPr>
        <w:spacing w:after="120" w:before="120" w:lineRule="auto"/>
        <w:ind w:left="720" w:hanging="720"/>
        <w:rPr>
          <w:sz w:val="24"/>
          <w:szCs w:val="24"/>
        </w:rPr>
      </w:pPr>
      <w:r w:rsidDel="00000000" w:rsidR="00000000" w:rsidRPr="00000000">
        <w:rPr>
          <w:sz w:val="24"/>
          <w:szCs w:val="24"/>
          <w:rtl w:val="0"/>
        </w:rPr>
        <w:t xml:space="preserve">The Supplier acknowledges:</w:t>
      </w:r>
    </w:p>
    <w:p w:rsidR="00000000" w:rsidDel="00000000" w:rsidP="00000000" w:rsidRDefault="00000000" w:rsidRPr="00000000" w14:paraId="000002EC">
      <w:pPr>
        <w:pStyle w:val="Heading3"/>
        <w:numPr>
          <w:ilvl w:val="2"/>
          <w:numId w:val="4"/>
        </w:numPr>
        <w:spacing w:after="120" w:before="120" w:lineRule="auto"/>
        <w:ind w:left="1440" w:hanging="720"/>
        <w:rPr>
          <w:sz w:val="24"/>
          <w:szCs w:val="24"/>
        </w:rPr>
      </w:pPr>
      <w:r w:rsidDel="00000000" w:rsidR="00000000" w:rsidRPr="00000000">
        <w:rPr>
          <w:sz w:val="24"/>
          <w:szCs w:val="24"/>
          <w:rtl w:val="0"/>
        </w:rPr>
        <w:t xml:space="preserve">the legitimate interest that the Buyer has in ensuring the security of the Supplier Information Management System and the Government Data and, as a consequence, the performance by the Supplier of its obligations under this Schedule; and</w:t>
      </w:r>
    </w:p>
    <w:p w:rsidR="00000000" w:rsidDel="00000000" w:rsidP="00000000" w:rsidRDefault="00000000" w:rsidRPr="00000000" w14:paraId="000002ED">
      <w:pPr>
        <w:pStyle w:val="Heading3"/>
        <w:keepNext w:val="1"/>
        <w:numPr>
          <w:ilvl w:val="2"/>
          <w:numId w:val="4"/>
        </w:numPr>
        <w:spacing w:after="120" w:before="120" w:lineRule="auto"/>
        <w:ind w:left="1440" w:hanging="720"/>
        <w:rPr>
          <w:sz w:val="24"/>
          <w:szCs w:val="24"/>
        </w:rPr>
      </w:pPr>
      <w:r w:rsidDel="00000000" w:rsidR="00000000" w:rsidRPr="00000000">
        <w:rPr>
          <w:sz w:val="24"/>
          <w:szCs w:val="24"/>
          <w:rtl w:val="0"/>
        </w:rPr>
        <w:t xml:space="preserve">that any Charges that are retained by the Buyer are not out of all proportion to the Buyer’s legitimate interest, even where:</w:t>
      </w:r>
    </w:p>
    <w:p w:rsidR="00000000" w:rsidDel="00000000" w:rsidP="00000000" w:rsidRDefault="00000000" w:rsidRPr="00000000" w14:paraId="000002EE">
      <w:pPr>
        <w:pStyle w:val="Heading4"/>
        <w:numPr>
          <w:ilvl w:val="3"/>
          <w:numId w:val="4"/>
        </w:numPr>
        <w:spacing w:after="120" w:before="120" w:lineRule="auto"/>
        <w:ind w:left="2160" w:hanging="720"/>
        <w:rPr>
          <w:sz w:val="24"/>
          <w:szCs w:val="24"/>
        </w:rPr>
      </w:pPr>
      <w:r w:rsidDel="00000000" w:rsidR="00000000" w:rsidRPr="00000000">
        <w:rPr>
          <w:sz w:val="24"/>
          <w:szCs w:val="24"/>
          <w:rtl w:val="0"/>
        </w:rPr>
        <w:t xml:space="preserve">the Buyer has not suffered any Losses as a result of the Supplier’s Default; or</w:t>
      </w:r>
    </w:p>
    <w:p w:rsidR="00000000" w:rsidDel="00000000" w:rsidP="00000000" w:rsidRDefault="00000000" w:rsidRPr="00000000" w14:paraId="000002EF">
      <w:pPr>
        <w:pStyle w:val="Heading4"/>
        <w:numPr>
          <w:ilvl w:val="3"/>
          <w:numId w:val="4"/>
        </w:numPr>
        <w:spacing w:after="120" w:before="120" w:lineRule="auto"/>
        <w:ind w:left="2160" w:hanging="720"/>
        <w:rPr>
          <w:sz w:val="24"/>
          <w:szCs w:val="24"/>
        </w:rPr>
      </w:pPr>
      <w:r w:rsidDel="00000000" w:rsidR="00000000" w:rsidRPr="00000000">
        <w:rPr>
          <w:sz w:val="24"/>
          <w:szCs w:val="24"/>
          <w:rtl w:val="0"/>
        </w:rPr>
        <w:t xml:space="preserve">the value of the Losses suffered by the Buyer as a result of the Supplier’s Default is lower than the amount of the Charges retained.</w:t>
      </w:r>
    </w:p>
    <w:p w:rsidR="00000000" w:rsidDel="00000000" w:rsidP="00000000" w:rsidRDefault="00000000" w:rsidRPr="00000000" w14:paraId="000002F0">
      <w:pPr>
        <w:pStyle w:val="Heading2"/>
        <w:numPr>
          <w:ilvl w:val="1"/>
          <w:numId w:val="4"/>
        </w:numPr>
        <w:spacing w:after="120" w:before="120" w:lineRule="auto"/>
        <w:ind w:left="720" w:hanging="720"/>
        <w:rPr>
          <w:sz w:val="24"/>
          <w:szCs w:val="24"/>
        </w:rPr>
      </w:pPr>
      <w:r w:rsidDel="00000000" w:rsidR="00000000" w:rsidRPr="00000000">
        <w:rPr>
          <w:sz w:val="24"/>
          <w:szCs w:val="24"/>
          <w:rtl w:val="0"/>
        </w:rPr>
        <w:t xml:space="preserve">The Supplier may raise a Dispute under the Dispute Resolution Procedure with any decision by the Buyer to:</w:t>
      </w:r>
    </w:p>
    <w:p w:rsidR="00000000" w:rsidDel="00000000" w:rsidP="00000000" w:rsidRDefault="00000000" w:rsidRPr="00000000" w14:paraId="000002F1">
      <w:pPr>
        <w:pStyle w:val="Heading3"/>
        <w:numPr>
          <w:ilvl w:val="2"/>
          <w:numId w:val="4"/>
        </w:numPr>
        <w:spacing w:after="120" w:before="120" w:lineRule="auto"/>
        <w:ind w:left="1440" w:hanging="720"/>
        <w:rPr>
          <w:sz w:val="24"/>
          <w:szCs w:val="24"/>
        </w:rPr>
      </w:pPr>
      <w:r w:rsidDel="00000000" w:rsidR="00000000" w:rsidRPr="00000000">
        <w:rPr>
          <w:sz w:val="24"/>
          <w:szCs w:val="24"/>
          <w:rtl w:val="0"/>
        </w:rPr>
        <w:t xml:space="preserve">withhold any Charges under Paragraph 20.1; or</w:t>
      </w:r>
    </w:p>
    <w:p w:rsidR="00000000" w:rsidDel="00000000" w:rsidP="00000000" w:rsidRDefault="00000000" w:rsidRPr="00000000" w14:paraId="000002F2">
      <w:pPr>
        <w:pStyle w:val="Heading3"/>
        <w:numPr>
          <w:ilvl w:val="2"/>
          <w:numId w:val="4"/>
        </w:numPr>
        <w:spacing w:after="120" w:before="120" w:lineRule="auto"/>
        <w:ind w:left="1440" w:hanging="720"/>
        <w:rPr>
          <w:sz w:val="24"/>
          <w:szCs w:val="24"/>
        </w:rPr>
      </w:pPr>
      <w:r w:rsidDel="00000000" w:rsidR="00000000" w:rsidRPr="00000000">
        <w:rPr>
          <w:sz w:val="24"/>
          <w:szCs w:val="24"/>
          <w:rtl w:val="0"/>
        </w:rPr>
        <w:t xml:space="preserve">retain any Charges under Paragraph 20.4.</w:t>
      </w:r>
    </w:p>
    <w:p w:rsidR="00000000" w:rsidDel="00000000" w:rsidP="00000000" w:rsidRDefault="00000000" w:rsidRPr="00000000" w14:paraId="000002F3">
      <w:pPr>
        <w:pStyle w:val="Heading2"/>
        <w:numPr>
          <w:ilvl w:val="1"/>
          <w:numId w:val="4"/>
        </w:numPr>
        <w:spacing w:after="120" w:before="120" w:lineRule="auto"/>
        <w:ind w:left="720" w:hanging="720"/>
        <w:rPr>
          <w:sz w:val="24"/>
          <w:szCs w:val="24"/>
        </w:rPr>
      </w:pPr>
      <w:r w:rsidDel="00000000" w:rsidR="00000000" w:rsidRPr="00000000">
        <w:rPr>
          <w:sz w:val="24"/>
          <w:szCs w:val="24"/>
          <w:rtl w:val="0"/>
        </w:rPr>
        <w:t xml:space="preserve">Any Dispute raised by the Supplier does not prevent the Buyer withholding Charges in respect of:</w:t>
      </w:r>
    </w:p>
    <w:p w:rsidR="00000000" w:rsidDel="00000000" w:rsidP="00000000" w:rsidRDefault="00000000" w:rsidRPr="00000000" w14:paraId="000002F4">
      <w:pPr>
        <w:pStyle w:val="Heading3"/>
        <w:numPr>
          <w:ilvl w:val="2"/>
          <w:numId w:val="4"/>
        </w:numPr>
        <w:spacing w:after="120" w:before="120" w:lineRule="auto"/>
        <w:ind w:left="1440" w:hanging="720"/>
        <w:rPr>
          <w:sz w:val="24"/>
          <w:szCs w:val="24"/>
        </w:rPr>
      </w:pPr>
      <w:r w:rsidDel="00000000" w:rsidR="00000000" w:rsidRPr="00000000">
        <w:rPr>
          <w:sz w:val="24"/>
          <w:szCs w:val="24"/>
          <w:rtl w:val="0"/>
        </w:rPr>
        <w:t xml:space="preserve">the decision subject to the Dispute; or</w:t>
      </w:r>
    </w:p>
    <w:p w:rsidR="00000000" w:rsidDel="00000000" w:rsidP="00000000" w:rsidRDefault="00000000" w:rsidRPr="00000000" w14:paraId="000002F5">
      <w:pPr>
        <w:pStyle w:val="Heading3"/>
        <w:numPr>
          <w:ilvl w:val="2"/>
          <w:numId w:val="4"/>
        </w:numPr>
        <w:spacing w:after="120" w:before="120" w:lineRule="auto"/>
        <w:ind w:left="1440" w:hanging="720"/>
        <w:rPr>
          <w:sz w:val="24"/>
          <w:szCs w:val="24"/>
        </w:rPr>
      </w:pPr>
      <w:r w:rsidDel="00000000" w:rsidR="00000000" w:rsidRPr="00000000">
        <w:rPr>
          <w:sz w:val="24"/>
          <w:szCs w:val="24"/>
          <w:rtl w:val="0"/>
        </w:rPr>
        <w:t xml:space="preserve">any other matter to which this Paragraph 20 applies.</w:t>
      </w:r>
    </w:p>
    <w:p w:rsidR="00000000" w:rsidDel="00000000" w:rsidP="00000000" w:rsidRDefault="00000000" w:rsidRPr="00000000" w14:paraId="000002F6">
      <w:pPr>
        <w:pStyle w:val="Heading2"/>
        <w:numPr>
          <w:ilvl w:val="1"/>
          <w:numId w:val="4"/>
        </w:numPr>
        <w:spacing w:after="120" w:before="120" w:lineRule="auto"/>
        <w:ind w:left="720" w:hanging="720"/>
        <w:rPr>
          <w:sz w:val="24"/>
          <w:szCs w:val="24"/>
        </w:rPr>
      </w:pPr>
      <w:r w:rsidDel="00000000" w:rsidR="00000000" w:rsidRPr="00000000">
        <w:rPr>
          <w:sz w:val="24"/>
          <w:szCs w:val="24"/>
          <w:rtl w:val="0"/>
        </w:rPr>
        <w:t xml:space="preserve">Where any Dispute raised by the Supplier is resolved wholly or partially in its favour, the Buyer must return such sums as are specified in any agreement or other document setting out the resolution of the Dispute.</w:t>
      </w:r>
    </w:p>
    <w:p w:rsidR="00000000" w:rsidDel="00000000" w:rsidP="00000000" w:rsidRDefault="00000000" w:rsidRPr="00000000" w14:paraId="000002F7">
      <w:pPr>
        <w:pStyle w:val="Heading2"/>
        <w:numPr>
          <w:ilvl w:val="1"/>
          <w:numId w:val="4"/>
        </w:numPr>
        <w:spacing w:after="120" w:before="120" w:lineRule="auto"/>
        <w:ind w:left="720" w:hanging="720"/>
        <w:rPr>
          <w:sz w:val="24"/>
          <w:szCs w:val="24"/>
        </w:rPr>
      </w:pPr>
      <w:r w:rsidDel="00000000" w:rsidR="00000000" w:rsidRPr="00000000">
        <w:rPr>
          <w:sz w:val="24"/>
          <w:szCs w:val="24"/>
          <w:rtl w:val="0"/>
        </w:rPr>
        <w:t xml:space="preserve">The Buyer’s right to withhold or retain any amount under this Paragraph 20 are in addition to any other rights that the Buyer may have under the Contract or in Law, including any right to claim damages for Losses it suffers arising from the Default.</w:t>
      </w:r>
    </w:p>
    <w:p w:rsidR="00000000" w:rsidDel="00000000" w:rsidP="00000000" w:rsidRDefault="00000000" w:rsidRPr="00000000" w14:paraId="000002F8">
      <w:pPr>
        <w:pStyle w:val="Heading1"/>
        <w:numPr>
          <w:ilvl w:val="0"/>
          <w:numId w:val="4"/>
        </w:numPr>
        <w:spacing w:after="120" w:before="120" w:lineRule="auto"/>
        <w:ind w:left="720" w:hanging="720"/>
        <w:rPr/>
      </w:pPr>
      <w:bookmarkStart w:colFirst="0" w:colLast="0" w:name="_heading=h.nd7zsytd5bof" w:id="86"/>
      <w:bookmarkEnd w:id="86"/>
      <w:r w:rsidDel="00000000" w:rsidR="00000000" w:rsidRPr="00000000">
        <w:rPr>
          <w:rtl w:val="0"/>
        </w:rPr>
        <w:t xml:space="preserve">Access to Buyer System</w:t>
      </w:r>
      <w:bookmarkStart w:colFirst="0" w:colLast="0" w:name="bookmark=id.csjme5o5iwer" w:id="85"/>
      <w:bookmarkEnd w:id="85"/>
      <w:r w:rsidDel="00000000" w:rsidR="00000000" w:rsidRPr="00000000">
        <w:rPr>
          <w:rtl w:val="0"/>
        </w:rPr>
      </w:r>
    </w:p>
    <w:p w:rsidR="00000000" w:rsidDel="00000000" w:rsidP="00000000" w:rsidRDefault="00000000" w:rsidRPr="00000000" w14:paraId="000002F9">
      <w:pPr>
        <w:pStyle w:val="Heading2"/>
        <w:keepNext w:val="1"/>
        <w:numPr>
          <w:ilvl w:val="1"/>
          <w:numId w:val="4"/>
        </w:numPr>
        <w:spacing w:after="120" w:before="120" w:lineRule="auto"/>
        <w:ind w:left="720" w:hanging="720"/>
        <w:rPr>
          <w:sz w:val="24"/>
          <w:szCs w:val="24"/>
        </w:rPr>
      </w:pPr>
      <w:r w:rsidDel="00000000" w:rsidR="00000000" w:rsidRPr="00000000">
        <w:rPr>
          <w:sz w:val="24"/>
          <w:szCs w:val="24"/>
          <w:rtl w:val="0"/>
        </w:rPr>
        <w:t xml:space="preserve">Where the Supplier, a Sub-contractor or any of the Supplier Staff is granted access to the Buyer System or to the Buyer Equipment, it must comply with and ensure that all such Sub-contractors and Supplier Staff comply with, all rules, policies and guidance provided to it and as updated from time to time concerning the Buyer System or the Buyer Equipment.</w:t>
      </w:r>
    </w:p>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sectPr>
          <w:footerReference r:id="rId21" w:type="default"/>
          <w:type w:val="nextPage"/>
          <w:pgSz w:h="16838" w:w="11906" w:orient="portrait"/>
          <w:pgMar w:bottom="1440" w:top="1440" w:left="1440" w:right="1440" w:header="720" w:footer="720"/>
          <w:pgNumType w:start="1"/>
        </w:sectPr>
      </w:pPr>
      <w:r w:rsidDel="00000000" w:rsidR="00000000" w:rsidRPr="00000000">
        <w:rPr>
          <w:rtl w:val="0"/>
        </w:rPr>
      </w:r>
    </w:p>
    <w:bookmarkStart w:colFirst="0" w:colLast="0" w:name="bookmark=id.g0dznyhgaeot" w:id="87"/>
    <w:bookmarkEnd w:id="87"/>
    <w:p w:rsidR="00000000" w:rsidDel="00000000" w:rsidP="00000000" w:rsidRDefault="00000000" w:rsidRPr="00000000" w14:paraId="000002FB">
      <w:pPr>
        <w:keepNext w:val="1"/>
        <w:keepLines w:val="0"/>
        <w:pageBreakBefore w:val="1"/>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36"/>
          <w:szCs w:val="36"/>
          <w:u w:val="none"/>
          <w:shd w:fill="auto" w:val="clear"/>
          <w:vertAlign w:val="baseline"/>
        </w:rPr>
      </w:pPr>
      <w:bookmarkStart w:colFirst="0" w:colLast="0" w:name="_heading=h.av54ugmuxkwc" w:id="88"/>
      <w:bookmarkEnd w:id="88"/>
      <w:r w:rsidDel="00000000" w:rsidR="00000000" w:rsidRPr="00000000">
        <w:rPr>
          <w:rFonts w:ascii="Arial" w:cs="Arial" w:eastAsia="Arial" w:hAnsi="Arial"/>
          <w:b w:val="1"/>
          <w:i w:val="0"/>
          <w:smallCaps w:val="0"/>
          <w:strike w:val="0"/>
          <w:color w:val="000000"/>
          <w:sz w:val="36"/>
          <w:szCs w:val="36"/>
          <w:u w:val="none"/>
          <w:shd w:fill="auto" w:val="clear"/>
          <w:vertAlign w:val="baseline"/>
          <w:rtl w:val="0"/>
        </w:rPr>
        <w:t xml:space="preserve">Security requirements </w:t>
      </w:r>
    </w:p>
    <w:p w:rsidR="00000000" w:rsidDel="00000000" w:rsidP="00000000" w:rsidRDefault="00000000" w:rsidRPr="00000000" w14:paraId="000002FC">
      <w:pPr>
        <w:keepNext w:val="1"/>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jzpa7gsqmjqr" w:id="89"/>
      <w:bookmarkEnd w:id="89"/>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Location</w:t>
      </w:r>
    </w:p>
    <w:p w:rsidR="00000000" w:rsidDel="00000000" w:rsidP="00000000" w:rsidRDefault="00000000" w:rsidRPr="00000000" w14:paraId="000002FD">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quwedxhfxg9o" w:id="90"/>
      <w:bookmarkEnd w:id="90"/>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Location for Relevant Activities</w:t>
      </w:r>
    </w:p>
    <w:p w:rsidR="00000000" w:rsidDel="00000000" w:rsidP="00000000" w:rsidRDefault="00000000" w:rsidRPr="00000000" w14:paraId="000002FE">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hdon29l4a8ki" w:id="91"/>
      <w:bookmarkEnd w:id="91"/>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Unless otherwise agreed with the Buyer, the Supplier must, and ensure that its Sub-contractors, at all times:</w:t>
      </w:r>
    </w:p>
    <w:p w:rsidR="00000000" w:rsidDel="00000000" w:rsidP="00000000" w:rsidRDefault="00000000" w:rsidRPr="00000000" w14:paraId="000002FF">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240" w:before="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provide the Services;</w:t>
      </w:r>
    </w:p>
    <w:p w:rsidR="00000000" w:rsidDel="00000000" w:rsidP="00000000" w:rsidRDefault="00000000" w:rsidRPr="00000000" w14:paraId="00000300">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undertake any activity supporting or managing:</w:t>
      </w:r>
    </w:p>
    <w:p w:rsidR="00000000" w:rsidDel="00000000" w:rsidP="00000000" w:rsidRDefault="00000000" w:rsidRPr="00000000" w14:paraId="00000301">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240" w:before="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Services;</w:t>
      </w:r>
    </w:p>
    <w:p w:rsidR="00000000" w:rsidDel="00000000" w:rsidP="00000000" w:rsidRDefault="00000000" w:rsidRPr="00000000" w14:paraId="00000302">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Information Management System; or</w:t>
      </w:r>
    </w:p>
    <w:p w:rsidR="00000000" w:rsidDel="00000000" w:rsidP="00000000" w:rsidRDefault="00000000" w:rsidRPr="00000000" w14:paraId="00000303">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Wider Information Management System; </w:t>
      </w:r>
    </w:p>
    <w:p w:rsidR="00000000" w:rsidDel="00000000" w:rsidP="00000000" w:rsidRDefault="00000000" w:rsidRPr="00000000" w14:paraId="00000304">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store, access or Handle Government Data;</w:t>
      </w:r>
    </w:p>
    <w:p w:rsidR="00000000" w:rsidDel="00000000" w:rsidP="00000000" w:rsidRDefault="00000000" w:rsidRPr="00000000" w14:paraId="00000305">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undertake the Development Activity; and</w:t>
      </w:r>
    </w:p>
    <w:p w:rsidR="00000000" w:rsidDel="00000000" w:rsidP="00000000" w:rsidRDefault="00000000" w:rsidRPr="00000000" w14:paraId="00000306">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host the Wider Information Management System, including any Sites</w:t>
      </w:r>
    </w:p>
    <w:p w:rsidR="00000000" w:rsidDel="00000000" w:rsidP="00000000" w:rsidRDefault="00000000" w:rsidRPr="00000000" w14:paraId="00000307">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(together, the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Relevant Activities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08">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only in or from the geographic areas permitted by the Buyer in Paragraph 1.</w:t>
      </w:r>
    </w:p>
    <w:p w:rsidR="00000000" w:rsidDel="00000000" w:rsidP="00000000" w:rsidRDefault="00000000" w:rsidRPr="00000000" w14:paraId="00000309">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90teedj9tgc5" w:id="92"/>
      <w:bookmarkEnd w:id="92"/>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 the Buyer has not selected an option concerning location in Paragraph 1, the Supplier may only undertake the Relevant Activities in or from:</w:t>
      </w:r>
    </w:p>
    <w:p w:rsidR="00000000" w:rsidDel="00000000" w:rsidP="00000000" w:rsidRDefault="00000000" w:rsidRPr="00000000" w14:paraId="0000030A">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United Kingdom; or</w:t>
      </w:r>
    </w:p>
    <w:p w:rsidR="00000000" w:rsidDel="00000000" w:rsidP="00000000" w:rsidRDefault="00000000" w:rsidRPr="00000000" w14:paraId="0000030B">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gggdvh7600zn" w:id="93"/>
      <w:bookmarkEnd w:id="93"/>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territory permitted by and in accordance with any regulations for the time being in force made under section 17A of the Data Protection Act 2018 (adequacy decisions by the Secretary of State).</w:t>
      </w:r>
    </w:p>
    <w:p w:rsidR="00000000" w:rsidDel="00000000" w:rsidP="00000000" w:rsidRDefault="00000000" w:rsidRPr="00000000" w14:paraId="0000030C">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90lxz9wj0r49" w:id="94"/>
      <w:bookmarkEnd w:id="94"/>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 and must ensure that its Sub-contractors undertake the Relevant Activities in a facility operated by an entity where:</w:t>
      </w:r>
    </w:p>
    <w:p w:rsidR="00000000" w:rsidDel="00000000" w:rsidP="00000000" w:rsidRDefault="00000000" w:rsidRPr="00000000" w14:paraId="0000030D">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entity has entered into a binding agreement with the Supplier or Sub-contractor (as applicable);</w:t>
      </w:r>
    </w:p>
    <w:p w:rsidR="00000000" w:rsidDel="00000000" w:rsidP="00000000" w:rsidRDefault="00000000" w:rsidRPr="00000000" w14:paraId="0000030E">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7upsb96zp5cl" w:id="95"/>
      <w:bookmarkEnd w:id="95"/>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that binding agreement includes obligations on the entity in relation to security management equivalent to those imposed on Sub-contractors in this Schedule;</w:t>
      </w:r>
    </w:p>
    <w:p w:rsidR="00000000" w:rsidDel="00000000" w:rsidP="00000000" w:rsidRDefault="00000000" w:rsidRPr="00000000" w14:paraId="0000030F">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or Sub-contractor has taken reasonable steps to assure itself that the entity complies with the binding agreement;</w:t>
      </w:r>
    </w:p>
    <w:p w:rsidR="00000000" w:rsidDel="00000000" w:rsidP="00000000" w:rsidRDefault="00000000" w:rsidRPr="00000000" w14:paraId="00000310">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has provided the Buyer with such information as the Buyer requires concerning:</w:t>
      </w:r>
    </w:p>
    <w:p w:rsidR="00000000" w:rsidDel="00000000" w:rsidP="00000000" w:rsidRDefault="00000000" w:rsidRPr="00000000" w14:paraId="00000311">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entity;</w:t>
      </w:r>
    </w:p>
    <w:p w:rsidR="00000000" w:rsidDel="00000000" w:rsidP="00000000" w:rsidRDefault="00000000" w:rsidRPr="00000000" w14:paraId="00000312">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arrangements with the entity; and</w:t>
      </w:r>
    </w:p>
    <w:p w:rsidR="00000000" w:rsidDel="00000000" w:rsidP="00000000" w:rsidRDefault="00000000" w:rsidRPr="00000000" w14:paraId="00000313">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entity’s compliance with the binding agreement; and</w:t>
      </w:r>
    </w:p>
    <w:p w:rsidR="00000000" w:rsidDel="00000000" w:rsidP="00000000" w:rsidRDefault="00000000" w:rsidRPr="00000000" w14:paraId="00000314">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Buyer has not given the Supplier a Prohibition Notice under Paragraph 1.11.</w:t>
      </w:r>
    </w:p>
    <w:p w:rsidR="00000000" w:rsidDel="00000000" w:rsidP="00000000" w:rsidRDefault="00000000" w:rsidRPr="00000000" w14:paraId="00000315">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 the Supplier cannot comply with one or more of the requirements of Paragraph 1.3:</w:t>
      </w:r>
    </w:p>
    <w:p w:rsidR="00000000" w:rsidDel="00000000" w:rsidP="00000000" w:rsidRDefault="00000000" w:rsidRPr="00000000" w14:paraId="00000316">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must provide the Buyer with such information as the Buyer requests concerning:</w:t>
      </w:r>
    </w:p>
    <w:p w:rsidR="00000000" w:rsidDel="00000000" w:rsidP="00000000" w:rsidRDefault="00000000" w:rsidRPr="00000000" w14:paraId="00000317">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security controls in places at the relevant location or locations; and</w:t>
      </w:r>
    </w:p>
    <w:p w:rsidR="00000000" w:rsidDel="00000000" w:rsidP="00000000" w:rsidRDefault="00000000" w:rsidRPr="00000000" w14:paraId="00000318">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 certain security controls are not, or only partially, implemented the reasons for this;</w:t>
      </w:r>
    </w:p>
    <w:p w:rsidR="00000000" w:rsidDel="00000000" w:rsidP="00000000" w:rsidRDefault="00000000" w:rsidRPr="00000000" w14:paraId="00000319">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Buyer may grant approval to use that location or those locations, and that approval may include conditions; and</w:t>
      </w:r>
    </w:p>
    <w:p w:rsidR="00000000" w:rsidDel="00000000" w:rsidP="00000000" w:rsidRDefault="00000000" w:rsidRPr="00000000" w14:paraId="0000031A">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the Buyer does not grant permission to use that location or those locations, the Supplier must, within such period as the Buyer may specify:</w:t>
      </w:r>
    </w:p>
    <w:p w:rsidR="00000000" w:rsidDel="00000000" w:rsidP="00000000" w:rsidRDefault="00000000" w:rsidRPr="00000000" w14:paraId="0000031B">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cease to store, access or Handle Government Data at that location or those locations;</w:t>
      </w:r>
    </w:p>
    <w:p w:rsidR="00000000" w:rsidDel="00000000" w:rsidP="00000000" w:rsidRDefault="00000000" w:rsidRPr="00000000" w14:paraId="0000031C">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sanitise, in accordance with instructions from the Buyer, such equipment within the information and communications technology system used to store, access or Handle Government Data at that location, or those locations, as the Buyer may specify.</w:t>
      </w:r>
    </w:p>
    <w:p w:rsidR="00000000" w:rsidDel="00000000" w:rsidP="00000000" w:rsidRDefault="00000000" w:rsidRPr="00000000" w14:paraId="0000031D">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Support Locations</w:t>
      </w:r>
    </w:p>
    <w:p w:rsidR="00000000" w:rsidDel="00000000" w:rsidP="00000000" w:rsidRDefault="00000000" w:rsidRPr="00000000" w14:paraId="0000031E">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 ensure that all Support Locations are located only in the geographic areas permitted by the Buyer.</w:t>
      </w:r>
    </w:p>
    <w:p w:rsidR="00000000" w:rsidDel="00000000" w:rsidP="00000000" w:rsidRDefault="00000000" w:rsidRPr="00000000" w14:paraId="0000031F">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 the Buyer has not selected an option concerning location in Paragraph 1, the Supplier may only locate Support Locations in:</w:t>
      </w:r>
    </w:p>
    <w:p w:rsidR="00000000" w:rsidDel="00000000" w:rsidP="00000000" w:rsidRDefault="00000000" w:rsidRPr="00000000" w14:paraId="00000320">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United Kingdom; or</w:t>
      </w:r>
    </w:p>
    <w:p w:rsidR="00000000" w:rsidDel="00000000" w:rsidP="00000000" w:rsidRDefault="00000000" w:rsidRPr="00000000" w14:paraId="00000321">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territory permitted by and in accordance with any regulations for the time being in force made under section 17A of the Data Protection Act 2018 (adequacy decisions by the Secretary of State).</w:t>
      </w:r>
    </w:p>
    <w:p w:rsidR="00000000" w:rsidDel="00000000" w:rsidP="00000000" w:rsidRDefault="00000000" w:rsidRPr="00000000" w14:paraId="00000322">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 and must ensure that its Sub-contractors operate the Support Locations in a facility operated by an entity where:</w:t>
      </w:r>
    </w:p>
    <w:p w:rsidR="00000000" w:rsidDel="00000000" w:rsidP="00000000" w:rsidRDefault="00000000" w:rsidRPr="00000000" w14:paraId="00000323">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entity has entered into a binding agreement with the Supplier or Sub-contractor (as applicable);</w:t>
      </w:r>
    </w:p>
    <w:p w:rsidR="00000000" w:rsidDel="00000000" w:rsidP="00000000" w:rsidRDefault="00000000" w:rsidRPr="00000000" w14:paraId="00000324">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9gpy0ve4ez2g" w:id="96"/>
      <w:bookmarkEnd w:id="96"/>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binding agreement includes obligations on the entity in relation to security management equivalent to those relating to Sub-contractors in this Schedule;</w:t>
      </w:r>
    </w:p>
    <w:p w:rsidR="00000000" w:rsidDel="00000000" w:rsidP="00000000" w:rsidRDefault="00000000" w:rsidRPr="00000000" w14:paraId="00000325">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or Sub-contractor has taken reasonable steps to assure itself that the entity complies with the binding agreement;</w:t>
      </w:r>
    </w:p>
    <w:p w:rsidR="00000000" w:rsidDel="00000000" w:rsidP="00000000" w:rsidRDefault="00000000" w:rsidRPr="00000000" w14:paraId="00000326">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has provided the Buyer with such information as the Buyer requires concerning:</w:t>
      </w:r>
    </w:p>
    <w:p w:rsidR="00000000" w:rsidDel="00000000" w:rsidP="00000000" w:rsidRDefault="00000000" w:rsidRPr="00000000" w14:paraId="00000327">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entity;</w:t>
      </w:r>
    </w:p>
    <w:p w:rsidR="00000000" w:rsidDel="00000000" w:rsidP="00000000" w:rsidRDefault="00000000" w:rsidRPr="00000000" w14:paraId="00000328">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arrangements with the entity; and</w:t>
      </w:r>
    </w:p>
    <w:p w:rsidR="00000000" w:rsidDel="00000000" w:rsidP="00000000" w:rsidRDefault="00000000" w:rsidRPr="00000000" w14:paraId="00000329">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entity’s compliance with the binding agreement; and</w:t>
      </w:r>
    </w:p>
    <w:p w:rsidR="00000000" w:rsidDel="00000000" w:rsidP="00000000" w:rsidRDefault="00000000" w:rsidRPr="00000000" w14:paraId="0000032A">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Buyer has not given the Supplier a Prohibition Notice under Paragraph 1.11.</w:t>
      </w:r>
    </w:p>
    <w:p w:rsidR="00000000" w:rsidDel="00000000" w:rsidP="00000000" w:rsidRDefault="00000000" w:rsidRPr="00000000" w14:paraId="0000032B">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Third-party Tools</w:t>
      </w:r>
    </w:p>
    <w:p w:rsidR="00000000" w:rsidDel="00000000" w:rsidP="00000000" w:rsidRDefault="00000000" w:rsidRPr="00000000" w14:paraId="0000032C">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bo2hx5bocseh" w:id="97"/>
      <w:bookmarkEnd w:id="97"/>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Before using any Third-party Tool, the Supplier must, and must ensure that its Sub-contractors:</w:t>
      </w:r>
    </w:p>
    <w:p w:rsidR="00000000" w:rsidDel="00000000" w:rsidP="00000000" w:rsidRDefault="00000000" w:rsidRPr="00000000" w14:paraId="0000032D">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perform adequate due diligence to determine whether there are any recognised security vulnerabilities with that Third-party Tool;</w:t>
      </w:r>
    </w:p>
    <w:p w:rsidR="00000000" w:rsidDel="00000000" w:rsidP="00000000" w:rsidRDefault="00000000" w:rsidRPr="00000000" w14:paraId="0000032E">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has provided the Buyer with such information as the Buyer requires concerning:</w:t>
      </w:r>
    </w:p>
    <w:p w:rsidR="00000000" w:rsidDel="00000000" w:rsidP="00000000" w:rsidRDefault="00000000" w:rsidRPr="00000000" w14:paraId="0000032F">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arrangements with the provider of the Third-party Tool; and</w:t>
      </w:r>
    </w:p>
    <w:p w:rsidR="00000000" w:rsidDel="00000000" w:rsidP="00000000" w:rsidRDefault="00000000" w:rsidRPr="00000000" w14:paraId="00000330">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due diligence undertaken by the Supplier or Sub-contractor; and</w:t>
      </w:r>
    </w:p>
    <w:p w:rsidR="00000000" w:rsidDel="00000000" w:rsidP="00000000" w:rsidRDefault="00000000" w:rsidRPr="00000000" w14:paraId="00000331">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 not use a Third-party Tool in respect of which the Buyer has given the Supplier a Prohibition Notice under Paragraph 1.11.</w:t>
      </w:r>
    </w:p>
    <w:p w:rsidR="00000000" w:rsidDel="00000000" w:rsidP="00000000" w:rsidRDefault="00000000" w:rsidRPr="00000000" w14:paraId="00000332">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 use, and ensure that Sub-contractors use, only those Third-party Tools included in the Register of Sites, Support Locations and Third-party Tools.</w:t>
      </w:r>
    </w:p>
    <w:p w:rsidR="00000000" w:rsidDel="00000000" w:rsidP="00000000" w:rsidRDefault="00000000" w:rsidRPr="00000000" w14:paraId="00000333">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 not, and must not allow Sub-contractors to, use:</w:t>
      </w:r>
    </w:p>
    <w:p w:rsidR="00000000" w:rsidDel="00000000" w:rsidP="00000000" w:rsidRDefault="00000000" w:rsidRPr="00000000" w14:paraId="00000334">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Third-party Tool other than for the activity specified for that Third-party Tool in the Register of Sites, Support Locations and Third-party Tools; or</w:t>
      </w:r>
    </w:p>
    <w:p w:rsidR="00000000" w:rsidDel="00000000" w:rsidP="00000000" w:rsidRDefault="00000000" w:rsidRPr="00000000" w14:paraId="00000335">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 new Third-party Tool, or replace an existing Third-party Tool, without the permission of the Buyer.</w:t>
      </w:r>
    </w:p>
    <w:p w:rsidR="00000000" w:rsidDel="00000000" w:rsidP="00000000" w:rsidRDefault="00000000" w:rsidRPr="00000000" w14:paraId="00000336">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giphhyp8u5vd" w:id="98"/>
      <w:bookmarkEnd w:id="98"/>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Prohibited Activities</w:t>
      </w:r>
    </w:p>
    <w:p w:rsidR="00000000" w:rsidDel="00000000" w:rsidP="00000000" w:rsidRDefault="00000000" w:rsidRPr="00000000" w14:paraId="00000337">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ixq9x4yq5gau" w:id="99"/>
      <w:bookmarkEnd w:id="99"/>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Buyer may by notice in writing at any time give notice to the Supplier that it and its Sub-contractors must not:</w:t>
      </w:r>
    </w:p>
    <w:p w:rsidR="00000000" w:rsidDel="00000000" w:rsidP="00000000" w:rsidRDefault="00000000" w:rsidRPr="00000000" w14:paraId="00000338">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undertake or permit to be undertaken some or all of the Relevant Activities or operate Support Locations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Prohibited Activity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39">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any particular country or group of countries;</w:t>
      </w:r>
    </w:p>
    <w:p w:rsidR="00000000" w:rsidDel="00000000" w:rsidP="00000000" w:rsidRDefault="00000000" w:rsidRPr="00000000" w14:paraId="0000033A">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or using facilities operated by any particular entity or group of entities; or</w:t>
      </w:r>
    </w:p>
    <w:p w:rsidR="00000000" w:rsidDel="00000000" w:rsidP="00000000" w:rsidRDefault="00000000" w:rsidRPr="00000000" w14:paraId="0000033B">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or using any particular facility or group of facilities, whether operated by the Supplier, a Sub-contractor or a third -party entity; or</w:t>
      </w:r>
    </w:p>
    <w:p w:rsidR="00000000" w:rsidDel="00000000" w:rsidP="00000000" w:rsidRDefault="00000000" w:rsidRPr="00000000" w14:paraId="0000033C">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use any specified Third-party Tool,</w:t>
      </w:r>
    </w:p>
    <w:p w:rsidR="00000000" w:rsidDel="00000000" w:rsidP="00000000" w:rsidRDefault="00000000" w:rsidRPr="00000000" w14:paraId="0000033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Prohibition Notice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3E">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 the Supplier or Sub-contractor, on the date of the Prohibition Notice:</w:t>
      </w:r>
    </w:p>
    <w:p w:rsidR="00000000" w:rsidDel="00000000" w:rsidP="00000000" w:rsidRDefault="00000000" w:rsidRPr="00000000" w14:paraId="0000033F">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undertakes any Prohibited Activities;</w:t>
      </w:r>
    </w:p>
    <w:p w:rsidR="00000000" w:rsidDel="00000000" w:rsidP="00000000" w:rsidRDefault="00000000" w:rsidRPr="00000000" w14:paraId="00000340">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operates any Support Locations; or</w:t>
      </w:r>
    </w:p>
    <w:p w:rsidR="00000000" w:rsidDel="00000000" w:rsidP="00000000" w:rsidRDefault="00000000" w:rsidRPr="00000000" w14:paraId="00000341">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employs any Third-party Tool,</w:t>
      </w:r>
    </w:p>
    <w:p w:rsidR="00000000" w:rsidDel="00000000" w:rsidP="00000000" w:rsidRDefault="00000000" w:rsidRPr="00000000" w14:paraId="0000034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affected by the notice, the Supplier must, and must procure that Sub-contractors, cease to undertake that Prohibited Activity or employ that Third-party Tool within 40 Working Days of the date of the Prohibition Notice.</w:t>
      </w:r>
    </w:p>
    <w:p w:rsidR="00000000" w:rsidDel="00000000" w:rsidP="00000000" w:rsidRDefault="00000000" w:rsidRPr="00000000" w14:paraId="00000343">
      <w:pPr>
        <w:keepNext w:val="1"/>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Physical Security</w:t>
      </w:r>
    </w:p>
    <w:p w:rsidR="00000000" w:rsidDel="00000000" w:rsidP="00000000" w:rsidRDefault="00000000" w:rsidRPr="00000000" w14:paraId="00000344">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 ensure, and must ensure that Sub-contractors ensure, that:</w:t>
      </w:r>
    </w:p>
    <w:p w:rsidR="00000000" w:rsidDel="00000000" w:rsidP="00000000" w:rsidRDefault="00000000" w:rsidRPr="00000000" w14:paraId="00000345">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59ledjifw94g" w:id="100"/>
      <w:bookmarkEnd w:id="100"/>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 Sites, locations at which Relevant Activities are performed, or Support Locations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Secure Locations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have the necessary physical protective security measures in place to prevent unauthorised access, damage and interference, whether malicious or otherwise, to Government Data;</w:t>
      </w:r>
    </w:p>
    <w:p w:rsidR="00000000" w:rsidDel="00000000" w:rsidP="00000000" w:rsidRDefault="00000000" w:rsidRPr="00000000" w14:paraId="00000346">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operator of the Secure Location has prepared a physical security risk assessment and a site security plan for the Secure Location; and</w:t>
      </w:r>
    </w:p>
    <w:p w:rsidR="00000000" w:rsidDel="00000000" w:rsidP="00000000" w:rsidRDefault="00000000" w:rsidRPr="00000000" w14:paraId="00000347">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physical security risk assessment and site security plan for each Secure Location:</w:t>
      </w:r>
    </w:p>
    <w:p w:rsidR="00000000" w:rsidDel="00000000" w:rsidP="00000000" w:rsidRDefault="00000000" w:rsidRPr="00000000" w14:paraId="00000348">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considers whether different areas of the Secure Location require different security measures based on the functions of each area;</w:t>
      </w:r>
    </w:p>
    <w:p w:rsidR="00000000" w:rsidDel="00000000" w:rsidP="00000000" w:rsidRDefault="00000000" w:rsidRPr="00000000" w14:paraId="00000349">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adopts a layered approach to physical security;</w:t>
      </w:r>
    </w:p>
    <w:p w:rsidR="00000000" w:rsidDel="00000000" w:rsidP="00000000" w:rsidRDefault="00000000" w:rsidRPr="00000000" w14:paraId="0000034A">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has sections dealing with the following matters:</w:t>
      </w:r>
    </w:p>
    <w:p w:rsidR="00000000" w:rsidDel="00000000" w:rsidP="00000000" w:rsidRDefault="00000000" w:rsidRPr="00000000" w14:paraId="0000034B">
      <w:pPr>
        <w:keepNext w:val="0"/>
        <w:keepLines w:val="0"/>
        <w:pageBreakBefore w:val="0"/>
        <w:widowControl w:val="1"/>
        <w:numPr>
          <w:ilvl w:val="4"/>
          <w:numId w:val="16"/>
        </w:numPr>
        <w:pBdr>
          <w:top w:space="0" w:sz="0" w:val="nil"/>
          <w:left w:space="0" w:sz="0" w:val="nil"/>
          <w:bottom w:space="0" w:sz="0" w:val="nil"/>
          <w:right w:space="0" w:sz="0" w:val="nil"/>
          <w:between w:space="0" w:sz="0" w:val="nil"/>
        </w:pBdr>
        <w:shd w:fill="auto" w:val="clear"/>
        <w:spacing w:after="240" w:before="0" w:line="240" w:lineRule="auto"/>
        <w:ind w:left="288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perimeter of the Secure Location;</w:t>
      </w:r>
    </w:p>
    <w:p w:rsidR="00000000" w:rsidDel="00000000" w:rsidP="00000000" w:rsidRDefault="00000000" w:rsidRPr="00000000" w14:paraId="0000034C">
      <w:pPr>
        <w:keepNext w:val="0"/>
        <w:keepLines w:val="0"/>
        <w:pageBreakBefore w:val="0"/>
        <w:widowControl w:val="1"/>
        <w:numPr>
          <w:ilvl w:val="4"/>
          <w:numId w:val="16"/>
        </w:numPr>
        <w:pBdr>
          <w:top w:space="0" w:sz="0" w:val="nil"/>
          <w:left w:space="0" w:sz="0" w:val="nil"/>
          <w:bottom w:space="0" w:sz="0" w:val="nil"/>
          <w:right w:space="0" w:sz="0" w:val="nil"/>
          <w:between w:space="0" w:sz="0" w:val="nil"/>
        </w:pBdr>
        <w:shd w:fill="auto" w:val="clear"/>
        <w:spacing w:after="120" w:before="120" w:line="240" w:lineRule="auto"/>
        <w:ind w:left="288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building fabric;</w:t>
      </w:r>
    </w:p>
    <w:p w:rsidR="00000000" w:rsidDel="00000000" w:rsidP="00000000" w:rsidRDefault="00000000" w:rsidRPr="00000000" w14:paraId="0000034D">
      <w:pPr>
        <w:keepNext w:val="0"/>
        <w:keepLines w:val="0"/>
        <w:pageBreakBefore w:val="0"/>
        <w:widowControl w:val="1"/>
        <w:numPr>
          <w:ilvl w:val="4"/>
          <w:numId w:val="16"/>
        </w:numPr>
        <w:pBdr>
          <w:top w:space="0" w:sz="0" w:val="nil"/>
          <w:left w:space="0" w:sz="0" w:val="nil"/>
          <w:bottom w:space="0" w:sz="0" w:val="nil"/>
          <w:right w:space="0" w:sz="0" w:val="nil"/>
          <w:between w:space="0" w:sz="0" w:val="nil"/>
        </w:pBdr>
        <w:shd w:fill="auto" w:val="clear"/>
        <w:spacing w:after="120" w:before="120" w:line="240" w:lineRule="auto"/>
        <w:ind w:left="288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security guarding;</w:t>
      </w:r>
    </w:p>
    <w:p w:rsidR="00000000" w:rsidDel="00000000" w:rsidP="00000000" w:rsidRDefault="00000000" w:rsidRPr="00000000" w14:paraId="0000034E">
      <w:pPr>
        <w:keepNext w:val="0"/>
        <w:keepLines w:val="0"/>
        <w:pageBreakBefore w:val="0"/>
        <w:widowControl w:val="1"/>
        <w:numPr>
          <w:ilvl w:val="4"/>
          <w:numId w:val="16"/>
        </w:numPr>
        <w:pBdr>
          <w:top w:space="0" w:sz="0" w:val="nil"/>
          <w:left w:space="0" w:sz="0" w:val="nil"/>
          <w:bottom w:space="0" w:sz="0" w:val="nil"/>
          <w:right w:space="0" w:sz="0" w:val="nil"/>
          <w:between w:space="0" w:sz="0" w:val="nil"/>
        </w:pBdr>
        <w:shd w:fill="auto" w:val="clear"/>
        <w:spacing w:after="120" w:before="120" w:line="240" w:lineRule="auto"/>
        <w:ind w:left="288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visitor and people management;</w:t>
      </w:r>
    </w:p>
    <w:p w:rsidR="00000000" w:rsidDel="00000000" w:rsidP="00000000" w:rsidRDefault="00000000" w:rsidRPr="00000000" w14:paraId="0000034F">
      <w:pPr>
        <w:keepNext w:val="0"/>
        <w:keepLines w:val="0"/>
        <w:pageBreakBefore w:val="0"/>
        <w:widowControl w:val="1"/>
        <w:numPr>
          <w:ilvl w:val="4"/>
          <w:numId w:val="16"/>
        </w:numPr>
        <w:pBdr>
          <w:top w:space="0" w:sz="0" w:val="nil"/>
          <w:left w:space="0" w:sz="0" w:val="nil"/>
          <w:bottom w:space="0" w:sz="0" w:val="nil"/>
          <w:right w:space="0" w:sz="0" w:val="nil"/>
          <w:between w:space="0" w:sz="0" w:val="nil"/>
        </w:pBdr>
        <w:shd w:fill="auto" w:val="clear"/>
        <w:spacing w:after="120" w:before="120" w:line="240" w:lineRule="auto"/>
        <w:ind w:left="288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server and communications rooms;</w:t>
      </w:r>
    </w:p>
    <w:p w:rsidR="00000000" w:rsidDel="00000000" w:rsidP="00000000" w:rsidRDefault="00000000" w:rsidRPr="00000000" w14:paraId="00000350">
      <w:pPr>
        <w:keepNext w:val="0"/>
        <w:keepLines w:val="0"/>
        <w:pageBreakBefore w:val="0"/>
        <w:widowControl w:val="1"/>
        <w:numPr>
          <w:ilvl w:val="4"/>
          <w:numId w:val="16"/>
        </w:numPr>
        <w:pBdr>
          <w:top w:space="0" w:sz="0" w:val="nil"/>
          <w:left w:space="0" w:sz="0" w:val="nil"/>
          <w:bottom w:space="0" w:sz="0" w:val="nil"/>
          <w:right w:space="0" w:sz="0" w:val="nil"/>
          <w:between w:space="0" w:sz="0" w:val="nil"/>
        </w:pBdr>
        <w:shd w:fill="auto" w:val="clear"/>
        <w:spacing w:after="120" w:before="120" w:line="240" w:lineRule="auto"/>
        <w:ind w:left="288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protection of sensitive data;</w:t>
      </w:r>
    </w:p>
    <w:p w:rsidR="00000000" w:rsidDel="00000000" w:rsidP="00000000" w:rsidRDefault="00000000" w:rsidRPr="00000000" w14:paraId="00000351">
      <w:pPr>
        <w:keepNext w:val="0"/>
        <w:keepLines w:val="0"/>
        <w:pageBreakBefore w:val="0"/>
        <w:widowControl w:val="1"/>
        <w:numPr>
          <w:ilvl w:val="4"/>
          <w:numId w:val="16"/>
        </w:numPr>
        <w:pBdr>
          <w:top w:space="0" w:sz="0" w:val="nil"/>
          <w:left w:space="0" w:sz="0" w:val="nil"/>
          <w:bottom w:space="0" w:sz="0" w:val="nil"/>
          <w:right w:space="0" w:sz="0" w:val="nil"/>
          <w:between w:space="0" w:sz="0" w:val="nil"/>
        </w:pBdr>
        <w:shd w:fill="auto" w:val="clear"/>
        <w:spacing w:after="120" w:before="120" w:line="240" w:lineRule="auto"/>
        <w:ind w:left="288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closed circuit television;</w:t>
      </w:r>
    </w:p>
    <w:p w:rsidR="00000000" w:rsidDel="00000000" w:rsidP="00000000" w:rsidRDefault="00000000" w:rsidRPr="00000000" w14:paraId="00000352">
      <w:pPr>
        <w:keepNext w:val="0"/>
        <w:keepLines w:val="0"/>
        <w:pageBreakBefore w:val="0"/>
        <w:widowControl w:val="1"/>
        <w:numPr>
          <w:ilvl w:val="4"/>
          <w:numId w:val="16"/>
        </w:numPr>
        <w:pBdr>
          <w:top w:space="0" w:sz="0" w:val="nil"/>
          <w:left w:space="0" w:sz="0" w:val="nil"/>
          <w:bottom w:space="0" w:sz="0" w:val="nil"/>
          <w:right w:space="0" w:sz="0" w:val="nil"/>
          <w:between w:space="0" w:sz="0" w:val="nil"/>
        </w:pBdr>
        <w:shd w:fill="auto" w:val="clear"/>
        <w:spacing w:after="120" w:before="120" w:line="240" w:lineRule="auto"/>
        <w:ind w:left="288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automated access and control systems;</w:t>
      </w:r>
    </w:p>
    <w:p w:rsidR="00000000" w:rsidDel="00000000" w:rsidP="00000000" w:rsidRDefault="00000000" w:rsidRPr="00000000" w14:paraId="00000353">
      <w:pPr>
        <w:keepNext w:val="0"/>
        <w:keepLines w:val="0"/>
        <w:pageBreakBefore w:val="0"/>
        <w:widowControl w:val="1"/>
        <w:numPr>
          <w:ilvl w:val="4"/>
          <w:numId w:val="16"/>
        </w:numPr>
        <w:pBdr>
          <w:top w:space="0" w:sz="0" w:val="nil"/>
          <w:left w:space="0" w:sz="0" w:val="nil"/>
          <w:bottom w:space="0" w:sz="0" w:val="nil"/>
          <w:right w:space="0" w:sz="0" w:val="nil"/>
          <w:between w:space="0" w:sz="0" w:val="nil"/>
        </w:pBdr>
        <w:shd w:fill="auto" w:val="clear"/>
        <w:spacing w:after="120" w:before="120" w:line="240" w:lineRule="auto"/>
        <w:ind w:left="288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intruder detection; and</w:t>
      </w:r>
    </w:p>
    <w:p w:rsidR="00000000" w:rsidDel="00000000" w:rsidP="00000000" w:rsidRDefault="00000000" w:rsidRPr="00000000" w14:paraId="00000354">
      <w:pPr>
        <w:keepNext w:val="0"/>
        <w:keepLines w:val="0"/>
        <w:pageBreakBefore w:val="0"/>
        <w:widowControl w:val="1"/>
        <w:numPr>
          <w:ilvl w:val="4"/>
          <w:numId w:val="16"/>
        </w:numPr>
        <w:pBdr>
          <w:top w:space="0" w:sz="0" w:val="nil"/>
          <w:left w:space="0" w:sz="0" w:val="nil"/>
          <w:bottom w:space="0" w:sz="0" w:val="nil"/>
          <w:right w:space="0" w:sz="0" w:val="nil"/>
          <w:between w:space="0" w:sz="0" w:val="nil"/>
        </w:pBdr>
        <w:shd w:fill="auto" w:val="clear"/>
        <w:spacing w:after="120" w:before="120" w:line="240" w:lineRule="auto"/>
        <w:ind w:left="288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security control rooms.</w:t>
      </w:r>
    </w:p>
    <w:p w:rsidR="00000000" w:rsidDel="00000000" w:rsidP="00000000" w:rsidRDefault="00000000" w:rsidRPr="00000000" w14:paraId="00000355">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 provide the Buyer with the physical security risk assessment and site security plan for any Secure Location within 20 Working Days of a request by the Buyer.</w:t>
      </w:r>
    </w:p>
    <w:p w:rsidR="00000000" w:rsidDel="00000000" w:rsidP="00000000" w:rsidRDefault="00000000" w:rsidRPr="00000000" w14:paraId="00000356">
      <w:pPr>
        <w:keepNext w:val="1"/>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3864ehl11bay" w:id="101"/>
      <w:bookmarkEnd w:id="101"/>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Vetting, Training and Staff Access</w:t>
      </w:r>
    </w:p>
    <w:p w:rsidR="00000000" w:rsidDel="00000000" w:rsidP="00000000" w:rsidRDefault="00000000" w:rsidRPr="00000000" w14:paraId="00000357">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Vetting before performing or managing Services</w:t>
      </w:r>
    </w:p>
    <w:p w:rsidR="00000000" w:rsidDel="00000000" w:rsidP="00000000" w:rsidRDefault="00000000" w:rsidRPr="00000000" w14:paraId="00000358">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bwxuzhyfvfvd" w:id="102"/>
      <w:bookmarkEnd w:id="102"/>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 not engage Supplier Staff, and must ensure that Sub-contractors do not engage Supplier Staff in:</w:t>
      </w:r>
    </w:p>
    <w:p w:rsidR="00000000" w:rsidDel="00000000" w:rsidP="00000000" w:rsidRDefault="00000000" w:rsidRPr="00000000" w14:paraId="00000359">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activity relating to the provision or management of the Services; or</w:t>
      </w:r>
    </w:p>
    <w:p w:rsidR="00000000" w:rsidDel="00000000" w:rsidP="00000000" w:rsidRDefault="00000000" w:rsidRPr="00000000" w14:paraId="0000035A">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activity that allows or requires the Handling of Government Data,</w:t>
      </w:r>
    </w:p>
    <w:p w:rsidR="00000000" w:rsidDel="00000000" w:rsidP="00000000" w:rsidRDefault="00000000" w:rsidRPr="00000000" w14:paraId="0000035B">
      <w:pPr>
        <w:pStyle w:val="Heading3"/>
        <w:keepNext w:val="1"/>
        <w:spacing w:after="120" w:before="120" w:lineRule="auto"/>
        <w:ind w:left="720" w:firstLine="720"/>
        <w:rPr>
          <w:sz w:val="24"/>
          <w:szCs w:val="24"/>
        </w:rPr>
      </w:pPr>
      <w:r w:rsidDel="00000000" w:rsidR="00000000" w:rsidRPr="00000000">
        <w:rPr>
          <w:sz w:val="24"/>
          <w:szCs w:val="24"/>
          <w:rtl w:val="0"/>
        </w:rPr>
        <w:t xml:space="preserve">unless:</w:t>
      </w:r>
    </w:p>
    <w:p w:rsidR="00000000" w:rsidDel="00000000" w:rsidP="00000000" w:rsidRDefault="00000000" w:rsidRPr="00000000" w14:paraId="0000035C">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that individual has passed the security checks listed in Paragraph 3.2; or</w:t>
      </w:r>
    </w:p>
    <w:p w:rsidR="00000000" w:rsidDel="00000000" w:rsidP="00000000" w:rsidRDefault="00000000" w:rsidRPr="00000000" w14:paraId="0000035D">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Buyer has given prior written permission for a named individual to perform a specific role.</w:t>
      </w:r>
    </w:p>
    <w:p w:rsidR="00000000" w:rsidDel="00000000" w:rsidP="00000000" w:rsidRDefault="00000000" w:rsidRPr="00000000" w14:paraId="0000035E">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7kv1axh6y7y5" w:id="103"/>
      <w:bookmarkEnd w:id="103"/>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 the purposes of Paragraph 3.1, the security checks are:</w:t>
      </w:r>
    </w:p>
    <w:p w:rsidR="00000000" w:rsidDel="00000000" w:rsidP="00000000" w:rsidRDefault="00000000" w:rsidRPr="00000000" w14:paraId="0000035F">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checks required for the HMG Baseline Personnel Security Standard (BPSS) to verify: </w:t>
      </w:r>
    </w:p>
    <w:p w:rsidR="00000000" w:rsidDel="00000000" w:rsidP="00000000" w:rsidRDefault="00000000" w:rsidRPr="00000000" w14:paraId="00000360">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individual’s identity;</w:t>
      </w:r>
    </w:p>
    <w:p w:rsidR="00000000" w:rsidDel="00000000" w:rsidP="00000000" w:rsidRDefault="00000000" w:rsidRPr="00000000" w14:paraId="00000361">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 that individual will work in the United Kingdom, the individual’s nationality and immigration status so as to demonstrate that they have a right to work in the United Kingdom;</w:t>
      </w:r>
    </w:p>
    <w:p w:rsidR="00000000" w:rsidDel="00000000" w:rsidP="00000000" w:rsidRDefault="00000000" w:rsidRPr="00000000" w14:paraId="00000362">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individual’s previous employment history; and</w:t>
      </w:r>
    </w:p>
    <w:p w:rsidR="00000000" w:rsidDel="00000000" w:rsidP="00000000" w:rsidRDefault="00000000" w:rsidRPr="00000000" w14:paraId="00000363">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that the individual has no Relevant Convictions;</w:t>
      </w:r>
    </w:p>
    <w:p w:rsidR="00000000" w:rsidDel="00000000" w:rsidP="00000000" w:rsidRDefault="00000000" w:rsidRPr="00000000" w14:paraId="00000364">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national security vetting clearance to the level specified by the Buyer for such individuals or such roles as the Buyer may specify; or</w:t>
      </w:r>
    </w:p>
    <w:p w:rsidR="00000000" w:rsidDel="00000000" w:rsidP="00000000" w:rsidRDefault="00000000" w:rsidRPr="00000000" w14:paraId="00000365">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such other checks for the Supplier Staff of Sub-contractors as the Buyer may specify.</w:t>
      </w:r>
    </w:p>
    <w:p w:rsidR="00000000" w:rsidDel="00000000" w:rsidP="00000000" w:rsidRDefault="00000000" w:rsidRPr="00000000" w14:paraId="00000366">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Exception for certain Sub-contractors</w:t>
      </w:r>
    </w:p>
    <w:p w:rsidR="00000000" w:rsidDel="00000000" w:rsidP="00000000" w:rsidRDefault="00000000" w:rsidRPr="00000000" w14:paraId="00000367">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 the Supplier considers it cannot ensure that a Sub-contractor will undertake the relevant security checks on any Supplier Staff, it must:</w:t>
      </w:r>
    </w:p>
    <w:p w:rsidR="00000000" w:rsidDel="00000000" w:rsidP="00000000" w:rsidRDefault="00000000" w:rsidRPr="00000000" w14:paraId="00000368">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soon as practicable, and in any event within [</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20</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Working Days of becoming aware of the issue, notify the Buyer;</w:t>
      </w:r>
    </w:p>
    <w:p w:rsidR="00000000" w:rsidDel="00000000" w:rsidP="00000000" w:rsidRDefault="00000000" w:rsidRPr="00000000" w14:paraId="00000369">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provide such information relating to the Sub-contractor, its vetting processes and the roles the affected Supplier Staff will perform as the Buyer reasonably requires; and</w:t>
      </w:r>
    </w:p>
    <w:p w:rsidR="00000000" w:rsidDel="00000000" w:rsidP="00000000" w:rsidRDefault="00000000" w:rsidRPr="00000000" w14:paraId="0000036A">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comply, at the Supplier’s cost, with all directions the Buyer may provide concerning the vetting of the affected Supplier Staff and the management of the Sub-contractor.</w:t>
      </w:r>
    </w:p>
    <w:p w:rsidR="00000000" w:rsidDel="00000000" w:rsidP="00000000" w:rsidRDefault="00000000" w:rsidRPr="00000000" w14:paraId="0000036B">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Annual training</w:t>
      </w:r>
    </w:p>
    <w:p w:rsidR="00000000" w:rsidDel="00000000" w:rsidP="00000000" w:rsidRDefault="00000000" w:rsidRPr="00000000" w14:paraId="0000036C">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 ensure, and ensure that Sub-contractors ensure, that all Supplier Staff, complete and pass security training at least once every calendar year that covers:</w:t>
      </w:r>
    </w:p>
    <w:p w:rsidR="00000000" w:rsidDel="00000000" w:rsidP="00000000" w:rsidRDefault="00000000" w:rsidRPr="00000000" w14:paraId="0000036D">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general training concerning security and data handling;</w:t>
      </w:r>
    </w:p>
    <w:p w:rsidR="00000000" w:rsidDel="00000000" w:rsidP="00000000" w:rsidRDefault="00000000" w:rsidRPr="00000000" w14:paraId="0000036E">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Phishing, including the dangers from ransomware and other malware; and</w:t>
      </w:r>
    </w:p>
    <w:p w:rsidR="00000000" w:rsidDel="00000000" w:rsidP="00000000" w:rsidRDefault="00000000" w:rsidRPr="00000000" w14:paraId="0000036F">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Secure by Design Principles.</w:t>
      </w:r>
    </w:p>
    <w:p w:rsidR="00000000" w:rsidDel="00000000" w:rsidP="00000000" w:rsidRDefault="00000000" w:rsidRPr="00000000" w14:paraId="00000370">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Staff access</w:t>
      </w:r>
    </w:p>
    <w:p w:rsidR="00000000" w:rsidDel="00000000" w:rsidP="00000000" w:rsidRDefault="00000000" w:rsidRPr="00000000" w14:paraId="00000371">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 ensure, and ensure that Sub-contractors ensure, that individual Supplier Staff can access only the Government Data necessary to allow individuals to perform their role and fulfil their responsibilities in the provision of the Services.</w:t>
      </w:r>
    </w:p>
    <w:p w:rsidR="00000000" w:rsidDel="00000000" w:rsidP="00000000" w:rsidRDefault="00000000" w:rsidRPr="00000000" w14:paraId="00000372">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 ensure, and ensure that Sub-contractors ensure, that where individual Supplier Staff no longer require access to the Government Data or any part of the Government Data, their access to the Government Data or that part of the Government Data is revoked immediately when their requirement to access Government Data ceases.</w:t>
      </w:r>
    </w:p>
    <w:p w:rsidR="00000000" w:rsidDel="00000000" w:rsidP="00000000" w:rsidRDefault="00000000" w:rsidRPr="00000000" w14:paraId="00000373">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 requested by the Buyer, the Supplier must remove, and must ensure that Sub-contractors remove, an individual Supplier Staff’s access to the Government Data, or part of that Government Data specified by the Buyer, as soon as practicable and in any event within 24 hours of the request.</w:t>
      </w:r>
    </w:p>
    <w:p w:rsidR="00000000" w:rsidDel="00000000" w:rsidP="00000000" w:rsidRDefault="00000000" w:rsidRPr="00000000" w14:paraId="00000374">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Remote Working</w:t>
      </w:r>
    </w:p>
    <w:p w:rsidR="00000000" w:rsidDel="00000000" w:rsidP="00000000" w:rsidRDefault="00000000" w:rsidRPr="00000000" w14:paraId="00000375">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96xcscdn4wzj" w:id="104"/>
      <w:bookmarkEnd w:id="104"/>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 ensure, and ensure that Sub-contractors ensure, that:</w:t>
      </w:r>
    </w:p>
    <w:p w:rsidR="00000000" w:rsidDel="00000000" w:rsidP="00000000" w:rsidRDefault="00000000" w:rsidRPr="00000000" w14:paraId="00000376">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unless agreed otherwise in writing by the Buyer, Privileged Users do not undertake Remote Working;</w:t>
      </w:r>
    </w:p>
    <w:p w:rsidR="00000000" w:rsidDel="00000000" w:rsidP="00000000" w:rsidRDefault="00000000" w:rsidRPr="00000000" w14:paraId="00000377">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 the Buyer permits Remote Working by Privileged Users, the Supplier ensures, and ensures that Sub-contractors ensure, that such Remote Working takes place only in accordance with any conditions imposed by the Buyer.</w:t>
      </w:r>
    </w:p>
    <w:p w:rsidR="00000000" w:rsidDel="00000000" w:rsidP="00000000" w:rsidRDefault="00000000" w:rsidRPr="00000000" w14:paraId="00000378">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 the Supplier or a Sub-contractor wishes to permit Supplier Staff to undertake Remote Working, it must:</w:t>
      </w:r>
    </w:p>
    <w:p w:rsidR="00000000" w:rsidDel="00000000" w:rsidP="00000000" w:rsidRDefault="00000000" w:rsidRPr="00000000" w14:paraId="00000379">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prepare and have approved by the Buyer the Remote Working Policy in accordance with this Paragraph;</w:t>
      </w:r>
    </w:p>
    <w:p w:rsidR="00000000" w:rsidDel="00000000" w:rsidP="00000000" w:rsidRDefault="00000000" w:rsidRPr="00000000" w14:paraId="0000037A">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undertake and, where applicable, ensure that any relevant Sub-contractors undertake, all steps required by the Remote Working Policy;</w:t>
      </w:r>
    </w:p>
    <w:p w:rsidR="00000000" w:rsidDel="00000000" w:rsidP="00000000" w:rsidRDefault="00000000" w:rsidRPr="00000000" w14:paraId="0000037B">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ensure that Supplier Staff undertake Remote Working only in accordance with the Remote Working Policy; and</w:t>
      </w:r>
    </w:p>
    <w:p w:rsidR="00000000" w:rsidDel="00000000" w:rsidP="00000000" w:rsidRDefault="00000000" w:rsidRPr="00000000" w14:paraId="0000037C">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may not permit any Supplier Staff of the Supplier or any Sub-contractor to undertake Remote Working until the Remote Working Policy is approved by the Buyer.</w:t>
      </w:r>
    </w:p>
    <w:p w:rsidR="00000000" w:rsidDel="00000000" w:rsidP="00000000" w:rsidRDefault="00000000" w:rsidRPr="00000000" w14:paraId="0000037D">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Remote Working Policy must include or make provision for the following matters:</w:t>
      </w:r>
    </w:p>
    <w:p w:rsidR="00000000" w:rsidDel="00000000" w:rsidP="00000000" w:rsidRDefault="00000000" w:rsidRPr="00000000" w14:paraId="0000037E">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restricting or prohibiting Supplier Staff from printing documents in any Remote Location;</w:t>
      </w:r>
    </w:p>
    <w:p w:rsidR="00000000" w:rsidDel="00000000" w:rsidP="00000000" w:rsidRDefault="00000000" w:rsidRPr="00000000" w14:paraId="0000037F">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restricting or prohibiting Supplier Staff from downloading any Government Data to any End-user Device other than an End-user Device that:</w:t>
      </w:r>
    </w:p>
    <w:p w:rsidR="00000000" w:rsidDel="00000000" w:rsidP="00000000" w:rsidRDefault="00000000" w:rsidRPr="00000000" w14:paraId="00000380">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 provided by the Supplier or Sub-contractor (as appropriate); and</w:t>
      </w:r>
    </w:p>
    <w:p w:rsidR="00000000" w:rsidDel="00000000" w:rsidP="00000000" w:rsidRDefault="00000000" w:rsidRPr="00000000" w14:paraId="00000381">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complies with the requirements set out in Paragraph 4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End-user Devices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82">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ensuring that Supplier Staff comply with the Expected Behaviours (so far as they are applicable);</w:t>
      </w:r>
    </w:p>
    <w:p w:rsidR="00000000" w:rsidDel="00000000" w:rsidP="00000000" w:rsidRDefault="00000000" w:rsidRPr="00000000" w14:paraId="00000383">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giving effect to the Security Controls (so far as they are applicable);</w:t>
      </w:r>
    </w:p>
    <w:p w:rsidR="00000000" w:rsidDel="00000000" w:rsidP="00000000" w:rsidRDefault="00000000" w:rsidRPr="00000000" w14:paraId="00000384">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 each different category of Supplier Staff subject to the proposed Remote Working Policy:</w:t>
      </w:r>
    </w:p>
    <w:p w:rsidR="00000000" w:rsidDel="00000000" w:rsidP="00000000" w:rsidRDefault="00000000" w:rsidRPr="00000000" w14:paraId="00000385">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types and volumes of Government Data that the Supplier Staff can Handle in a Remote Location and the Handling that those Supplier Staff will undertake;</w:t>
      </w:r>
    </w:p>
    <w:p w:rsidR="00000000" w:rsidDel="00000000" w:rsidP="00000000" w:rsidRDefault="00000000" w:rsidRPr="00000000" w14:paraId="00000386">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identified security risks arising from the proposed Handling in a Remote Location;</w:t>
      </w:r>
    </w:p>
    <w:p w:rsidR="00000000" w:rsidDel="00000000" w:rsidP="00000000" w:rsidRDefault="00000000" w:rsidRPr="00000000" w14:paraId="00000387">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mitigations, controls and security measures the Supplier or Sub-contractor (as applicable) will implement to mitigate the identified risks;</w:t>
      </w:r>
    </w:p>
    <w:p w:rsidR="00000000" w:rsidDel="00000000" w:rsidP="00000000" w:rsidRDefault="00000000" w:rsidRPr="00000000" w14:paraId="00000388">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residual risk levels following the implementation of those mitigations, controls and measures;</w:t>
      </w:r>
    </w:p>
    <w:p w:rsidR="00000000" w:rsidDel="00000000" w:rsidP="00000000" w:rsidRDefault="00000000" w:rsidRPr="00000000" w14:paraId="00000389">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when the Supplier or Sub-contractor (as applicable) will implement the proposed mitigations, controls and measures; and</w:t>
      </w:r>
    </w:p>
    <w:p w:rsidR="00000000" w:rsidDel="00000000" w:rsidP="00000000" w:rsidRDefault="00000000" w:rsidRPr="00000000" w14:paraId="0000038A">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business rules with which the Supplier Staff must comply; and</w:t>
      </w:r>
    </w:p>
    <w:p w:rsidR="00000000" w:rsidDel="00000000" w:rsidP="00000000" w:rsidRDefault="00000000" w:rsidRPr="00000000" w14:paraId="0000038B">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how the Supplier or the Sub-contractor (as applicable) will:</w:t>
      </w:r>
    </w:p>
    <w:p w:rsidR="00000000" w:rsidDel="00000000" w:rsidP="00000000" w:rsidRDefault="00000000" w:rsidRPr="00000000" w14:paraId="0000038C">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communicate the Remote Working Policy and business rules to Supplier Staff; and</w:t>
      </w:r>
    </w:p>
    <w:p w:rsidR="00000000" w:rsidDel="00000000" w:rsidP="00000000" w:rsidRDefault="00000000" w:rsidRPr="00000000" w14:paraId="0000038D">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enforce the Remote Working Plan and business rules.</w:t>
      </w:r>
    </w:p>
    <w:p w:rsidR="00000000" w:rsidDel="00000000" w:rsidP="00000000" w:rsidRDefault="00000000" w:rsidRPr="00000000" w14:paraId="0000038E">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8lvgx4l9dtn0" w:id="105"/>
      <w:bookmarkEnd w:id="105"/>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may submit a proposed Remote Working Policy to the Buyer for consideration at any time.</w:t>
      </w:r>
    </w:p>
    <w:p w:rsidR="00000000" w:rsidDel="00000000" w:rsidP="00000000" w:rsidRDefault="00000000" w:rsidRPr="00000000" w14:paraId="0000038F">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Buyer must, within 20 Working Days of the submission of a proposed Remote Working Plan, either:</w:t>
      </w:r>
    </w:p>
    <w:p w:rsidR="00000000" w:rsidDel="00000000" w:rsidP="00000000" w:rsidRDefault="00000000" w:rsidRPr="00000000" w14:paraId="00000390">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approve the proposed Remote Working Policy, in which case the Supplier must, and ensure that any applicable Sub-contractor, implements the approved Remote Working Plan in accordance with its terms; or</w:t>
      </w:r>
    </w:p>
    <w:p w:rsidR="00000000" w:rsidDel="00000000" w:rsidP="00000000" w:rsidRDefault="00000000" w:rsidRPr="00000000" w14:paraId="00000391">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reject the proposed Remote Working Policy, in which case:</w:t>
      </w:r>
    </w:p>
    <w:p w:rsidR="00000000" w:rsidDel="00000000" w:rsidP="00000000" w:rsidRDefault="00000000" w:rsidRPr="00000000" w14:paraId="00000392">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Buyer may set out any changes to the proposed Remote Working Policy the Buyer requires to make the plan capable of approval; and</w:t>
      </w:r>
    </w:p>
    <w:p w:rsidR="00000000" w:rsidDel="00000000" w:rsidP="00000000" w:rsidRDefault="00000000" w:rsidRPr="00000000" w14:paraId="00000393">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may:</w:t>
      </w:r>
    </w:p>
    <w:p w:rsidR="00000000" w:rsidDel="00000000" w:rsidP="00000000" w:rsidRDefault="00000000" w:rsidRPr="00000000" w14:paraId="00000394">
      <w:pPr>
        <w:keepNext w:val="0"/>
        <w:keepLines w:val="0"/>
        <w:pageBreakBefore w:val="0"/>
        <w:widowControl w:val="1"/>
        <w:numPr>
          <w:ilvl w:val="4"/>
          <w:numId w:val="16"/>
        </w:numPr>
        <w:pBdr>
          <w:top w:space="0" w:sz="0" w:val="nil"/>
          <w:left w:space="0" w:sz="0" w:val="nil"/>
          <w:bottom w:space="0" w:sz="0" w:val="nil"/>
          <w:right w:space="0" w:sz="0" w:val="nil"/>
          <w:between w:space="0" w:sz="0" w:val="nil"/>
        </w:pBdr>
        <w:shd w:fill="auto" w:val="clear"/>
        <w:spacing w:after="120" w:before="120" w:line="240" w:lineRule="auto"/>
        <w:ind w:left="288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revise the proposed Remote Working Plan; and</w:t>
      </w:r>
    </w:p>
    <w:p w:rsidR="00000000" w:rsidDel="00000000" w:rsidP="00000000" w:rsidRDefault="00000000" w:rsidRPr="00000000" w14:paraId="00000395">
      <w:pPr>
        <w:keepNext w:val="0"/>
        <w:keepLines w:val="0"/>
        <w:pageBreakBefore w:val="0"/>
        <w:widowControl w:val="1"/>
        <w:numPr>
          <w:ilvl w:val="4"/>
          <w:numId w:val="16"/>
        </w:numPr>
        <w:pBdr>
          <w:top w:space="0" w:sz="0" w:val="nil"/>
          <w:left w:space="0" w:sz="0" w:val="nil"/>
          <w:bottom w:space="0" w:sz="0" w:val="nil"/>
          <w:right w:space="0" w:sz="0" w:val="nil"/>
          <w:between w:space="0" w:sz="0" w:val="nil"/>
        </w:pBdr>
        <w:shd w:fill="auto" w:val="clear"/>
        <w:spacing w:after="120" w:before="120" w:line="240" w:lineRule="auto"/>
        <w:ind w:left="288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re-submit the proposed Remote Working Plan to the Buyer for approval under Paragraph 3.11.</w:t>
      </w:r>
    </w:p>
    <w:p w:rsidR="00000000" w:rsidDel="00000000" w:rsidP="00000000" w:rsidRDefault="00000000" w:rsidRPr="00000000" w14:paraId="00000396">
      <w:pPr>
        <w:keepNext w:val="1"/>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1pg51at85t8d" w:id="106"/>
      <w:bookmarkEnd w:id="106"/>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End-user Devices</w:t>
      </w:r>
    </w:p>
    <w:p w:rsidR="00000000" w:rsidDel="00000000" w:rsidP="00000000" w:rsidRDefault="00000000" w:rsidRPr="00000000" w14:paraId="00000397">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 manage, and must ensure that all Sub-contractors manage, all End-user Devices on which Government Data or Code is stored or Handled in accordance the following requirements:</w:t>
      </w:r>
    </w:p>
    <w:p w:rsidR="00000000" w:rsidDel="00000000" w:rsidP="00000000" w:rsidRDefault="00000000" w:rsidRPr="00000000" w14:paraId="00000398">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operating system and any applications that store, Handle or have access to Government Data or Code must be in current support by the vendor, or the relevant community in the case of open source operating systems or applications;</w:t>
      </w:r>
    </w:p>
    <w:p w:rsidR="00000000" w:rsidDel="00000000" w:rsidP="00000000" w:rsidRDefault="00000000" w:rsidRPr="00000000" w14:paraId="00000399">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users must authenticate before gaining access;</w:t>
      </w:r>
    </w:p>
    <w:p w:rsidR="00000000" w:rsidDel="00000000" w:rsidP="00000000" w:rsidRDefault="00000000" w:rsidRPr="00000000" w14:paraId="0000039A">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 Government Data and Code must be encrypted using an encryption tool agreed to by the Buyer;</w:t>
      </w:r>
    </w:p>
    <w:p w:rsidR="00000000" w:rsidDel="00000000" w:rsidP="00000000" w:rsidRDefault="00000000" w:rsidRPr="00000000" w14:paraId="0000039B">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End-user Device must lock and require any user to re-authenticate after a period of time that is proportionate to the risk environment, during which the End-user Device is inactive;</w:t>
      </w:r>
    </w:p>
    <w:p w:rsidR="00000000" w:rsidDel="00000000" w:rsidP="00000000" w:rsidRDefault="00000000" w:rsidRPr="00000000" w14:paraId="0000039C">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End-user Device must be managed in a way that allows for the application of technical policies and controls over applications that have access to Government Data and Code to ensure the security of that Government Data and Code;</w:t>
      </w:r>
    </w:p>
    <w:p w:rsidR="00000000" w:rsidDel="00000000" w:rsidP="00000000" w:rsidRDefault="00000000" w:rsidRPr="00000000" w14:paraId="0000039D">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Suppler or Sub-contractor, as applicable, can, without physical access to the End-user Device, remove or make inaccessible all Government Data or Code stored on the device and prevent any user or group of users from accessing the device; and</w:t>
      </w:r>
    </w:p>
    <w:p w:rsidR="00000000" w:rsidDel="00000000" w:rsidP="00000000" w:rsidRDefault="00000000" w:rsidRPr="00000000" w14:paraId="0000039E">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 End-user Devices are within the scope of any Relevant Certification.</w:t>
      </w:r>
    </w:p>
    <w:p w:rsidR="00000000" w:rsidDel="00000000" w:rsidP="00000000" w:rsidRDefault="00000000" w:rsidRPr="00000000" w14:paraId="0000039F">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 comply, and ensure that all Sub-contractors comply, with the recommendations in NCSC Device Guidance as if those recommendations were incorporated as specific obligations under the Contract.</w:t>
      </w:r>
    </w:p>
    <w:p w:rsidR="00000000" w:rsidDel="00000000" w:rsidP="00000000" w:rsidRDefault="00000000" w:rsidRPr="00000000" w14:paraId="000003A0">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 there is any conflict between the requirements of this Schedule and the requirements of the NCSC Device Guidance, the requirements of this Schedule take precedence.</w:t>
      </w:r>
    </w:p>
    <w:p w:rsidR="00000000" w:rsidDel="00000000" w:rsidP="00000000" w:rsidRDefault="00000000" w:rsidRPr="00000000" w14:paraId="000003A1">
      <w:pPr>
        <w:keepNext w:val="1"/>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l7a5vu2l2e7" w:id="107"/>
      <w:bookmarkEnd w:id="107"/>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Hardware and software support</w:t>
      </w:r>
    </w:p>
    <w:p w:rsidR="00000000" w:rsidDel="00000000" w:rsidP="00000000" w:rsidRDefault="00000000" w:rsidRPr="00000000" w14:paraId="000003A2">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cflp91bnnkyz" w:id="108"/>
      <w:bookmarkEnd w:id="108"/>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Before using any software as part of the Supplier Information Management System, the Supplier must:</w:t>
      </w:r>
    </w:p>
    <w:p w:rsidR="00000000" w:rsidDel="00000000" w:rsidP="00000000" w:rsidRDefault="00000000" w:rsidRPr="00000000" w14:paraId="000003A3">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perform adequate due diligence to determine whether there are any recognised security vulnerabilities with that software; and</w:t>
      </w:r>
    </w:p>
    <w:p w:rsidR="00000000" w:rsidDel="00000000" w:rsidP="00000000" w:rsidRDefault="00000000" w:rsidRPr="00000000" w14:paraId="000003A4">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 there are any recognised security vulnerabilities, either:</w:t>
      </w:r>
    </w:p>
    <w:p w:rsidR="00000000" w:rsidDel="00000000" w:rsidP="00000000" w:rsidRDefault="00000000" w:rsidRPr="00000000" w14:paraId="000003A5">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remedy vulnerabilities; or</w:t>
      </w:r>
    </w:p>
    <w:p w:rsidR="00000000" w:rsidDel="00000000" w:rsidP="00000000" w:rsidRDefault="00000000" w:rsidRPr="00000000" w14:paraId="000003A6">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ensure that the design of the Supplier Information Management System mitigates those vulnerabilities.</w:t>
      </w:r>
    </w:p>
    <w:p w:rsidR="00000000" w:rsidDel="00000000" w:rsidP="00000000" w:rsidRDefault="00000000" w:rsidRPr="00000000" w14:paraId="000003A7">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 ensure that all software used to provide the Services remains at all times in full security support, including any extended or bespoke security support.</w:t>
      </w:r>
    </w:p>
    <w:p w:rsidR="00000000" w:rsidDel="00000000" w:rsidP="00000000" w:rsidRDefault="00000000" w:rsidRPr="00000000" w14:paraId="000003A8">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 produce and maintain a register of all software that forms the Supplier Information Management System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Support Register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A9">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Support Register must include in respect of each item of software:</w:t>
      </w:r>
    </w:p>
    <w:p w:rsidR="00000000" w:rsidDel="00000000" w:rsidP="00000000" w:rsidRDefault="00000000" w:rsidRPr="00000000" w14:paraId="000003AA">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vulnerabilities identified with the software and the steps the Supplier has taken to remedy or mitigate those vulnerabilities;</w:t>
      </w:r>
    </w:p>
    <w:p w:rsidR="00000000" w:rsidDel="00000000" w:rsidP="00000000" w:rsidRDefault="00000000" w:rsidRPr="00000000" w14:paraId="000003AB">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date, so far as it is known, that the item will cease to be in mainstream security support; and</w:t>
      </w:r>
    </w:p>
    <w:p w:rsidR="00000000" w:rsidDel="00000000" w:rsidP="00000000" w:rsidRDefault="00000000" w:rsidRPr="00000000" w14:paraId="000003AC">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Supplier’s plans to upgrade the item before it ceases to be in mainstream security support.</w:t>
      </w:r>
    </w:p>
    <w:p w:rsidR="00000000" w:rsidDel="00000000" w:rsidP="00000000" w:rsidRDefault="00000000" w:rsidRPr="00000000" w14:paraId="000003AD">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w:t>
      </w:r>
    </w:p>
    <w:p w:rsidR="00000000" w:rsidDel="00000000" w:rsidP="00000000" w:rsidRDefault="00000000" w:rsidRPr="00000000" w14:paraId="000003AE">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review and update the Support Register:</w:t>
      </w:r>
    </w:p>
    <w:p w:rsidR="00000000" w:rsidDel="00000000" w:rsidP="00000000" w:rsidRDefault="00000000" w:rsidRPr="00000000" w14:paraId="000003AF">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within ten Working days of becoming aware of any new vulnerability in any item of software;</w:t>
      </w:r>
    </w:p>
    <w:p w:rsidR="00000000" w:rsidDel="00000000" w:rsidP="00000000" w:rsidRDefault="00000000" w:rsidRPr="00000000" w14:paraId="000003B0">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within ten Working Days of becoming aware of the date on which, or any change to the date on which, any item of software will cease to be in mainstream security report;</w:t>
      </w:r>
    </w:p>
    <w:p w:rsidR="00000000" w:rsidDel="00000000" w:rsidP="00000000" w:rsidRDefault="00000000" w:rsidRPr="00000000" w14:paraId="000003B1">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within ten Working Days of introducing new software, or removing existing software, from the Supplier Information Management System; and</w:t>
      </w:r>
    </w:p>
    <w:p w:rsidR="00000000" w:rsidDel="00000000" w:rsidP="00000000" w:rsidRDefault="00000000" w:rsidRPr="00000000" w14:paraId="000003B2">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 least once every 12 months;</w:t>
      </w:r>
    </w:p>
    <w:p w:rsidR="00000000" w:rsidDel="00000000" w:rsidP="00000000" w:rsidRDefault="00000000" w:rsidRPr="00000000" w14:paraId="000003B3">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provide the Buyer with a copy of the Support Register:</w:t>
      </w:r>
    </w:p>
    <w:p w:rsidR="00000000" w:rsidDel="00000000" w:rsidP="00000000" w:rsidRDefault="00000000" w:rsidRPr="00000000" w14:paraId="000003B4">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whenever it updates the Support Register; and</w:t>
      </w:r>
    </w:p>
    <w:p w:rsidR="00000000" w:rsidDel="00000000" w:rsidP="00000000" w:rsidRDefault="00000000" w:rsidRPr="00000000" w14:paraId="000003B5">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otherwise when the Buyer requests.</w:t>
      </w:r>
    </w:p>
    <w:p w:rsidR="00000000" w:rsidDel="00000000" w:rsidP="00000000" w:rsidRDefault="00000000" w:rsidRPr="00000000" w14:paraId="000003B6">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 any element of the Supplier Information Management System consists of COTS Software, the Supplier shall ensure:</w:t>
      </w:r>
    </w:p>
    <w:p w:rsidR="00000000" w:rsidDel="00000000" w:rsidP="00000000" w:rsidRDefault="00000000" w:rsidRPr="00000000" w14:paraId="000003B7">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those elements are always in mainstream or extended security support from the relevant vendor; and</w:t>
      </w:r>
    </w:p>
    <w:p w:rsidR="00000000" w:rsidDel="00000000" w:rsidP="00000000" w:rsidRDefault="00000000" w:rsidRPr="00000000" w14:paraId="000003B8">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COTS Software is not more than one version or major release behind the latest version of the software.</w:t>
      </w:r>
    </w:p>
    <w:p w:rsidR="00000000" w:rsidDel="00000000" w:rsidP="00000000" w:rsidRDefault="00000000" w:rsidRPr="00000000" w14:paraId="000003B9">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shall ensure that all hardware used to provide the Services, whether used by the Supplier or any Sub-contractor is, at all times, remains in mainstream vendor support, that is, that in respect of the hardware, the vendor continues to provide:</w:t>
      </w:r>
    </w:p>
    <w:p w:rsidR="00000000" w:rsidDel="00000000" w:rsidP="00000000" w:rsidRDefault="00000000" w:rsidRPr="00000000" w14:paraId="000003BA">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regular firmware updates to the hardware; and</w:t>
      </w:r>
    </w:p>
    <w:p w:rsidR="00000000" w:rsidDel="00000000" w:rsidP="00000000" w:rsidRDefault="00000000" w:rsidRPr="00000000" w14:paraId="000003BB">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physical repair or replacement service for the hardware.</w:t>
      </w:r>
    </w:p>
    <w:p w:rsidR="00000000" w:rsidDel="00000000" w:rsidP="00000000" w:rsidRDefault="00000000" w:rsidRPr="00000000" w14:paraId="000003BC">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65w9d3mxm4so" w:id="109"/>
      <w:bookmarkEnd w:id="109"/>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 ensure that where any software or hardware component of the Supplier Information Management System is no longer required to provide the Services or has reached the end of its life it is removed or disconnected from the Supplier Information Management System.</w:t>
      </w:r>
    </w:p>
    <w:p w:rsidR="00000000" w:rsidDel="00000000" w:rsidP="00000000" w:rsidRDefault="00000000" w:rsidRPr="00000000" w14:paraId="000003BD">
      <w:pPr>
        <w:keepNext w:val="1"/>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yisx11b6q3g0" w:id="110"/>
      <w:bookmarkEnd w:id="110"/>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Encryption</w:t>
      </w:r>
    </w:p>
    <w:p w:rsidR="00000000" w:rsidDel="00000000" w:rsidP="00000000" w:rsidRDefault="00000000" w:rsidRPr="00000000" w14:paraId="000003BE">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serf22x88tll" w:id="111"/>
      <w:bookmarkEnd w:id="111"/>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Before Handling any Government Data, the Supplier must agree with the Buyer the encryption methods that it and any Sub-contractors that Handle Government Data will use to comply with this Paragraph 6.</w:t>
      </w:r>
      <w:r w:rsidDel="00000000" w:rsidR="00000000" w:rsidRPr="00000000">
        <w:rPr>
          <w:rtl w:val="0"/>
        </w:rPr>
      </w:r>
    </w:p>
    <w:p w:rsidR="00000000" w:rsidDel="00000000" w:rsidP="00000000" w:rsidRDefault="00000000" w:rsidRPr="00000000" w14:paraId="000003BF">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vond80es7yct" w:id="112"/>
      <w:bookmarkEnd w:id="112"/>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 this Paragraph 6 requires Government Data to be encrypted, the Supplier must use, and ensure that Sub-contractors use, the methods agreed by the Buyer under Paragraph 6.1.</w:t>
      </w:r>
      <w:r w:rsidDel="00000000" w:rsidR="00000000" w:rsidRPr="00000000">
        <w:rPr>
          <w:rtl w:val="0"/>
        </w:rPr>
      </w:r>
    </w:p>
    <w:p w:rsidR="00000000" w:rsidDel="00000000" w:rsidP="00000000" w:rsidRDefault="00000000" w:rsidRPr="00000000" w14:paraId="000003C0">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x1ny3pnr7ajy" w:id="113"/>
      <w:bookmarkEnd w:id="113"/>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Unless Paragraph 6.4 applies, the Supplier must ensure, and must ensure that all Sub-contractors ensure, that Government Data is encrypted:</w:t>
      </w:r>
    </w:p>
    <w:p w:rsidR="00000000" w:rsidDel="00000000" w:rsidP="00000000" w:rsidRDefault="00000000" w:rsidRPr="00000000" w14:paraId="000003C1">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when stored at any time when no operation is being performed on it, including when stored on any portable storage media; and</w:t>
      </w:r>
    </w:p>
    <w:p w:rsidR="00000000" w:rsidDel="00000000" w:rsidP="00000000" w:rsidRDefault="00000000" w:rsidRPr="00000000" w14:paraId="000003C2">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when transmitted.</w:t>
      </w:r>
    </w:p>
    <w:p w:rsidR="00000000" w:rsidDel="00000000" w:rsidP="00000000" w:rsidRDefault="00000000" w:rsidRPr="00000000" w14:paraId="000003C3">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53kt83yxqole" w:id="114"/>
      <w:bookmarkEnd w:id="114"/>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 the Supplier, or a Sub-contractor, cannot encrypt Government Data as required by Paragraph 6.2, the Supplier must:</w:t>
      </w:r>
    </w:p>
    <w:p w:rsidR="00000000" w:rsidDel="00000000" w:rsidP="00000000" w:rsidRDefault="00000000" w:rsidRPr="00000000" w14:paraId="000003C4">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vdga6o9u6m9c" w:id="115"/>
      <w:bookmarkEnd w:id="115"/>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immediately inform the Buyer of the subset or subsets of Government Data it cannot encrypt and the circumstances in which and the reasons why it cannot do so;</w:t>
      </w:r>
    </w:p>
    <w:p w:rsidR="00000000" w:rsidDel="00000000" w:rsidP="00000000" w:rsidRDefault="00000000" w:rsidRPr="00000000" w14:paraId="000003C5">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54990zu1sp1m" w:id="116"/>
      <w:bookmarkEnd w:id="116"/>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provide details of the protective measures the Supplier or Sub-contractor (as applicable) proposes to take to provide equivalent protection to the Buyer as encryption;</w:t>
      </w:r>
    </w:p>
    <w:p w:rsidR="00000000" w:rsidDel="00000000" w:rsidP="00000000" w:rsidRDefault="00000000" w:rsidRPr="00000000" w14:paraId="000003C6">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provide the Buyer with such additional information relating to the information provided under Paragraphs 6.4.1 and 6.4.2 as the Buyer may require.</w:t>
      </w:r>
    </w:p>
    <w:p w:rsidR="00000000" w:rsidDel="00000000" w:rsidP="00000000" w:rsidRDefault="00000000" w:rsidRPr="00000000" w14:paraId="000003C7">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Buyer, the Supplier and, where the Buyer requires, any relevant Sub-contractor shall meet to agree appropriate protective measures for the unencrypted Government Data.</w:t>
      </w:r>
    </w:p>
    <w:p w:rsidR="00000000" w:rsidDel="00000000" w:rsidP="00000000" w:rsidRDefault="00000000" w:rsidRPr="00000000" w14:paraId="000003C8">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 the Buyer and Supplier reach agreement, the Supplier must update the Security Management Plan to include:</w:t>
      </w:r>
    </w:p>
    <w:p w:rsidR="00000000" w:rsidDel="00000000" w:rsidP="00000000" w:rsidRDefault="00000000" w:rsidRPr="00000000" w14:paraId="000003C9">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subset or subsets of Government Data not encrypted and the circumstances in which that will occur; and</w:t>
      </w:r>
    </w:p>
    <w:p w:rsidR="00000000" w:rsidDel="00000000" w:rsidP="00000000" w:rsidRDefault="00000000" w:rsidRPr="00000000" w14:paraId="000003CA">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protective measure that the Supplier and/or Sub-contractor will put in place in respect of the unencrypted Government Data.</w:t>
      </w:r>
    </w:p>
    <w:p w:rsidR="00000000" w:rsidDel="00000000" w:rsidP="00000000" w:rsidRDefault="00000000" w:rsidRPr="00000000" w14:paraId="000003CB">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 the Buyer and Supplier do not reach agreement within 40 Working Days of the date on which the Supplier first notified the Buyer that it could not encrypt certain Government Data, either party may refer the matter to be determined by an expert in accordance with the Dispute Resolution Procedure.</w:t>
      </w:r>
    </w:p>
    <w:p w:rsidR="00000000" w:rsidDel="00000000" w:rsidP="00000000" w:rsidRDefault="00000000" w:rsidRPr="00000000" w14:paraId="000003CC">
      <w:pPr>
        <w:keepNext w:val="1"/>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b7vx0dpisigt" w:id="117"/>
      <w:bookmarkEnd w:id="117"/>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Backup and recovery of Government Data</w:t>
      </w:r>
    </w:p>
    <w:p w:rsidR="00000000" w:rsidDel="00000000" w:rsidP="00000000" w:rsidRDefault="00000000" w:rsidRPr="00000000" w14:paraId="000003CD">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Backups and recovery of Government Data</w:t>
      </w:r>
    </w:p>
    <w:p w:rsidR="00000000" w:rsidDel="00000000" w:rsidP="00000000" w:rsidRDefault="00000000" w:rsidRPr="00000000" w14:paraId="000003CE">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 backup and recover the Government Data in accordance with the Backup and Recovery Plan to ensure the recovery point objective and recovery time objective in Paragraph 7.3.1.</w:t>
      </w:r>
    </w:p>
    <w:p w:rsidR="00000000" w:rsidDel="00000000" w:rsidP="00000000" w:rsidRDefault="00000000" w:rsidRPr="00000000" w14:paraId="000003CF">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backup system operated by the Supplier or Sub-contractor forms part of the Supplier System or that Sub-contractor’s System to which this Schedule and the security requirements in Appendix 1 apply.</w:t>
      </w:r>
    </w:p>
    <w:p w:rsidR="00000000" w:rsidDel="00000000" w:rsidP="00000000" w:rsidRDefault="00000000" w:rsidRPr="00000000" w14:paraId="000003D0">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Backup and Recovery Plan</w:t>
      </w:r>
    </w:p>
    <w:p w:rsidR="00000000" w:rsidDel="00000000" w:rsidP="00000000" w:rsidRDefault="00000000" w:rsidRPr="00000000" w14:paraId="000003D1">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Unless otherwise required by the Buyer, the Backup and Recovery Plan must provide for:</w:t>
      </w:r>
    </w:p>
    <w:p w:rsidR="00000000" w:rsidDel="00000000" w:rsidP="00000000" w:rsidRDefault="00000000" w:rsidRPr="00000000" w14:paraId="000003D2">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midaw5b2bpi" w:id="118"/>
      <w:bookmarkEnd w:id="118"/>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the case of a full or partial failure of the Supplier System or a Sub-contractor’s System:</w:t>
      </w:r>
    </w:p>
    <w:p w:rsidR="00000000" w:rsidDel="00000000" w:rsidP="00000000" w:rsidRDefault="00000000" w:rsidRPr="00000000" w14:paraId="000003D3">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recovery time objective of </w:t>
      </w:r>
      <w:r w:rsidDel="00000000" w:rsidR="00000000" w:rsidRPr="00000000">
        <w:rPr>
          <w:rFonts w:ascii="Arial" w:cs="Arial" w:eastAsia="Arial" w:hAnsi="Arial"/>
          <w:b w:val="0"/>
          <w:i w:val="1"/>
          <w:smallCaps w:val="0"/>
          <w:strike w:val="0"/>
          <w:color w:val="000000"/>
          <w:sz w:val="24"/>
          <w:szCs w:val="24"/>
          <w:highlight w:val="yellow"/>
          <w:u w:val="none"/>
          <w:vertAlign w:val="baseline"/>
          <w:rtl w:val="0"/>
        </w:rPr>
        <w:t xml:space="preserve">[</w:t>
      </w:r>
      <w:r w:rsidDel="00000000" w:rsidR="00000000" w:rsidRPr="00000000">
        <w:rPr>
          <w:rFonts w:ascii="Arial" w:cs="Arial" w:eastAsia="Arial" w:hAnsi="Arial"/>
          <w:b w:val="1"/>
          <w:i w:val="1"/>
          <w:smallCaps w:val="0"/>
          <w:strike w:val="0"/>
          <w:color w:val="000000"/>
          <w:sz w:val="24"/>
          <w:szCs w:val="24"/>
          <w:highlight w:val="yellow"/>
          <w:u w:val="none"/>
          <w:vertAlign w:val="baseline"/>
          <w:rtl w:val="0"/>
        </w:rPr>
        <w:t xml:space="preserve">Buyer Guidance:</w:t>
      </w:r>
      <w:r w:rsidDel="00000000" w:rsidR="00000000" w:rsidRPr="00000000">
        <w:rPr>
          <w:rFonts w:ascii="Arial" w:cs="Arial" w:eastAsia="Arial" w:hAnsi="Arial"/>
          <w:b w:val="0"/>
          <w:i w:val="1"/>
          <w:smallCaps w:val="0"/>
          <w:strike w:val="0"/>
          <w:color w:val="000000"/>
          <w:sz w:val="24"/>
          <w:szCs w:val="24"/>
          <w:highlight w:val="yellow"/>
          <w:u w:val="none"/>
          <w:vertAlign w:val="baseline"/>
          <w:rtl w:val="0"/>
        </w:rPr>
        <w:t xml:space="preserve"> </w:t>
      </w:r>
      <w:r w:rsidDel="00000000" w:rsidR="00000000" w:rsidRPr="00000000">
        <w:rPr>
          <w:rFonts w:ascii="Arial" w:cs="Arial" w:eastAsia="Arial" w:hAnsi="Arial"/>
          <w:b w:val="1"/>
          <w:i w:val="1"/>
          <w:smallCaps w:val="0"/>
          <w:strike w:val="0"/>
          <w:color w:val="000000"/>
          <w:sz w:val="24"/>
          <w:szCs w:val="24"/>
          <w:highlight w:val="yellow"/>
          <w:u w:val="none"/>
          <w:vertAlign w:val="baseline"/>
          <w:rtl w:val="0"/>
        </w:rPr>
        <w:t xml:space="preserve">insert period</w:t>
      </w:r>
      <w:r w:rsidDel="00000000" w:rsidR="00000000" w:rsidRPr="00000000">
        <w:rPr>
          <w:rFonts w:ascii="Arial" w:cs="Arial" w:eastAsia="Arial" w:hAnsi="Arial"/>
          <w:b w:val="0"/>
          <w:i w:val="1"/>
          <w:smallCaps w:val="0"/>
          <w:strike w:val="0"/>
          <w:color w:val="000000"/>
          <w:sz w:val="24"/>
          <w:szCs w:val="24"/>
          <w:highlight w:val="yellow"/>
          <w:u w:val="none"/>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and</w:t>
      </w:r>
    </w:p>
    <w:p w:rsidR="00000000" w:rsidDel="00000000" w:rsidP="00000000" w:rsidRDefault="00000000" w:rsidRPr="00000000" w14:paraId="000003D4">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6l6bbkfb53s3" w:id="119"/>
      <w:bookmarkEnd w:id="119"/>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recovery point objective of </w:t>
      </w:r>
      <w:r w:rsidDel="00000000" w:rsidR="00000000" w:rsidRPr="00000000">
        <w:rPr>
          <w:rFonts w:ascii="Arial" w:cs="Arial" w:eastAsia="Arial" w:hAnsi="Arial"/>
          <w:b w:val="0"/>
          <w:i w:val="1"/>
          <w:smallCaps w:val="0"/>
          <w:strike w:val="0"/>
          <w:color w:val="000000"/>
          <w:sz w:val="24"/>
          <w:szCs w:val="24"/>
          <w:highlight w:val="yellow"/>
          <w:u w:val="none"/>
          <w:vertAlign w:val="baseline"/>
          <w:rtl w:val="0"/>
        </w:rPr>
        <w:t xml:space="preserve">[</w:t>
      </w:r>
      <w:r w:rsidDel="00000000" w:rsidR="00000000" w:rsidRPr="00000000">
        <w:rPr>
          <w:rFonts w:ascii="Arial" w:cs="Arial" w:eastAsia="Arial" w:hAnsi="Arial"/>
          <w:b w:val="1"/>
          <w:i w:val="1"/>
          <w:smallCaps w:val="0"/>
          <w:strike w:val="0"/>
          <w:color w:val="000000"/>
          <w:sz w:val="24"/>
          <w:szCs w:val="24"/>
          <w:highlight w:val="yellow"/>
          <w:u w:val="none"/>
          <w:vertAlign w:val="baseline"/>
          <w:rtl w:val="0"/>
        </w:rPr>
        <w:t xml:space="preserve">Buyer Guidance: insert period</w:t>
      </w:r>
      <w:r w:rsidDel="00000000" w:rsidR="00000000" w:rsidRPr="00000000">
        <w:rPr>
          <w:rFonts w:ascii="Arial" w:cs="Arial" w:eastAsia="Arial" w:hAnsi="Arial"/>
          <w:b w:val="0"/>
          <w:i w:val="1"/>
          <w:smallCaps w:val="0"/>
          <w:strike w:val="0"/>
          <w:color w:val="000000"/>
          <w:sz w:val="24"/>
          <w:szCs w:val="24"/>
          <w:highlight w:val="yellow"/>
          <w:u w:val="none"/>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and</w:t>
      </w:r>
    </w:p>
    <w:p w:rsidR="00000000" w:rsidDel="00000000" w:rsidP="00000000" w:rsidRDefault="00000000" w:rsidRPr="00000000" w14:paraId="000003D5">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retention period of </w:t>
      </w:r>
      <w:r w:rsidDel="00000000" w:rsidR="00000000" w:rsidRPr="00000000">
        <w:rPr>
          <w:rFonts w:ascii="Arial" w:cs="Arial" w:eastAsia="Arial" w:hAnsi="Arial"/>
          <w:b w:val="0"/>
          <w:i w:val="1"/>
          <w:smallCaps w:val="0"/>
          <w:strike w:val="0"/>
          <w:color w:val="000000"/>
          <w:sz w:val="24"/>
          <w:szCs w:val="24"/>
          <w:highlight w:val="yellow"/>
          <w:u w:val="none"/>
          <w:vertAlign w:val="baseline"/>
          <w:rtl w:val="0"/>
        </w:rPr>
        <w:t xml:space="preserve">[</w:t>
      </w:r>
      <w:r w:rsidDel="00000000" w:rsidR="00000000" w:rsidRPr="00000000">
        <w:rPr>
          <w:rFonts w:ascii="Arial" w:cs="Arial" w:eastAsia="Arial" w:hAnsi="Arial"/>
          <w:b w:val="1"/>
          <w:i w:val="1"/>
          <w:smallCaps w:val="0"/>
          <w:strike w:val="0"/>
          <w:color w:val="000000"/>
          <w:sz w:val="24"/>
          <w:szCs w:val="24"/>
          <w:highlight w:val="yellow"/>
          <w:u w:val="none"/>
          <w:vertAlign w:val="baseline"/>
          <w:rtl w:val="0"/>
        </w:rPr>
        <w:t xml:space="preserve">Buyer Guidance: insert period</w:t>
      </w:r>
      <w:r w:rsidDel="00000000" w:rsidR="00000000" w:rsidRPr="00000000">
        <w:rPr>
          <w:rFonts w:ascii="Arial" w:cs="Arial" w:eastAsia="Arial" w:hAnsi="Arial"/>
          <w:b w:val="0"/>
          <w:i w:val="1"/>
          <w:smallCaps w:val="0"/>
          <w:strike w:val="0"/>
          <w:color w:val="000000"/>
          <w:sz w:val="24"/>
          <w:szCs w:val="24"/>
          <w:highlight w:val="yellow"/>
          <w:u w:val="none"/>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D6">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doing so, the Backup and Recovery Plan must ensure that in respect of any backup system operated by the Supplier or a Sub-contractor:</w:t>
      </w:r>
    </w:p>
    <w:p w:rsidR="00000000" w:rsidDel="00000000" w:rsidP="00000000" w:rsidRDefault="00000000" w:rsidRPr="00000000" w14:paraId="000003D7">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backup location for Government Data is sufficiently physically and logically separate from the rest of the Supplier System or a Sub-contractor’s System that it is not affected by any Disaster affecting the rest of the Supplier System or a Sub-contractor’s System;</w:t>
      </w:r>
    </w:p>
    <w:p w:rsidR="00000000" w:rsidDel="00000000" w:rsidP="00000000" w:rsidRDefault="00000000" w:rsidRPr="00000000" w14:paraId="000003D8">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there is sufficient storage volume for the amount of Government Data to be backed up;</w:t>
      </w:r>
    </w:p>
    <w:p w:rsidR="00000000" w:rsidDel="00000000" w:rsidP="00000000" w:rsidRDefault="00000000" w:rsidRPr="00000000" w14:paraId="000003D9">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 back-up media for Government Data is used in accordance with the manufacturer’s usage recommendations;</w:t>
      </w:r>
    </w:p>
    <w:p w:rsidR="00000000" w:rsidDel="00000000" w:rsidP="00000000" w:rsidRDefault="00000000" w:rsidRPr="00000000" w14:paraId="000003DA">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newer backups of Government Data do not overwrite existing backups made during the retention period specified in Paragraph 7.3.1(b);</w:t>
      </w:r>
    </w:p>
    <w:p w:rsidR="00000000" w:rsidDel="00000000" w:rsidP="00000000" w:rsidRDefault="00000000" w:rsidRPr="00000000" w14:paraId="000003DB">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backup system monitors backups of Government Data to:</w:t>
      </w:r>
    </w:p>
    <w:p w:rsidR="00000000" w:rsidDel="00000000" w:rsidP="00000000" w:rsidRDefault="00000000" w:rsidRPr="00000000" w14:paraId="000003DC">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identifies any backup failure; and</w:t>
      </w:r>
    </w:p>
    <w:p w:rsidR="00000000" w:rsidDel="00000000" w:rsidP="00000000" w:rsidRDefault="00000000" w:rsidRPr="00000000" w14:paraId="000003DD">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confirm the integrity of the Government Data backed up;</w:t>
      </w:r>
    </w:p>
    <w:p w:rsidR="00000000" w:rsidDel="00000000" w:rsidP="00000000" w:rsidRDefault="00000000" w:rsidRPr="00000000" w14:paraId="000003DE">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backup failure is remedied promptly;</w:t>
      </w:r>
    </w:p>
    <w:p w:rsidR="00000000" w:rsidDel="00000000" w:rsidP="00000000" w:rsidRDefault="00000000" w:rsidRPr="00000000" w14:paraId="000003DF">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backup system monitors the recovery of Government Data to:</w:t>
      </w:r>
    </w:p>
    <w:p w:rsidR="00000000" w:rsidDel="00000000" w:rsidP="00000000" w:rsidRDefault="00000000" w:rsidRPr="00000000" w14:paraId="000003E0">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identify any recovery failure;</w:t>
      </w:r>
    </w:p>
    <w:p w:rsidR="00000000" w:rsidDel="00000000" w:rsidP="00000000" w:rsidRDefault="00000000" w:rsidRPr="00000000" w14:paraId="000003E1">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confirm the integrity of Government Data recovered; and</w:t>
      </w:r>
    </w:p>
    <w:p w:rsidR="00000000" w:rsidDel="00000000" w:rsidP="00000000" w:rsidRDefault="00000000" w:rsidRPr="00000000" w14:paraId="000003E2">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recovery failure is promptly remedied.</w:t>
      </w:r>
    </w:p>
    <w:p w:rsidR="00000000" w:rsidDel="00000000" w:rsidP="00000000" w:rsidRDefault="00000000" w:rsidRPr="00000000" w14:paraId="000003E3">
      <w:pPr>
        <w:keepNext w:val="1"/>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Email</w:t>
      </w:r>
    </w:p>
    <w:p w:rsidR="00000000" w:rsidDel="00000000" w:rsidP="00000000" w:rsidRDefault="00000000" w:rsidRPr="00000000" w14:paraId="000003E4">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 ensure that where the Supplier Information Management System will provide an Email Service to the Buyer, it:</w:t>
      </w:r>
    </w:p>
    <w:p w:rsidR="00000000" w:rsidDel="00000000" w:rsidP="00000000" w:rsidRDefault="00000000" w:rsidRPr="00000000" w14:paraId="000003E5">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supports transport layer security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TLS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version 1.2, or higher, for sending and receiving emails;</w:t>
      </w:r>
    </w:p>
    <w:p w:rsidR="00000000" w:rsidDel="00000000" w:rsidP="00000000" w:rsidRDefault="00000000" w:rsidRPr="00000000" w14:paraId="000003E6">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supports TLS Reporting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TLS-RPT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E7">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 capable of implementing:</w:t>
      </w:r>
    </w:p>
    <w:p w:rsidR="00000000" w:rsidDel="00000000" w:rsidP="00000000" w:rsidRDefault="00000000" w:rsidRPr="00000000" w14:paraId="000003E8">
      <w:pPr>
        <w:keepNext w:val="1"/>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domain -based message authentication, reporting and conformance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DMARC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E9">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sender policy framework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SPF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and</w:t>
      </w:r>
    </w:p>
    <w:p w:rsidR="00000000" w:rsidDel="00000000" w:rsidP="00000000" w:rsidRDefault="00000000" w:rsidRPr="00000000" w14:paraId="000003EA">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domain keys identified mail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DKIM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and</w:t>
      </w:r>
    </w:p>
    <w:p w:rsidR="00000000" w:rsidDel="00000000" w:rsidP="00000000" w:rsidRDefault="00000000" w:rsidRPr="00000000" w14:paraId="000003EB">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 capable of complying in all respects with any guidance concerning email security as issued or updated from time to time by:</w:t>
      </w:r>
    </w:p>
    <w:p w:rsidR="00000000" w:rsidDel="00000000" w:rsidP="00000000" w:rsidRDefault="00000000" w:rsidRPr="00000000" w14:paraId="000003EC">
      <w:pPr>
        <w:keepNext w:val="1"/>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UK Government (current version at </w:t>
      </w:r>
      <w:hyperlink r:id="rId22">
        <w:r w:rsidDel="00000000" w:rsidR="00000000" w:rsidRPr="00000000">
          <w:rPr>
            <w:rFonts w:ascii="Arial" w:cs="Arial" w:eastAsia="Arial" w:hAnsi="Arial"/>
            <w:b w:val="0"/>
            <w:i w:val="0"/>
            <w:smallCaps w:val="0"/>
            <w:strike w:val="0"/>
            <w:color w:val="0563c1"/>
            <w:sz w:val="24"/>
            <w:szCs w:val="24"/>
            <w:u w:val="single"/>
            <w:shd w:fill="auto" w:val="clear"/>
            <w:vertAlign w:val="baseline"/>
            <w:rtl w:val="0"/>
          </w:rPr>
          <w:t xml:space="preserve">https://www.gov.uk/guidance/set-up-government-email-services-securely</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or</w:t>
      </w:r>
    </w:p>
    <w:p w:rsidR="00000000" w:rsidDel="00000000" w:rsidP="00000000" w:rsidRDefault="00000000" w:rsidRPr="00000000" w14:paraId="000003ED">
      <w:pPr>
        <w:keepNext w:val="1"/>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NCSC (current version at </w:t>
      </w:r>
      <w:hyperlink r:id="rId23">
        <w:r w:rsidDel="00000000" w:rsidR="00000000" w:rsidRPr="00000000">
          <w:rPr>
            <w:rFonts w:ascii="Arial" w:cs="Arial" w:eastAsia="Arial" w:hAnsi="Arial"/>
            <w:b w:val="0"/>
            <w:i w:val="0"/>
            <w:smallCaps w:val="0"/>
            <w:strike w:val="0"/>
            <w:color w:val="0563c1"/>
            <w:sz w:val="24"/>
            <w:szCs w:val="24"/>
            <w:u w:val="single"/>
            <w:shd w:fill="auto" w:val="clear"/>
            <w:vertAlign w:val="baseline"/>
            <w:rtl w:val="0"/>
          </w:rPr>
          <w:t xml:space="preserve">https://www.ncsc.gov.uk/collection/email-security-and-anti-spoofing</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EE">
      <w:pPr>
        <w:keepNext w:val="1"/>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DNS</w:t>
      </w:r>
    </w:p>
    <w:p w:rsidR="00000000" w:rsidDel="00000000" w:rsidP="00000000" w:rsidRDefault="00000000" w:rsidRPr="00000000" w14:paraId="000003EF">
      <w:pPr>
        <w:pStyle w:val="Heading2"/>
        <w:spacing w:after="120" w:before="120" w:lineRule="auto"/>
        <w:ind w:left="720" w:firstLine="0"/>
        <w:rPr>
          <w:sz w:val="24"/>
          <w:szCs w:val="24"/>
        </w:rPr>
      </w:pPr>
      <w:r w:rsidDel="00000000" w:rsidR="00000000" w:rsidRPr="00000000">
        <w:rPr>
          <w:sz w:val="24"/>
          <w:szCs w:val="24"/>
          <w:rtl w:val="0"/>
        </w:rPr>
        <w:t xml:space="preserve">Unless otherwise agreed by the Buyer, the Supplier must ensure that the Supplier Information Management System uses the UK public sector Protective DNS (</w:t>
      </w:r>
      <w:r w:rsidDel="00000000" w:rsidR="00000000" w:rsidRPr="00000000">
        <w:rPr>
          <w:b w:val="1"/>
          <w:sz w:val="24"/>
          <w:szCs w:val="24"/>
          <w:rtl w:val="0"/>
        </w:rPr>
        <w:t xml:space="preserve">PDNS</w:t>
      </w:r>
      <w:r w:rsidDel="00000000" w:rsidR="00000000" w:rsidRPr="00000000">
        <w:rPr>
          <w:sz w:val="24"/>
          <w:szCs w:val="24"/>
          <w:rtl w:val="0"/>
        </w:rPr>
        <w:t xml:space="preserve">) service to resolve internet DNS queries.</w:t>
      </w:r>
    </w:p>
    <w:p w:rsidR="00000000" w:rsidDel="00000000" w:rsidP="00000000" w:rsidRDefault="00000000" w:rsidRPr="00000000" w14:paraId="000003F0">
      <w:pPr>
        <w:keepNext w:val="1"/>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bussv5xo8rt7" w:id="120"/>
      <w:bookmarkEnd w:id="120"/>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Malicious Software</w:t>
      </w:r>
    </w:p>
    <w:p w:rsidR="00000000" w:rsidDel="00000000" w:rsidP="00000000" w:rsidRDefault="00000000" w:rsidRPr="00000000" w14:paraId="000003F1">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shall install and maintain Anti-virus Software or procure that Anti-virus Software is installed and maintained on the Supplier Information Management System.</w:t>
      </w:r>
    </w:p>
    <w:p w:rsidR="00000000" w:rsidDel="00000000" w:rsidP="00000000" w:rsidRDefault="00000000" w:rsidRPr="00000000" w14:paraId="000003F2">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 ensure that such Anti-virus Software:</w:t>
      </w:r>
    </w:p>
    <w:p w:rsidR="00000000" w:rsidDel="00000000" w:rsidP="00000000" w:rsidRDefault="00000000" w:rsidRPr="00000000" w14:paraId="000003F3">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prevents the installation of the most common forms of Malicious Software in the Supplier Information Management System and the Development Environment;</w:t>
      </w:r>
    </w:p>
    <w:p w:rsidR="00000000" w:rsidDel="00000000" w:rsidP="00000000" w:rsidRDefault="00000000" w:rsidRPr="00000000" w14:paraId="000003F4">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 configured to perform automatic software and definition updates;</w:t>
      </w:r>
    </w:p>
    <w:p w:rsidR="00000000" w:rsidDel="00000000" w:rsidP="00000000" w:rsidRDefault="00000000" w:rsidRPr="00000000" w14:paraId="000003F5">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provides for all updates to be the Anti-virus Software to be deployed within [</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ten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Working Days of the update’s release by the vendor;</w:t>
      </w:r>
    </w:p>
    <w:p w:rsidR="00000000" w:rsidDel="00000000" w:rsidP="00000000" w:rsidRDefault="00000000" w:rsidRPr="00000000" w14:paraId="000003F6">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performs regular scans of the Supplier Information Management System to check for and prevent the introduction of Malicious Software; and</w:t>
      </w:r>
    </w:p>
    <w:p w:rsidR="00000000" w:rsidDel="00000000" w:rsidP="00000000" w:rsidRDefault="00000000" w:rsidRPr="00000000" w14:paraId="000003F7">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 Malicious Software has been introduced into the Supplier Information Management System, identifies, contains the spread of, and minimises the impact of Malicious Software.</w:t>
      </w:r>
    </w:p>
    <w:p w:rsidR="00000000" w:rsidDel="00000000" w:rsidP="00000000" w:rsidRDefault="00000000" w:rsidRPr="00000000" w14:paraId="000003F8">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i4f1r0iz5l7x" w:id="121"/>
      <w:bookmarkEnd w:id="121"/>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Malicious Software is found, the Parties shall cooperate to reduce the effect of the Malicious Software and, particularly if Malicious Software causes loss of operational efficiency or loss or corruption of Government Data, assist each other to mitigate any Losses and to restore the Services to their desired operating efficiency.</w:t>
      </w:r>
    </w:p>
    <w:p w:rsidR="00000000" w:rsidDel="00000000" w:rsidP="00000000" w:rsidRDefault="00000000" w:rsidRPr="00000000" w14:paraId="000003F9">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Breach of Security caused by Malicious Software where the Breach of Security arose from a failure by the Supplier, or a Sub-contractor, to comply with this Paragraph 10 is a material Default.</w:t>
      </w:r>
    </w:p>
    <w:p w:rsidR="00000000" w:rsidDel="00000000" w:rsidP="00000000" w:rsidRDefault="00000000" w:rsidRPr="00000000" w14:paraId="000003FA">
      <w:pPr>
        <w:keepNext w:val="1"/>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gzx2p2p3e23p" w:id="122"/>
      <w:bookmarkEnd w:id="122"/>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Vulnerabilities</w:t>
      </w:r>
    </w:p>
    <w:p w:rsidR="00000000" w:rsidDel="00000000" w:rsidP="00000000" w:rsidRDefault="00000000" w:rsidRPr="00000000" w14:paraId="000003FB">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x8qp72cdbpqv" w:id="123"/>
      <w:bookmarkEnd w:id="123"/>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Unless the Buyer otherwise agrees, the Supplier must ensure that it or any relevant Sub-contractor applies security patches to any vulnerabilities in the Supplier Information Management System no later than:</w:t>
      </w:r>
    </w:p>
    <w:p w:rsidR="00000000" w:rsidDel="00000000" w:rsidP="00000000" w:rsidRDefault="00000000" w:rsidRPr="00000000" w14:paraId="000003FC">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seven days after the public release of patches for vulnerabilities classified as "critical";</w:t>
      </w:r>
    </w:p>
    <w:p w:rsidR="00000000" w:rsidDel="00000000" w:rsidP="00000000" w:rsidRDefault="00000000" w:rsidRPr="00000000" w14:paraId="000003FD">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30 days after the public release of patches for vulnerabilities classified as "important"; and</w:t>
      </w:r>
    </w:p>
    <w:p w:rsidR="00000000" w:rsidDel="00000000" w:rsidP="00000000" w:rsidRDefault="00000000" w:rsidRPr="00000000" w14:paraId="000003FE">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60 days after the public release of patches for vulnerabilities classified as "other".</w:t>
      </w:r>
    </w:p>
    <w:p w:rsidR="00000000" w:rsidDel="00000000" w:rsidP="00000000" w:rsidRDefault="00000000" w:rsidRPr="00000000" w14:paraId="000003FF">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w:t>
      </w:r>
    </w:p>
    <w:p w:rsidR="00000000" w:rsidDel="00000000" w:rsidP="00000000" w:rsidRDefault="00000000" w:rsidRPr="00000000" w14:paraId="00000400">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scan the Supplier Information Management System and the Development Environment at least once every month to identify any unpatched vulnerabilities; and</w:t>
      </w:r>
    </w:p>
    <w:p w:rsidR="00000000" w:rsidDel="00000000" w:rsidP="00000000" w:rsidRDefault="00000000" w:rsidRPr="00000000" w14:paraId="00000401">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the scan identifies any unpatched vulnerabilities ensure they are patched in accordance with Paragraph 11.1.</w:t>
      </w:r>
    </w:p>
    <w:p w:rsidR="00000000" w:rsidDel="00000000" w:rsidP="00000000" w:rsidRDefault="00000000" w:rsidRPr="00000000" w14:paraId="00000402">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 the purposes of this Paragraph 11, the Supplier must implement a method for classifying vulnerabilities to the Supplier Information Management System as "critical", "important" or "other" that is aligned to recognised vulnerability assessment systems, such as:</w:t>
      </w:r>
    </w:p>
    <w:p w:rsidR="00000000" w:rsidDel="00000000" w:rsidP="00000000" w:rsidRDefault="00000000" w:rsidRPr="00000000" w14:paraId="00000403">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National Vulnerability Database’s vulnerability security ratings; or</w:t>
      </w:r>
    </w:p>
    <w:p w:rsidR="00000000" w:rsidDel="00000000" w:rsidP="00000000" w:rsidRDefault="00000000" w:rsidRPr="00000000" w14:paraId="00000404">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Microsoft’s security bulletin severity rating system.</w:t>
      </w:r>
    </w:p>
    <w:p w:rsidR="00000000" w:rsidDel="00000000" w:rsidP="00000000" w:rsidRDefault="00000000" w:rsidRPr="00000000" w14:paraId="00000405">
      <w:pPr>
        <w:keepNext w:val="1"/>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jv5rrc90tj7p" w:id="124"/>
      <w:bookmarkEnd w:id="124"/>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Security testing</w:t>
      </w:r>
    </w:p>
    <w:p w:rsidR="00000000" w:rsidDel="00000000" w:rsidP="00000000" w:rsidRDefault="00000000" w:rsidRPr="00000000" w14:paraId="00000406">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Responsibility for security testing</w:t>
      </w:r>
    </w:p>
    <w:p w:rsidR="00000000" w:rsidDel="00000000" w:rsidP="00000000" w:rsidRDefault="00000000" w:rsidRPr="00000000" w14:paraId="00000407">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is solely responsible for:</w:t>
      </w:r>
    </w:p>
    <w:p w:rsidR="00000000" w:rsidDel="00000000" w:rsidP="00000000" w:rsidRDefault="00000000" w:rsidRPr="00000000" w14:paraId="00000408">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costs of conducting any security testing required by this Paragraph 12; and</w:t>
      </w:r>
    </w:p>
    <w:p w:rsidR="00000000" w:rsidDel="00000000" w:rsidP="00000000" w:rsidRDefault="00000000" w:rsidRPr="00000000" w14:paraId="00000409">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costs of implementing any findings, or remedying any vulnerabilities, identified in that security testing.</w:t>
      </w:r>
    </w:p>
    <w:p w:rsidR="00000000" w:rsidDel="00000000" w:rsidP="00000000" w:rsidRDefault="00000000" w:rsidRPr="00000000" w14:paraId="0000040A">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Security tests by Supplier</w:t>
      </w:r>
    </w:p>
    <w:p w:rsidR="00000000" w:rsidDel="00000000" w:rsidP="00000000" w:rsidRDefault="00000000" w:rsidRPr="00000000" w14:paraId="0000040B">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mo9ri83l2rc9" w:id="125"/>
      <w:bookmarkEnd w:id="125"/>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w:t>
      </w:r>
    </w:p>
    <w:p w:rsidR="00000000" w:rsidDel="00000000" w:rsidP="00000000" w:rsidRDefault="00000000" w:rsidRPr="00000000" w14:paraId="0000040C">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before submitting the draft Security Management Plan to the Buyer for a decision under Paragraph 16;</w:t>
      </w:r>
    </w:p>
    <w:p w:rsidR="00000000" w:rsidDel="00000000" w:rsidP="00000000" w:rsidRDefault="00000000" w:rsidRPr="00000000" w14:paraId="0000040D">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 least once during each Contract Year; and</w:t>
      </w:r>
    </w:p>
    <w:p w:rsidR="00000000" w:rsidDel="00000000" w:rsidP="00000000" w:rsidRDefault="00000000" w:rsidRPr="00000000" w14:paraId="0000040E">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when required to do so by the Buyer;</w:t>
      </w:r>
    </w:p>
    <w:p w:rsidR="00000000" w:rsidDel="00000000" w:rsidP="00000000" w:rsidRDefault="00000000" w:rsidRPr="00000000" w14:paraId="0000040F">
      <w:pPr>
        <w:pStyle w:val="Heading4"/>
        <w:keepNext w:val="1"/>
        <w:spacing w:after="120" w:before="120" w:lineRule="auto"/>
        <w:ind w:left="720" w:firstLine="1440"/>
        <w:rPr>
          <w:sz w:val="24"/>
          <w:szCs w:val="24"/>
        </w:rPr>
      </w:pPr>
      <w:r w:rsidDel="00000000" w:rsidR="00000000" w:rsidRPr="00000000">
        <w:rPr>
          <w:sz w:val="24"/>
          <w:szCs w:val="24"/>
          <w:rtl w:val="0"/>
        </w:rPr>
        <w:t xml:space="preserve">undertake the following activities:</w:t>
      </w:r>
    </w:p>
    <w:p w:rsidR="00000000" w:rsidDel="00000000" w:rsidP="00000000" w:rsidRDefault="00000000" w:rsidRPr="00000000" w14:paraId="00000410">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ce1tc452iejr" w:id="126"/>
      <w:bookmarkEnd w:id="126"/>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conduct security testing of the Supplier Information Management System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IT Health Check</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 accordance with Paragraph 12.8 to 12.10; and</w:t>
      </w:r>
    </w:p>
    <w:p w:rsidR="00000000" w:rsidDel="00000000" w:rsidP="00000000" w:rsidRDefault="00000000" w:rsidRPr="00000000" w14:paraId="00000411">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implement any findings, and remedy any vulnerabilities identified by the IT Health Check in accordance with Paragraphs 12.11 to 12.21.</w:t>
      </w:r>
    </w:p>
    <w:p w:rsidR="00000000" w:rsidDel="00000000" w:rsidP="00000000" w:rsidRDefault="00000000" w:rsidRPr="00000000" w14:paraId="00000412">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addition to its obligations under Paragraph 12.2, the Supplier must undertake any tests required by:</w:t>
      </w:r>
    </w:p>
    <w:p w:rsidR="00000000" w:rsidDel="00000000" w:rsidP="00000000" w:rsidRDefault="00000000" w:rsidRPr="00000000" w14:paraId="00000413">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Remediation Action Plan;</w:t>
      </w:r>
    </w:p>
    <w:p w:rsidR="00000000" w:rsidDel="00000000" w:rsidP="00000000" w:rsidRDefault="00000000" w:rsidRPr="00000000" w14:paraId="00000414">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ISO27001 Certification Requirements;</w:t>
      </w:r>
    </w:p>
    <w:p w:rsidR="00000000" w:rsidDel="00000000" w:rsidP="00000000" w:rsidRDefault="00000000" w:rsidRPr="00000000" w14:paraId="00000415">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Security Management Plan; and</w:t>
      </w:r>
    </w:p>
    <w:p w:rsidR="00000000" w:rsidDel="00000000" w:rsidP="00000000" w:rsidRDefault="00000000" w:rsidRPr="00000000" w14:paraId="00000416">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Buyer, following a Breach of Security or a significant change, as assessed by the Buyer, to the components or architecture of the Supplier Information Management System,</w:t>
      </w:r>
    </w:p>
    <w:p w:rsidR="00000000" w:rsidDel="00000000" w:rsidP="00000000" w:rsidRDefault="00000000" w:rsidRPr="00000000" w14:paraId="00000417">
      <w:pPr>
        <w:pStyle w:val="Heading3"/>
        <w:spacing w:after="120" w:before="120" w:lineRule="auto"/>
        <w:ind w:left="720" w:firstLine="720"/>
        <w:rPr>
          <w:sz w:val="24"/>
          <w:szCs w:val="24"/>
        </w:rPr>
      </w:pPr>
      <w:r w:rsidDel="00000000" w:rsidR="00000000" w:rsidRPr="00000000">
        <w:rPr>
          <w:sz w:val="24"/>
          <w:szCs w:val="24"/>
          <w:rtl w:val="0"/>
        </w:rPr>
        <w:t xml:space="preserve">(each a </w:t>
      </w:r>
      <w:r w:rsidDel="00000000" w:rsidR="00000000" w:rsidRPr="00000000">
        <w:rPr>
          <w:b w:val="1"/>
          <w:sz w:val="24"/>
          <w:szCs w:val="24"/>
          <w:rtl w:val="0"/>
        </w:rPr>
        <w:t xml:space="preserve">Supplier</w:t>
      </w:r>
      <w:r w:rsidDel="00000000" w:rsidR="00000000" w:rsidRPr="00000000">
        <w:rPr>
          <w:sz w:val="24"/>
          <w:szCs w:val="24"/>
          <w:rtl w:val="0"/>
        </w:rPr>
        <w:t xml:space="preserve"> </w:t>
      </w:r>
      <w:r w:rsidDel="00000000" w:rsidR="00000000" w:rsidRPr="00000000">
        <w:rPr>
          <w:b w:val="1"/>
          <w:sz w:val="24"/>
          <w:szCs w:val="24"/>
          <w:rtl w:val="0"/>
        </w:rPr>
        <w:t xml:space="preserve">Security Test</w:t>
      </w:r>
      <w:r w:rsidDel="00000000" w:rsidR="00000000" w:rsidRPr="00000000">
        <w:rPr>
          <w:sz w:val="24"/>
          <w:szCs w:val="24"/>
          <w:rtl w:val="0"/>
        </w:rPr>
        <w:t xml:space="preserve">).</w:t>
      </w:r>
    </w:p>
    <w:p w:rsidR="00000000" w:rsidDel="00000000" w:rsidP="00000000" w:rsidRDefault="00000000" w:rsidRPr="00000000" w14:paraId="00000418">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jrqqvtmtem6" w:id="127"/>
      <w:bookmarkEnd w:id="127"/>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w:t>
      </w:r>
    </w:p>
    <w:p w:rsidR="00000000" w:rsidDel="00000000" w:rsidP="00000000" w:rsidRDefault="00000000" w:rsidRPr="00000000" w14:paraId="00000419">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design and implement the Supplier Security Tests so as to minimise the impact on the delivery of the Services;</w:t>
      </w:r>
    </w:p>
    <w:p w:rsidR="00000000" w:rsidDel="00000000" w:rsidP="00000000" w:rsidRDefault="00000000" w:rsidRPr="00000000" w14:paraId="0000041A">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agree the date, timing, content and conduct of such Supplier Security Tests in advance with the Buyer.</w:t>
      </w:r>
    </w:p>
    <w:p w:rsidR="00000000" w:rsidDel="00000000" w:rsidP="00000000" w:rsidRDefault="00000000" w:rsidRPr="00000000" w14:paraId="0000041B">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 the Supplier fully complies with Paragraph 12.4, if a Supplier Security Test causes a Performance Failure in a particular Measurement Period, the Supplier shall be entitled to relief in respect of such Performance Failure for that Measurement Period.</w:t>
      </w:r>
    </w:p>
    <w:p w:rsidR="00000000" w:rsidDel="00000000" w:rsidP="00000000" w:rsidRDefault="00000000" w:rsidRPr="00000000" w14:paraId="0000041C">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Buyer may send a representative to witness the conduct of the Supplier Security Tests. </w:t>
      </w:r>
    </w:p>
    <w:p w:rsidR="00000000" w:rsidDel="00000000" w:rsidP="00000000" w:rsidRDefault="00000000" w:rsidRPr="00000000" w14:paraId="0000041D">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shall provide the Buyer with a full, unedited and unredacted copy of the results of such Security Tests (in a form approved by the Buyer in advance) as soon as practicable, and in any case within ten Working Days, after completion of each Supplier Security Test</w:t>
      </w:r>
    </w:p>
    <w:p w:rsidR="00000000" w:rsidDel="00000000" w:rsidP="00000000" w:rsidRDefault="00000000" w:rsidRPr="00000000" w14:paraId="0000041E">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9swv5ut5kjkn" w:id="128"/>
      <w:bookmarkEnd w:id="128"/>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IT Health Checks</w:t>
      </w:r>
    </w:p>
    <w:p w:rsidR="00000000" w:rsidDel="00000000" w:rsidP="00000000" w:rsidRDefault="00000000" w:rsidRPr="00000000" w14:paraId="0000041F">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y084xaoivk9h" w:id="129"/>
      <w:bookmarkEnd w:id="129"/>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arranging an IT Health Check, the Supplier must:</w:t>
      </w:r>
    </w:p>
    <w:p w:rsidR="00000000" w:rsidDel="00000000" w:rsidP="00000000" w:rsidRDefault="00000000" w:rsidRPr="00000000" w14:paraId="00000420">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use only a CHECK Service Provider to perform the IT Health Check;</w:t>
      </w:r>
    </w:p>
    <w:p w:rsidR="00000000" w:rsidDel="00000000" w:rsidP="00000000" w:rsidRDefault="00000000" w:rsidRPr="00000000" w14:paraId="00000421">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vc77gqm2q2jy" w:id="130"/>
      <w:bookmarkEnd w:id="130"/>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ensure that the CHECK Service Provider uses a qualified CHECK Team Leader and CHECK Team Members to perform the IT Health Check;</w:t>
      </w:r>
    </w:p>
    <w:p w:rsidR="00000000" w:rsidDel="00000000" w:rsidP="00000000" w:rsidRDefault="00000000" w:rsidRPr="00000000" w14:paraId="00000422">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design and plan for the IT Health Check so as to minimise the impact of the IT Health Check on the Supplier Information Management System and the delivery of the Services.</w:t>
      </w:r>
    </w:p>
    <w:p w:rsidR="00000000" w:rsidDel="00000000" w:rsidP="00000000" w:rsidRDefault="00000000" w:rsidRPr="00000000" w14:paraId="00000423">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promptly provide the Buyer with such technical and other information relating to the Information Management System as the Buyer requests;</w:t>
      </w:r>
    </w:p>
    <w:p w:rsidR="00000000" w:rsidDel="00000000" w:rsidP="00000000" w:rsidRDefault="00000000" w:rsidRPr="00000000" w14:paraId="00000424">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include within the scope of the IT Health Check such tests as the Buyer requires;</w:t>
      </w:r>
    </w:p>
    <w:p w:rsidR="00000000" w:rsidDel="00000000" w:rsidP="00000000" w:rsidRDefault="00000000" w:rsidRPr="00000000" w14:paraId="00000425">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agree with the Buyer the scope, aim and timing of the IT Health Check.</w:t>
      </w:r>
    </w:p>
    <w:p w:rsidR="00000000" w:rsidDel="00000000" w:rsidP="00000000" w:rsidRDefault="00000000" w:rsidRPr="00000000" w14:paraId="00000426">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 commission the IT Health Check in accordance with the scope, aim and timing agreed by the Buyer.</w:t>
      </w:r>
    </w:p>
    <w:p w:rsidR="00000000" w:rsidDel="00000000" w:rsidP="00000000" w:rsidRDefault="00000000" w:rsidRPr="00000000" w14:paraId="00000427">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7x5k2925wsu" w:id="131"/>
      <w:bookmarkEnd w:id="131"/>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Following completion of an IT Health Check, the Supplier must provide the Buyer with a full, unedited and unredacted copy of the report relating to the IT Health Check without delay and in any event within ten Working Days of its receipt by the Supplier.</w:t>
      </w:r>
    </w:p>
    <w:p w:rsidR="00000000" w:rsidDel="00000000" w:rsidP="00000000" w:rsidRDefault="00000000" w:rsidRPr="00000000" w14:paraId="00000428">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h3z336na9eha" w:id="132"/>
      <w:bookmarkEnd w:id="132"/>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Remedying vulnerabilities</w:t>
      </w:r>
    </w:p>
    <w:p w:rsidR="00000000" w:rsidDel="00000000" w:rsidP="00000000" w:rsidRDefault="00000000" w:rsidRPr="00000000" w14:paraId="00000429">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l15fnbf1d7r2" w:id="133"/>
      <w:bookmarkEnd w:id="133"/>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addition to complying with Paragraphs 12.13 to 12.21, the Supplier must remedy:</w:t>
      </w:r>
    </w:p>
    <w:p w:rsidR="00000000" w:rsidDel="00000000" w:rsidP="00000000" w:rsidRDefault="00000000" w:rsidRPr="00000000" w14:paraId="0000042A">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vulnerabilities classified as critical in a Security Test report within five Working Days of becoming aware of the vulnerability and its classification;</w:t>
      </w:r>
    </w:p>
    <w:p w:rsidR="00000000" w:rsidDel="00000000" w:rsidP="00000000" w:rsidRDefault="00000000" w:rsidRPr="00000000" w14:paraId="0000042B">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vulnerabilities classified as high in a Security Test report within one month of becoming aware of the vulnerability and its classification; and</w:t>
      </w:r>
    </w:p>
    <w:p w:rsidR="00000000" w:rsidDel="00000000" w:rsidP="00000000" w:rsidRDefault="00000000" w:rsidRPr="00000000" w14:paraId="0000042C">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vulnerabilities classified as medium in a Security Test report within three months of becoming aware of the vulnerability and its classification.</w:t>
      </w:r>
    </w:p>
    <w:p w:rsidR="00000000" w:rsidDel="00000000" w:rsidP="00000000" w:rsidRDefault="00000000" w:rsidRPr="00000000" w14:paraId="0000042D">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 notify the Buyer immediately if it does not, or considers it will not be able to, remedy the vulnerabilities classified as critical, high or medium in a Security Test report within the time periods specified in Paragraph 12.11.</w:t>
      </w:r>
    </w:p>
    <w:p w:rsidR="00000000" w:rsidDel="00000000" w:rsidP="00000000" w:rsidRDefault="00000000" w:rsidRPr="00000000" w14:paraId="0000042E">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ywf4ekk3ew3z" w:id="134"/>
      <w:bookmarkEnd w:id="134"/>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Responding to a Security Test report</w:t>
      </w:r>
    </w:p>
    <w:p w:rsidR="00000000" w:rsidDel="00000000" w:rsidP="00000000" w:rsidRDefault="00000000" w:rsidRPr="00000000" w14:paraId="0000042F">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thbucdyw1qd" w:id="135"/>
      <w:bookmarkEnd w:id="135"/>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 the Security Test report identifies vulnerabilities in, or makes findings in respect of, the Supplier Information Management System, the Supplier must within [</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20</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Working Days of receiving the Security Test report, prepare and submit for approval to the Buyer a draft plan addressing the vulnerabilities and findings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Remediation Action Plan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30">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y92sy5oa7gy1" w:id="136"/>
      <w:bookmarkEnd w:id="136"/>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 the Buyer has commissioned a root cause analysis under Paragraph 12.21, the Supplier shall ensure that the draft Remediation Action Plan addresses that analysis.</w:t>
      </w:r>
    </w:p>
    <w:p w:rsidR="00000000" w:rsidDel="00000000" w:rsidP="00000000" w:rsidRDefault="00000000" w:rsidRPr="00000000" w14:paraId="00000431">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z9ganthmkgm8" w:id="137"/>
      <w:bookmarkEnd w:id="137"/>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draft Remediation Action Plan must, in respect of each vulnerability identified or finding made by the Security Test report:</w:t>
      </w:r>
    </w:p>
    <w:p w:rsidR="00000000" w:rsidDel="00000000" w:rsidP="00000000" w:rsidRDefault="00000000" w:rsidRPr="00000000" w14:paraId="00000432">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how the vulnerability or finding will be remedied;</w:t>
      </w:r>
    </w:p>
    <w:p w:rsidR="00000000" w:rsidDel="00000000" w:rsidP="00000000" w:rsidRDefault="00000000" w:rsidRPr="00000000" w14:paraId="00000433">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date by which the vulnerability or finding will be remedied; and</w:t>
      </w:r>
    </w:p>
    <w:p w:rsidR="00000000" w:rsidDel="00000000" w:rsidP="00000000" w:rsidRDefault="00000000" w:rsidRPr="00000000" w14:paraId="00000434">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tests that the Supplier proposes to perform to confirm that the vulnerability has been remedied or the finding addressed.</w:t>
      </w:r>
    </w:p>
    <w:p w:rsidR="00000000" w:rsidDel="00000000" w:rsidP="00000000" w:rsidRDefault="00000000" w:rsidRPr="00000000" w14:paraId="00000435">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4pqfu72zptwz" w:id="138"/>
      <w:bookmarkEnd w:id="138"/>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shall promptly provide the Buyer with such technical and other information relating to the Supplier Information Management System, the IT Health Check report or the draft Remediation Action Plan as the Buyer requests.</w:t>
      </w:r>
    </w:p>
    <w:p w:rsidR="00000000" w:rsidDel="00000000" w:rsidP="00000000" w:rsidRDefault="00000000" w:rsidRPr="00000000" w14:paraId="00000436">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kaekujw20fsb" w:id="139"/>
      <w:bookmarkEnd w:id="139"/>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Buyer may:</w:t>
      </w:r>
    </w:p>
    <w:p w:rsidR="00000000" w:rsidDel="00000000" w:rsidP="00000000" w:rsidRDefault="00000000" w:rsidRPr="00000000" w14:paraId="00000437">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reject the draft Remediation Action Plan where it considers that the draft Remediation Action Plan is inadequate, providing its reasons for doing so, in which case:</w:t>
      </w:r>
    </w:p>
    <w:p w:rsidR="00000000" w:rsidDel="00000000" w:rsidP="00000000" w:rsidRDefault="00000000" w:rsidRPr="00000000" w14:paraId="00000438">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shall within ten Working Days of the date on which the Buyer rejected the draft Remediation Action Plan submit a revised draft Remediation Action Plan that takes into account the Buyer’s reasons; and</w:t>
      </w:r>
    </w:p>
    <w:p w:rsidR="00000000" w:rsidDel="00000000" w:rsidP="00000000" w:rsidRDefault="00000000" w:rsidRPr="00000000" w14:paraId="00000439">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Paragraph 12.15 to 12.17 shall apply, with appropriate modifications, to the revised draft Remediation Action Plan;</w:t>
      </w:r>
    </w:p>
    <w:p w:rsidR="00000000" w:rsidDel="00000000" w:rsidP="00000000" w:rsidRDefault="00000000" w:rsidRPr="00000000" w14:paraId="0000043A">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accept the draft Remediation Action Plan, in which case the Supplier must immediately start work on implementing the Remediation Action Plan in accordance with Paragraph 12.19 and 12.20.</w:t>
      </w:r>
    </w:p>
    <w:p w:rsidR="00000000" w:rsidDel="00000000" w:rsidP="00000000" w:rsidRDefault="00000000" w:rsidRPr="00000000" w14:paraId="0000043B">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 the Buyer unreasonably:</w:t>
      </w:r>
    </w:p>
    <w:p w:rsidR="00000000" w:rsidDel="00000000" w:rsidP="00000000" w:rsidRDefault="00000000" w:rsidRPr="00000000" w14:paraId="0000043C">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delays its approval; or</w:t>
      </w:r>
    </w:p>
    <w:p w:rsidR="00000000" w:rsidDel="00000000" w:rsidP="00000000" w:rsidRDefault="00000000" w:rsidRPr="00000000" w14:paraId="0000043D">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rejects,</w:t>
      </w:r>
    </w:p>
    <w:p w:rsidR="00000000" w:rsidDel="00000000" w:rsidP="00000000" w:rsidRDefault="00000000" w:rsidRPr="00000000" w14:paraId="0000043E">
      <w:pPr>
        <w:pStyle w:val="Heading3"/>
        <w:keepNext w:val="1"/>
        <w:spacing w:after="120" w:before="120" w:lineRule="auto"/>
        <w:ind w:left="720" w:firstLine="720"/>
        <w:rPr>
          <w:sz w:val="24"/>
          <w:szCs w:val="24"/>
        </w:rPr>
      </w:pPr>
      <w:r w:rsidDel="00000000" w:rsidR="00000000" w:rsidRPr="00000000">
        <w:rPr>
          <w:sz w:val="24"/>
          <w:szCs w:val="24"/>
          <w:rtl w:val="0"/>
        </w:rPr>
        <w:t xml:space="preserve">the draft Remediation Action Plan, the Supplier will not be in breach of the Contract to the extent it demonstrates that any breach:</w:t>
      </w:r>
    </w:p>
    <w:p w:rsidR="00000000" w:rsidDel="00000000" w:rsidP="00000000" w:rsidRDefault="00000000" w:rsidRPr="00000000" w14:paraId="0000043F">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arose directly from the Buyer unreasonably withholding or delaying, as appropriate, its approval of the draft Remediation Action Plan; and</w:t>
      </w:r>
    </w:p>
    <w:p w:rsidR="00000000" w:rsidDel="00000000" w:rsidP="00000000" w:rsidRDefault="00000000" w:rsidRPr="00000000" w14:paraId="00000440">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would not have occurred had:</w:t>
      </w:r>
    </w:p>
    <w:p w:rsidR="00000000" w:rsidDel="00000000" w:rsidP="00000000" w:rsidRDefault="00000000" w:rsidRPr="00000000" w14:paraId="00000441">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Buyer given its approval, or given its approval in a timely manner, to the draft Remediation Action Plan; and</w:t>
      </w:r>
    </w:p>
    <w:p w:rsidR="00000000" w:rsidDel="00000000" w:rsidP="00000000" w:rsidRDefault="00000000" w:rsidRPr="00000000" w14:paraId="00000442">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had implemented the draft Remediation Action Plan in accordance with its terms.</w:t>
      </w:r>
    </w:p>
    <w:p w:rsidR="00000000" w:rsidDel="00000000" w:rsidP="00000000" w:rsidRDefault="00000000" w:rsidRPr="00000000" w14:paraId="00000443">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7yiv5fihq09r" w:id="140"/>
      <w:bookmarkEnd w:id="140"/>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Implementing an approved Remediation Action Plan</w:t>
      </w:r>
    </w:p>
    <w:p w:rsidR="00000000" w:rsidDel="00000000" w:rsidP="00000000" w:rsidRDefault="00000000" w:rsidRPr="00000000" w14:paraId="00000444">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j9oz7pgisqdb" w:id="141"/>
      <w:bookmarkEnd w:id="141"/>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implementing the Remediation Action Plan, the Supplier must conduct such further tests on the Supplier Information Management System as are required by the Remediation Action Plan to confirm that the Remediation Action Plan has fully and correctly implemented.</w:t>
      </w:r>
    </w:p>
    <w:p w:rsidR="00000000" w:rsidDel="00000000" w:rsidP="00000000" w:rsidRDefault="00000000" w:rsidRPr="00000000" w14:paraId="00000445">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9sif0g8h9ze6" w:id="142"/>
      <w:bookmarkEnd w:id="142"/>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any such testing identifies a new risk, new threat, vulnerability or exploitation technique with the potential to affect the security of the Supplier Information Management System, the Supplier shall within two Working Days of becoming aware of such risk, threat, vulnerability or exploitation technique:</w:t>
      </w:r>
    </w:p>
    <w:p w:rsidR="00000000" w:rsidDel="00000000" w:rsidP="00000000" w:rsidRDefault="00000000" w:rsidRPr="00000000" w14:paraId="00000446">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provide the Buyer with a full, unedited and unredacted copy of the test report;</w:t>
      </w:r>
    </w:p>
    <w:p w:rsidR="00000000" w:rsidDel="00000000" w:rsidP="00000000" w:rsidRDefault="00000000" w:rsidRPr="00000000" w14:paraId="00000447">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implement interim mitigation measures to vulnerabilities in the Information System known to be exploitable where a security patch is not immediately available;</w:t>
      </w:r>
    </w:p>
    <w:p w:rsidR="00000000" w:rsidDel="00000000" w:rsidP="00000000" w:rsidRDefault="00000000" w:rsidRPr="00000000" w14:paraId="00000448">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far as practicable, remove or disable any extraneous interfaces, services or capabilities not needed for the provision of the Services within the timescales set out in the test report or such other timescales as may be agreed with the Buyer.</w:t>
      </w:r>
    </w:p>
    <w:p w:rsidR="00000000" w:rsidDel="00000000" w:rsidP="00000000" w:rsidRDefault="00000000" w:rsidRPr="00000000" w14:paraId="00000449">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2j6yngqrpbln" w:id="143"/>
      <w:bookmarkEnd w:id="143"/>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Significant vulnerabilities</w:t>
      </w:r>
    </w:p>
    <w:p w:rsidR="00000000" w:rsidDel="00000000" w:rsidP="00000000" w:rsidRDefault="00000000" w:rsidRPr="00000000" w14:paraId="0000044A">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x62wy3crsf9" w:id="144"/>
      <w:bookmarkEnd w:id="144"/>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w:t>
      </w:r>
    </w:p>
    <w:p w:rsidR="00000000" w:rsidDel="00000000" w:rsidP="00000000" w:rsidRDefault="00000000" w:rsidRPr="00000000" w14:paraId="0000044B">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Security Test report identifies more than 10 vulnerabilities classified as either critical or high; or</w:t>
      </w:r>
    </w:p>
    <w:p w:rsidR="00000000" w:rsidDel="00000000" w:rsidP="00000000" w:rsidRDefault="00000000" w:rsidRPr="00000000" w14:paraId="0000044C">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Buyer rejected a revised draft Remediation Action Plan,</w:t>
      </w:r>
    </w:p>
    <w:p w:rsidR="00000000" w:rsidDel="00000000" w:rsidP="00000000" w:rsidRDefault="00000000" w:rsidRPr="00000000" w14:paraId="0000044D">
      <w:pPr>
        <w:pStyle w:val="Heading3"/>
        <w:keepNext w:val="1"/>
        <w:spacing w:after="120" w:before="120" w:lineRule="auto"/>
        <w:ind w:left="720" w:firstLine="720"/>
        <w:rPr>
          <w:sz w:val="24"/>
          <w:szCs w:val="24"/>
        </w:rPr>
      </w:pPr>
      <w:r w:rsidDel="00000000" w:rsidR="00000000" w:rsidRPr="00000000">
        <w:rPr>
          <w:sz w:val="24"/>
          <w:szCs w:val="24"/>
          <w:rtl w:val="0"/>
        </w:rPr>
        <w:t xml:space="preserve">the Buyer may, at the Supplier’s cost, either:</w:t>
      </w:r>
    </w:p>
    <w:p w:rsidR="00000000" w:rsidDel="00000000" w:rsidP="00000000" w:rsidRDefault="00000000" w:rsidRPr="00000000" w14:paraId="0000044E">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appoint an independent and appropriately qualified and experienced security architect and adviser to perform a root cause analysis of the identified vulnerabilities; or</w:t>
      </w:r>
    </w:p>
    <w:p w:rsidR="00000000" w:rsidDel="00000000" w:rsidP="00000000" w:rsidRDefault="00000000" w:rsidRPr="00000000" w14:paraId="0000044F">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give notice to the Supplier requiring the appointment as soon as reasonably practicable, and in any event within ten Working Days, of an Independent Security Adviser.</w:t>
      </w:r>
    </w:p>
    <w:p w:rsidR="00000000" w:rsidDel="00000000" w:rsidP="00000000" w:rsidRDefault="00000000" w:rsidRPr="00000000" w14:paraId="00000450">
      <w:pPr>
        <w:keepNext w:val="1"/>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Access Control</w:t>
      </w:r>
    </w:p>
    <w:p w:rsidR="00000000" w:rsidDel="00000000" w:rsidP="00000000" w:rsidRDefault="00000000" w:rsidRPr="00000000" w14:paraId="00000451">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z3j4n7goq9mc" w:id="145"/>
      <w:bookmarkEnd w:id="145"/>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 and must ensure that all Sub-contractors: </w:t>
      </w:r>
    </w:p>
    <w:p w:rsidR="00000000" w:rsidDel="00000000" w:rsidP="00000000" w:rsidRDefault="00000000" w:rsidRPr="00000000" w14:paraId="00000452">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identify and authenticate all persons who access the Supplier Information Management System and Sites before they do so;</w:t>
      </w:r>
    </w:p>
    <w:p w:rsidR="00000000" w:rsidDel="00000000" w:rsidP="00000000" w:rsidRDefault="00000000" w:rsidRPr="00000000" w14:paraId="00000453">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require multi-factor authentication for all user accounts that have access to Government Data or that are Privileged Users;</w:t>
      </w:r>
    </w:p>
    <w:p w:rsidR="00000000" w:rsidDel="00000000" w:rsidP="00000000" w:rsidRDefault="00000000" w:rsidRPr="00000000" w14:paraId="00000454">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allow access only to those parts of the Supplier Information Management System and Sites that those persons require;</w:t>
      </w:r>
    </w:p>
    <w:p w:rsidR="00000000" w:rsidDel="00000000" w:rsidP="00000000" w:rsidRDefault="00000000" w:rsidRPr="00000000" w14:paraId="00000455">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maintain records detailing each person’s access to the Supplier Information Management System and Sites, and make those records available to the Buyer on request.</w:t>
      </w:r>
    </w:p>
    <w:p w:rsidR="00000000" w:rsidDel="00000000" w:rsidP="00000000" w:rsidRDefault="00000000" w:rsidRPr="00000000" w14:paraId="00000456">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 ensure, and must ensure that all Sub-contractors ensure, that the user accounts for Privileged Users of the Supplier Information Management System:</w:t>
      </w:r>
    </w:p>
    <w:p w:rsidR="00000000" w:rsidDel="00000000" w:rsidP="00000000" w:rsidRDefault="00000000" w:rsidRPr="00000000" w14:paraId="00000457">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are allocated to a single, individual user;</w:t>
      </w:r>
    </w:p>
    <w:p w:rsidR="00000000" w:rsidDel="00000000" w:rsidP="00000000" w:rsidRDefault="00000000" w:rsidRPr="00000000" w14:paraId="00000458">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are accessible only from dedicated End-user Devices;</w:t>
      </w:r>
    </w:p>
    <w:p w:rsidR="00000000" w:rsidDel="00000000" w:rsidP="00000000" w:rsidRDefault="00000000" w:rsidRPr="00000000" w14:paraId="00000459">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are configured so that those accounts can only be used for system administration tasks;</w:t>
      </w:r>
    </w:p>
    <w:p w:rsidR="00000000" w:rsidDel="00000000" w:rsidP="00000000" w:rsidRDefault="00000000" w:rsidRPr="00000000" w14:paraId="0000045A">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require passwords with high complexity that are changed regularly;</w:t>
      </w:r>
    </w:p>
    <w:p w:rsidR="00000000" w:rsidDel="00000000" w:rsidP="00000000" w:rsidRDefault="00000000" w:rsidRPr="00000000" w14:paraId="0000045B">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automatically log the user out of the Supplier Information Management System after a period of time that is proportionate to the risk environment during which the account is inactive; and</w:t>
      </w:r>
    </w:p>
    <w:p w:rsidR="00000000" w:rsidDel="00000000" w:rsidP="00000000" w:rsidRDefault="00000000" w:rsidRPr="00000000" w14:paraId="0000045C">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are:</w:t>
      </w:r>
    </w:p>
    <w:p w:rsidR="00000000" w:rsidDel="00000000" w:rsidP="00000000" w:rsidRDefault="00000000" w:rsidRPr="00000000" w14:paraId="0000045D">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restricted to a single role or small number of roles;</w:t>
      </w:r>
    </w:p>
    <w:p w:rsidR="00000000" w:rsidDel="00000000" w:rsidP="00000000" w:rsidRDefault="00000000" w:rsidRPr="00000000" w14:paraId="0000045E">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time limited; and</w:t>
      </w:r>
    </w:p>
    <w:p w:rsidR="00000000" w:rsidDel="00000000" w:rsidP="00000000" w:rsidRDefault="00000000" w:rsidRPr="00000000" w14:paraId="0000045F">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restrict the Privileged User’s access to the internet.</w:t>
      </w:r>
    </w:p>
    <w:p w:rsidR="00000000" w:rsidDel="00000000" w:rsidP="00000000" w:rsidRDefault="00000000" w:rsidRPr="00000000" w14:paraId="00000460">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 ensure, and must ensure that all Sub-contractors ensure, that it logs all activity of the Privileged Users while those users access those accounts and keeps the activity logs for 20 Working Days before deletion.</w:t>
      </w:r>
    </w:p>
    <w:p w:rsidR="00000000" w:rsidDel="00000000" w:rsidP="00000000" w:rsidRDefault="00000000" w:rsidRPr="00000000" w14:paraId="00000461">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4re3boi3492t" w:id="146"/>
      <w:bookmarkEnd w:id="146"/>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 require, and must ensure that all Sub-contractors require, that Privileged Users use unique and substantially different high -complexity passwords for their different accounts on the Supplier Information Management System.</w:t>
      </w:r>
    </w:p>
    <w:p w:rsidR="00000000" w:rsidDel="00000000" w:rsidP="00000000" w:rsidRDefault="00000000" w:rsidRPr="00000000" w14:paraId="00000462">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 and must ensure that all Sub-contractors:</w:t>
      </w:r>
    </w:p>
    <w:p w:rsidR="00000000" w:rsidDel="00000000" w:rsidP="00000000" w:rsidRDefault="00000000" w:rsidRPr="00000000" w14:paraId="00000463">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configure any hardware that forms part of the Supplier Information Management System that is capable of requiring a password before it is accessed to require a password; and</w:t>
      </w:r>
    </w:p>
    <w:p w:rsidR="00000000" w:rsidDel="00000000" w:rsidP="00000000" w:rsidRDefault="00000000" w:rsidRPr="00000000" w14:paraId="00000464">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change the default password of that hardware to a password of high complexity that is substantially different from the password required to access similar hardware.</w:t>
      </w:r>
    </w:p>
    <w:p w:rsidR="00000000" w:rsidDel="00000000" w:rsidP="00000000" w:rsidRDefault="00000000" w:rsidRPr="00000000" w14:paraId="00000465">
      <w:pPr>
        <w:keepNext w:val="1"/>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r2xnfowip7fv" w:id="147"/>
      <w:bookmarkEnd w:id="147"/>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Event logging and protective monitoring</w:t>
      </w:r>
    </w:p>
    <w:p w:rsidR="00000000" w:rsidDel="00000000" w:rsidP="00000000" w:rsidRDefault="00000000" w:rsidRPr="00000000" w14:paraId="00000466">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Protective Monitoring System</w:t>
      </w:r>
    </w:p>
    <w:p w:rsidR="00000000" w:rsidDel="00000000" w:rsidP="00000000" w:rsidRDefault="00000000" w:rsidRPr="00000000" w14:paraId="00000467">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1v6h6mixcxow" w:id="148"/>
      <w:bookmarkEnd w:id="148"/>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 and must ensure that Sub-contractors, implement an effective system of monitoring and reports, analysing access to and use of the Supplier Information Management System, the Development Environment, the Government Data and the Code to:</w:t>
      </w:r>
    </w:p>
    <w:p w:rsidR="00000000" w:rsidDel="00000000" w:rsidP="00000000" w:rsidRDefault="00000000" w:rsidRPr="00000000" w14:paraId="00000468">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identify and prevent potential Breaches of Security;</w:t>
      </w:r>
    </w:p>
    <w:p w:rsidR="00000000" w:rsidDel="00000000" w:rsidP="00000000" w:rsidRDefault="00000000" w:rsidRPr="00000000" w14:paraId="00000469">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respond effectively and in a timely manner to Breaches of Security that do occur;</w:t>
      </w:r>
    </w:p>
    <w:p w:rsidR="00000000" w:rsidDel="00000000" w:rsidP="00000000" w:rsidRDefault="00000000" w:rsidRPr="00000000" w14:paraId="0000046A">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identify and implement changes to the Supplier Information Management System to prevent future Breaches of Security; and</w:t>
      </w:r>
    </w:p>
    <w:p w:rsidR="00000000" w:rsidDel="00000000" w:rsidP="00000000" w:rsidRDefault="00000000" w:rsidRPr="00000000" w14:paraId="0000046B">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help detect and prevent any potential criminal offence relating to fraud, bribery or corruption using the Supplier Information Management System,</w:t>
      </w:r>
    </w:p>
    <w:p w:rsidR="00000000" w:rsidDel="00000000" w:rsidP="00000000" w:rsidRDefault="00000000" w:rsidRPr="00000000" w14:paraId="0000046C">
      <w:pPr>
        <w:pStyle w:val="Heading3"/>
        <w:spacing w:after="120" w:before="120" w:lineRule="auto"/>
        <w:ind w:left="720" w:firstLine="720"/>
        <w:rPr>
          <w:sz w:val="24"/>
          <w:szCs w:val="24"/>
        </w:rPr>
      </w:pPr>
      <w:r w:rsidDel="00000000" w:rsidR="00000000" w:rsidRPr="00000000">
        <w:rPr>
          <w:sz w:val="24"/>
          <w:szCs w:val="24"/>
          <w:rtl w:val="0"/>
        </w:rPr>
        <w:t xml:space="preserve">(</w:t>
      </w:r>
      <w:r w:rsidDel="00000000" w:rsidR="00000000" w:rsidRPr="00000000">
        <w:rPr>
          <w:b w:val="1"/>
          <w:sz w:val="24"/>
          <w:szCs w:val="24"/>
          <w:rtl w:val="0"/>
        </w:rPr>
        <w:t xml:space="preserve">Protective Monitoring System</w:t>
      </w:r>
      <w:r w:rsidDel="00000000" w:rsidR="00000000" w:rsidRPr="00000000">
        <w:rPr>
          <w:sz w:val="24"/>
          <w:szCs w:val="24"/>
          <w:rtl w:val="0"/>
        </w:rPr>
        <w:t xml:space="preserve">).</w:t>
      </w:r>
    </w:p>
    <w:p w:rsidR="00000000" w:rsidDel="00000000" w:rsidP="00000000" w:rsidRDefault="00000000" w:rsidRPr="00000000" w14:paraId="0000046D">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Protective Monitoring System must provide for:</w:t>
      </w:r>
    </w:p>
    <w:p w:rsidR="00000000" w:rsidDel="00000000" w:rsidP="00000000" w:rsidRDefault="00000000" w:rsidRPr="00000000" w14:paraId="0000046E">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event logs and audit records of access to the Supplier Information Management system; and</w:t>
      </w:r>
    </w:p>
    <w:p w:rsidR="00000000" w:rsidDel="00000000" w:rsidP="00000000" w:rsidRDefault="00000000" w:rsidRPr="00000000" w14:paraId="0000046F">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regular reports and alerts to identify:</w:t>
      </w:r>
    </w:p>
    <w:p w:rsidR="00000000" w:rsidDel="00000000" w:rsidP="00000000" w:rsidRDefault="00000000" w:rsidRPr="00000000" w14:paraId="00000470">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changing access trends;</w:t>
      </w:r>
    </w:p>
    <w:p w:rsidR="00000000" w:rsidDel="00000000" w:rsidP="00000000" w:rsidRDefault="00000000" w:rsidRPr="00000000" w14:paraId="00000471">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unusual usage patterns; or</w:t>
      </w:r>
    </w:p>
    <w:p w:rsidR="00000000" w:rsidDel="00000000" w:rsidP="00000000" w:rsidRDefault="00000000" w:rsidRPr="00000000" w14:paraId="00000472">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access of greater than usual volumes of Government Data;</w:t>
      </w:r>
    </w:p>
    <w:p w:rsidR="00000000" w:rsidDel="00000000" w:rsidP="00000000" w:rsidRDefault="00000000" w:rsidRPr="00000000" w14:paraId="00000473">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detection and prevention of any attack on the Supplier Information Management System or the Development Environment using common cyber-attack techniques;</w:t>
      </w:r>
    </w:p>
    <w:p w:rsidR="00000000" w:rsidDel="00000000" w:rsidP="00000000" w:rsidRDefault="00000000" w:rsidRPr="00000000" w14:paraId="00000474">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other matters required by the Security Management Plan.</w:t>
      </w:r>
    </w:p>
    <w:p w:rsidR="00000000" w:rsidDel="00000000" w:rsidP="00000000" w:rsidRDefault="00000000" w:rsidRPr="00000000" w14:paraId="00000475">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Event logs</w:t>
      </w:r>
    </w:p>
    <w:p w:rsidR="00000000" w:rsidDel="00000000" w:rsidP="00000000" w:rsidRDefault="00000000" w:rsidRPr="00000000" w14:paraId="00000476">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 ensure that, unless the Buyer otherwise agrees, any event logs do not log:</w:t>
      </w:r>
    </w:p>
    <w:p w:rsidR="00000000" w:rsidDel="00000000" w:rsidP="00000000" w:rsidRDefault="00000000" w:rsidRPr="00000000" w14:paraId="00000477">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personal data, other than identifiers relating to users; or</w:t>
      </w:r>
    </w:p>
    <w:p w:rsidR="00000000" w:rsidDel="00000000" w:rsidP="00000000" w:rsidRDefault="00000000" w:rsidRPr="00000000" w14:paraId="00000478">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sensitive data, such as credentials or security keys.</w:t>
      </w:r>
    </w:p>
    <w:p w:rsidR="00000000" w:rsidDel="00000000" w:rsidP="00000000" w:rsidRDefault="00000000" w:rsidRPr="00000000" w14:paraId="00000479">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Provision of information to Buyer</w:t>
      </w:r>
    </w:p>
    <w:p w:rsidR="00000000" w:rsidDel="00000000" w:rsidP="00000000" w:rsidRDefault="00000000" w:rsidRPr="00000000" w14:paraId="0000047A">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 provide the Buyer on request with:</w:t>
      </w:r>
    </w:p>
    <w:p w:rsidR="00000000" w:rsidDel="00000000" w:rsidP="00000000" w:rsidRDefault="00000000" w:rsidRPr="00000000" w14:paraId="0000047B">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full details of the Protective Monitoring System it has implemented; and</w:t>
      </w:r>
    </w:p>
    <w:p w:rsidR="00000000" w:rsidDel="00000000" w:rsidP="00000000" w:rsidRDefault="00000000" w:rsidRPr="00000000" w14:paraId="0000047C">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copies of monitoring logs and reports prepared as part of the Protective Monitoring System.</w:t>
      </w:r>
    </w:p>
    <w:p w:rsidR="00000000" w:rsidDel="00000000" w:rsidP="00000000" w:rsidRDefault="00000000" w:rsidRPr="00000000" w14:paraId="0000047D">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Changes to Protective Monitoring System</w:t>
      </w:r>
    </w:p>
    <w:p w:rsidR="00000000" w:rsidDel="00000000" w:rsidP="00000000" w:rsidRDefault="00000000" w:rsidRPr="00000000" w14:paraId="0000047E">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Buyer may at any time require the Supplier to update the Protective Monitoring System to:</w:t>
      </w:r>
    </w:p>
    <w:p w:rsidR="00000000" w:rsidDel="00000000" w:rsidP="00000000" w:rsidRDefault="00000000" w:rsidRPr="00000000" w14:paraId="0000047F">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respond to a specific threat identified by the Buyer;</w:t>
      </w:r>
    </w:p>
    <w:p w:rsidR="00000000" w:rsidDel="00000000" w:rsidP="00000000" w:rsidRDefault="00000000" w:rsidRPr="00000000" w14:paraId="00000480">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implement additional audit and monitoring requirements; and </w:t>
      </w:r>
    </w:p>
    <w:p w:rsidR="00000000" w:rsidDel="00000000" w:rsidP="00000000" w:rsidRDefault="00000000" w:rsidRPr="00000000" w14:paraId="00000481">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stream any specified event logs to the Buyer’s security information and event management system.</w:t>
      </w:r>
    </w:p>
    <w:p w:rsidR="00000000" w:rsidDel="00000000" w:rsidP="00000000" w:rsidRDefault="00000000" w:rsidRPr="00000000" w14:paraId="00000482">
      <w:pPr>
        <w:keepNext w:val="1"/>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m468hvji7oic" w:id="149"/>
      <w:bookmarkEnd w:id="149"/>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Audit rights</w:t>
      </w:r>
    </w:p>
    <w:p w:rsidR="00000000" w:rsidDel="00000000" w:rsidP="00000000" w:rsidRDefault="00000000" w:rsidRPr="00000000" w14:paraId="00000483">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Right of audit</w:t>
      </w:r>
    </w:p>
    <w:p w:rsidR="00000000" w:rsidDel="00000000" w:rsidP="00000000" w:rsidRDefault="00000000" w:rsidRPr="00000000" w14:paraId="00000484">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p2pun1w1l2nx" w:id="150"/>
      <w:bookmarkEnd w:id="150"/>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Buyer may undertake an audit of the Supplier or any Sub-contractor to:</w:t>
      </w:r>
    </w:p>
    <w:p w:rsidR="00000000" w:rsidDel="00000000" w:rsidP="00000000" w:rsidRDefault="00000000" w:rsidRPr="00000000" w14:paraId="00000485">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verify the Supplier’s or Sub-contractor’s (as applicable) compliance with the requirements of this Schedule and the Data Protection Laws as they apply to Government Data;</w:t>
      </w:r>
    </w:p>
    <w:p w:rsidR="00000000" w:rsidDel="00000000" w:rsidP="00000000" w:rsidRDefault="00000000" w:rsidRPr="00000000" w14:paraId="00000486">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inspect the Supplier Information Management System (or any part of it);</w:t>
      </w:r>
    </w:p>
    <w:p w:rsidR="00000000" w:rsidDel="00000000" w:rsidP="00000000" w:rsidRDefault="00000000" w:rsidRPr="00000000" w14:paraId="00000487">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review the integrity, confidentiality and security of the Government Data; and/or</w:t>
      </w:r>
    </w:p>
    <w:p w:rsidR="00000000" w:rsidDel="00000000" w:rsidP="00000000" w:rsidRDefault="00000000" w:rsidRPr="00000000" w14:paraId="00000488">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review the integrity and security of the Code.</w:t>
      </w:r>
    </w:p>
    <w:p w:rsidR="00000000" w:rsidDel="00000000" w:rsidP="00000000" w:rsidRDefault="00000000" w:rsidRPr="00000000" w14:paraId="00000489">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audit undertaken under Paragraph 15.1:</w:t>
      </w:r>
    </w:p>
    <w:p w:rsidR="00000000" w:rsidDel="00000000" w:rsidP="00000000" w:rsidRDefault="00000000" w:rsidRPr="00000000" w14:paraId="0000048A">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may only take place during the Contract Period and for a period of 18 months afterwards; and</w:t>
      </w:r>
    </w:p>
    <w:p w:rsidR="00000000" w:rsidDel="00000000" w:rsidP="00000000" w:rsidRDefault="00000000" w:rsidRPr="00000000" w14:paraId="0000048B">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 in addition to any other rights of audit the Buyer has under the Contract.</w:t>
      </w:r>
    </w:p>
    <w:p w:rsidR="00000000" w:rsidDel="00000000" w:rsidP="00000000" w:rsidRDefault="00000000" w:rsidRPr="00000000" w14:paraId="0000048C">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Buyer may not undertake more than one audit under Paragraph 15.1 in each calendar year unless the Buyer has reasonable grounds for believing:</w:t>
      </w:r>
    </w:p>
    <w:p w:rsidR="00000000" w:rsidDel="00000000" w:rsidP="00000000" w:rsidRDefault="00000000" w:rsidRPr="00000000" w14:paraId="0000048D">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or any Sub-contractor has not complied with its obligations under the Contract or the Data Protection Laws as they apply to the Government Data;</w:t>
      </w:r>
    </w:p>
    <w:p w:rsidR="00000000" w:rsidDel="00000000" w:rsidP="00000000" w:rsidRDefault="00000000" w:rsidRPr="00000000" w14:paraId="0000048E">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there has been or is likely to be a Breach of Security affecting the Government Data or the Code; or</w:t>
      </w:r>
    </w:p>
    <w:p w:rsidR="00000000" w:rsidDel="00000000" w:rsidP="00000000" w:rsidRDefault="00000000" w:rsidRPr="00000000" w14:paraId="0000048F">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 vulnerabilities, or potential vulnerabilities, in the Code have been identified by:</w:t>
      </w:r>
    </w:p>
    <w:p w:rsidR="00000000" w:rsidDel="00000000" w:rsidP="00000000" w:rsidRDefault="00000000" w:rsidRPr="00000000" w14:paraId="00000490">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 IT Health Check; or</w:t>
      </w:r>
    </w:p>
    <w:p w:rsidR="00000000" w:rsidDel="00000000" w:rsidP="00000000" w:rsidRDefault="00000000" w:rsidRPr="00000000" w14:paraId="00000491">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Breach of Security.</w:t>
      </w:r>
    </w:p>
    <w:p w:rsidR="00000000" w:rsidDel="00000000" w:rsidP="00000000" w:rsidRDefault="00000000" w:rsidRPr="00000000" w14:paraId="00000492">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Conduct of audits</w:t>
      </w:r>
    </w:p>
    <w:p w:rsidR="00000000" w:rsidDel="00000000" w:rsidP="00000000" w:rsidRDefault="00000000" w:rsidRPr="00000000" w14:paraId="00000493">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Buyer must use reasonable endeavours to provide 15 Working Days’ notice of an audit.</w:t>
      </w:r>
    </w:p>
    <w:p w:rsidR="00000000" w:rsidDel="00000000" w:rsidP="00000000" w:rsidRDefault="00000000" w:rsidRPr="00000000" w14:paraId="00000494">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Buyer must when conducting an audit:</w:t>
      </w:r>
    </w:p>
    <w:p w:rsidR="00000000" w:rsidDel="00000000" w:rsidP="00000000" w:rsidRDefault="00000000" w:rsidRPr="00000000" w14:paraId="00000495">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comply with all relevant policies and guidelines of the Supplier or Sub-contractor (as applicable) concerning access to the Suppler Information Management System the Buyer considers reasonable having regard to the purpose of the audit; and</w:t>
      </w:r>
    </w:p>
    <w:p w:rsidR="00000000" w:rsidDel="00000000" w:rsidP="00000000" w:rsidRDefault="00000000" w:rsidRPr="00000000" w14:paraId="00000496">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use reasonable endeavours to ensure that the conduct of the audit does not unreasonably disrupt the Supplier or Sub-contractor (as applicable) or delay the provision of the Services.</w:t>
      </w:r>
    </w:p>
    <w:p w:rsidR="00000000" w:rsidDel="00000000" w:rsidP="00000000" w:rsidRDefault="00000000" w:rsidRPr="00000000" w14:paraId="00000497">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 and must ensure that Sub-contractors, on demand provide the Buyer with all co-operation and assistance the Buyer may reasonably require, including:</w:t>
      </w:r>
    </w:p>
    <w:p w:rsidR="00000000" w:rsidDel="00000000" w:rsidP="00000000" w:rsidRDefault="00000000" w:rsidRPr="00000000" w14:paraId="00000498">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 information requested by the Buyer within the scope of the audit;</w:t>
      </w:r>
    </w:p>
    <w:p w:rsidR="00000000" w:rsidDel="00000000" w:rsidP="00000000" w:rsidRDefault="00000000" w:rsidRPr="00000000" w14:paraId="00000499">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access to the Supplier Information Management System; and</w:t>
      </w:r>
    </w:p>
    <w:p w:rsidR="00000000" w:rsidDel="00000000" w:rsidP="00000000" w:rsidRDefault="00000000" w:rsidRPr="00000000" w14:paraId="0000049A">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access to the Supplier Staff.</w:t>
      </w:r>
    </w:p>
    <w:p w:rsidR="00000000" w:rsidDel="00000000" w:rsidP="00000000" w:rsidRDefault="00000000" w:rsidRPr="00000000" w14:paraId="0000049B">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Response to audit findings</w:t>
      </w:r>
    </w:p>
    <w:p w:rsidR="00000000" w:rsidDel="00000000" w:rsidP="00000000" w:rsidRDefault="00000000" w:rsidRPr="00000000" w14:paraId="0000049C">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 an audit finds that:</w:t>
      </w:r>
    </w:p>
    <w:p w:rsidR="00000000" w:rsidDel="00000000" w:rsidP="00000000" w:rsidRDefault="00000000" w:rsidRPr="00000000" w14:paraId="0000049D">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or a Sub-contractor has not complied with the Contract or the Data Protection Laws as they apply to the Government Data; or</w:t>
      </w:r>
    </w:p>
    <w:p w:rsidR="00000000" w:rsidDel="00000000" w:rsidP="00000000" w:rsidRDefault="00000000" w:rsidRPr="00000000" w14:paraId="0000049E">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there has been or is likely to be a Security Breach affecting the Government Data</w:t>
      </w:r>
    </w:p>
    <w:p w:rsidR="00000000" w:rsidDel="00000000" w:rsidP="00000000" w:rsidRDefault="00000000" w:rsidRPr="00000000" w14:paraId="0000049F">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Buyer may require the Supplier to remedy those defaults at its own cost and expense and within the time reasonably specified by the Buyer.</w:t>
      </w:r>
    </w:p>
    <w:p w:rsidR="00000000" w:rsidDel="00000000" w:rsidP="00000000" w:rsidRDefault="00000000" w:rsidRPr="00000000" w14:paraId="000004A0">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exercise by the Buyer of any rights it may have under this Paragraph 15 does not affect the exercise by it of any other or equivalent rights it may have under the Contract in respect of the audit findings.</w:t>
      </w:r>
    </w:p>
    <w:p w:rsidR="00000000" w:rsidDel="00000000" w:rsidP="00000000" w:rsidRDefault="00000000" w:rsidRPr="00000000" w14:paraId="000004A1">
      <w:pPr>
        <w:keepNext w:val="1"/>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36gvyisl62ir" w:id="151"/>
      <w:bookmarkEnd w:id="151"/>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Breach of Security</w:t>
      </w:r>
    </w:p>
    <w:p w:rsidR="00000000" w:rsidDel="00000000" w:rsidP="00000000" w:rsidRDefault="00000000" w:rsidRPr="00000000" w14:paraId="000004A2">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Reporting Breach of Security</w:t>
      </w:r>
    </w:p>
    <w:p w:rsidR="00000000" w:rsidDel="00000000" w:rsidP="00000000" w:rsidRDefault="00000000" w:rsidRPr="00000000" w14:paraId="000004A3">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either party becomes aware of a Breach of Security it shall notify the other as soon as reasonably practicable after becoming aware of the breach, and in any event within [</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24</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hours.</w:t>
      </w:r>
    </w:p>
    <w:p w:rsidR="00000000" w:rsidDel="00000000" w:rsidP="00000000" w:rsidRDefault="00000000" w:rsidRPr="00000000" w14:paraId="000004A4">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Immediate steps</w:t>
      </w:r>
    </w:p>
    <w:p w:rsidR="00000000" w:rsidDel="00000000" w:rsidP="00000000" w:rsidRDefault="00000000" w:rsidRPr="00000000" w14:paraId="000004A5">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xsgwzklbuxnp" w:id="152"/>
      <w:bookmarkEnd w:id="152"/>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 upon becoming aware of a Breach of Security immediately take those steps identified in the Security Management Plan and all other steps reasonably necessary to:</w:t>
      </w:r>
    </w:p>
    <w:p w:rsidR="00000000" w:rsidDel="00000000" w:rsidP="00000000" w:rsidRDefault="00000000" w:rsidRPr="00000000" w14:paraId="000004A6">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minimise the extent of actual or potential harm caused by such Breach of Security;</w:t>
      </w:r>
    </w:p>
    <w:p w:rsidR="00000000" w:rsidDel="00000000" w:rsidP="00000000" w:rsidRDefault="00000000" w:rsidRPr="00000000" w14:paraId="000004A7">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remedy such Breach of Security to the extent possible; </w:t>
      </w:r>
    </w:p>
    <w:p w:rsidR="00000000" w:rsidDel="00000000" w:rsidP="00000000" w:rsidRDefault="00000000" w:rsidRPr="00000000" w14:paraId="000004A8">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apply a tested mitigation against any such Breach of Security; and</w:t>
      </w:r>
    </w:p>
    <w:p w:rsidR="00000000" w:rsidDel="00000000" w:rsidP="00000000" w:rsidRDefault="00000000" w:rsidRPr="00000000" w14:paraId="000004A9">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prevent a further Breach of Security in the future which exploits the same root cause failure;</w:t>
      </w:r>
    </w:p>
    <w:p w:rsidR="00000000" w:rsidDel="00000000" w:rsidP="00000000" w:rsidRDefault="00000000" w:rsidRPr="00000000" w14:paraId="000004AA">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Subsequent action</w:t>
      </w:r>
    </w:p>
    <w:p w:rsidR="00000000" w:rsidDel="00000000" w:rsidP="00000000" w:rsidRDefault="00000000" w:rsidRPr="00000000" w14:paraId="000004AB">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dxkc1oyts1od" w:id="153"/>
      <w:bookmarkEnd w:id="153"/>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soon as reasonably practicable and, in any event, within five Working Days of the occurrence of the Breach of Security, or such other period specified by the Buyer, provide to the Buyer:</w:t>
      </w:r>
    </w:p>
    <w:p w:rsidR="00000000" w:rsidDel="00000000" w:rsidP="00000000" w:rsidRDefault="00000000" w:rsidRPr="00000000" w14:paraId="000004AC">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full details of the Breach of Security; and</w:t>
      </w:r>
    </w:p>
    <w:p w:rsidR="00000000" w:rsidDel="00000000" w:rsidP="00000000" w:rsidRDefault="00000000" w:rsidRPr="00000000" w14:paraId="000004AD">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required by the Buyer:</w:t>
      </w:r>
    </w:p>
    <w:p w:rsidR="00000000" w:rsidDel="00000000" w:rsidP="00000000" w:rsidRDefault="00000000" w:rsidRPr="00000000" w14:paraId="000004AE">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root cause analysis; and</w:t>
      </w:r>
    </w:p>
    <w:p w:rsidR="00000000" w:rsidDel="00000000" w:rsidP="00000000" w:rsidRDefault="00000000" w:rsidRPr="00000000" w14:paraId="000004AF">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draft plan addressing the Breach of Security</w:t>
      </w:r>
    </w:p>
    <w:p w:rsidR="00000000" w:rsidDel="00000000" w:rsidP="00000000" w:rsidRDefault="00000000" w:rsidRPr="00000000" w14:paraId="000004B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Breach Action Plan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B1">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draft Breach Action Plan must set out:</w:t>
      </w:r>
    </w:p>
    <w:p w:rsidR="00000000" w:rsidDel="00000000" w:rsidP="00000000" w:rsidRDefault="00000000" w:rsidRPr="00000000" w14:paraId="000004B2">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respect of each issue identified in the root cause analysis:</w:t>
      </w:r>
    </w:p>
    <w:p w:rsidR="00000000" w:rsidDel="00000000" w:rsidP="00000000" w:rsidRDefault="00000000" w:rsidRPr="00000000" w14:paraId="000004B3">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how the issue will be remedied;</w:t>
      </w:r>
    </w:p>
    <w:p w:rsidR="00000000" w:rsidDel="00000000" w:rsidP="00000000" w:rsidRDefault="00000000" w:rsidRPr="00000000" w14:paraId="000004B4">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date by which the issue will be remedied; and</w:t>
      </w:r>
    </w:p>
    <w:p w:rsidR="00000000" w:rsidDel="00000000" w:rsidP="00000000" w:rsidRDefault="00000000" w:rsidRPr="00000000" w14:paraId="000004B5">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tests that the Supplier proposes to perform to confirm that the issue has been remedied or the finding addressed;</w:t>
      </w:r>
    </w:p>
    <w:p w:rsidR="00000000" w:rsidDel="00000000" w:rsidP="00000000" w:rsidRDefault="00000000" w:rsidRPr="00000000" w14:paraId="000004B6">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assistance the Supplier will provide to the Buyer to resolve any impacts on the Buyer, the Government Data and the Code;</w:t>
      </w:r>
    </w:p>
    <w:p w:rsidR="00000000" w:rsidDel="00000000" w:rsidP="00000000" w:rsidRDefault="00000000" w:rsidRPr="00000000" w14:paraId="000004B7">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Supplier’s communication and engagement activities in respect of the Breach of Security, including any communication or engagement with individuals affected by any Breach of Security that results in the accidental or unlawful destruction, loss, alteration, unauthorised disclosure of, or access to, Personal Data;</w:t>
      </w:r>
    </w:p>
    <w:p w:rsidR="00000000" w:rsidDel="00000000" w:rsidP="00000000" w:rsidRDefault="00000000" w:rsidRPr="00000000" w14:paraId="000004B8">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infrastructure, services and systems (including any contact centre facilities) the Supplier will establish to undertake the remediation, communication and engagement activities.</w:t>
      </w:r>
    </w:p>
    <w:p w:rsidR="00000000" w:rsidDel="00000000" w:rsidP="00000000" w:rsidRDefault="00000000" w:rsidRPr="00000000" w14:paraId="000004B9">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wxt6rc2qwbnd" w:id="154"/>
      <w:bookmarkEnd w:id="154"/>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shall promptly provide the Buyer with such technical and other information relating to the draft Breach Action Plan as the Buyer requests.</w:t>
      </w:r>
    </w:p>
    <w:p w:rsidR="00000000" w:rsidDel="00000000" w:rsidP="00000000" w:rsidRDefault="00000000" w:rsidRPr="00000000" w14:paraId="000004BA">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uct0pr6gqudk" w:id="155"/>
      <w:bookmarkEnd w:id="155"/>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Buyer may:</w:t>
      </w:r>
    </w:p>
    <w:p w:rsidR="00000000" w:rsidDel="00000000" w:rsidP="00000000" w:rsidRDefault="00000000" w:rsidRPr="00000000" w14:paraId="000004BB">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reject the draft Breach Action Plan where it considers that the draft Breach Action Plan is inadequate, providing its reasons for doing so, in which case:</w:t>
      </w:r>
    </w:p>
    <w:p w:rsidR="00000000" w:rsidDel="00000000" w:rsidP="00000000" w:rsidRDefault="00000000" w:rsidRPr="00000000" w14:paraId="000004BC">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shall within ten Working Days of the date on which the Buyer rejected the draft Breach Action Plan, or such other period as the Buyer requires, submit a revised draft Breach Action Plan that takes into account the Buyer’s reasons; and</w:t>
      </w:r>
    </w:p>
    <w:p w:rsidR="00000000" w:rsidDel="00000000" w:rsidP="00000000" w:rsidRDefault="00000000" w:rsidRPr="00000000" w14:paraId="000004BD">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Paragraph 16.5 and 16.6 shall apply to the revised draft Breach Action Plan;</w:t>
      </w:r>
    </w:p>
    <w:p w:rsidR="00000000" w:rsidDel="00000000" w:rsidP="00000000" w:rsidRDefault="00000000" w:rsidRPr="00000000" w14:paraId="000004BE">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accept the draft Breach Action Plan, in which case the Supplier must immediately start work on implementing the Breach Action Plan.</w:t>
      </w:r>
    </w:p>
    <w:p w:rsidR="00000000" w:rsidDel="00000000" w:rsidP="00000000" w:rsidRDefault="00000000" w:rsidRPr="00000000" w14:paraId="000004BF">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62541iqy4daw" w:id="156"/>
      <w:bookmarkEnd w:id="156"/>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When implementing the Breach Action Plan, the Supplier must:</w:t>
      </w:r>
    </w:p>
    <w:p w:rsidR="00000000" w:rsidDel="00000000" w:rsidP="00000000" w:rsidRDefault="00000000" w:rsidRPr="00000000" w14:paraId="000004C0">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establish infrastructure, services and systems referred to in the Breach Action Plan;</w:t>
      </w:r>
    </w:p>
    <w:p w:rsidR="00000000" w:rsidDel="00000000" w:rsidP="00000000" w:rsidRDefault="00000000" w:rsidRPr="00000000" w14:paraId="000004C1">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communicate and engage with affected individuals in accordance with the Breach Action Plan;</w:t>
      </w:r>
    </w:p>
    <w:p w:rsidR="00000000" w:rsidDel="00000000" w:rsidP="00000000" w:rsidRDefault="00000000" w:rsidRPr="00000000" w14:paraId="000004C2">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communicate and engage with the Buyer and stakeholders identified by the Buyer in accordance with the Breach Plan and as otherwise required by the Buyer; </w:t>
      </w:r>
    </w:p>
    <w:p w:rsidR="00000000" w:rsidDel="00000000" w:rsidP="00000000" w:rsidRDefault="00000000" w:rsidRPr="00000000" w14:paraId="000004C3">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engage and deploy such additional resources as may be required to perform its responsibilities under the Breach Plan and the Contract in respect of the Personal Data Breach without any impact on the provision of the Services; and</w:t>
      </w:r>
    </w:p>
    <w:p w:rsidR="00000000" w:rsidDel="00000000" w:rsidP="00000000" w:rsidRDefault="00000000" w:rsidRPr="00000000" w14:paraId="000004C4">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continue to implement the Breach Action Plan until the Buyer indicates that the Breach of Security and the impacts on the Buyer, the Government Data, the Code and the affected individuals have been resolved to the Buyer’s satisfaction.</w:t>
      </w:r>
    </w:p>
    <w:p w:rsidR="00000000" w:rsidDel="00000000" w:rsidP="00000000" w:rsidRDefault="00000000" w:rsidRPr="00000000" w14:paraId="000004C5">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obligation to provide and implement a Breach Action Plan under Paragraphs 16.3 to 16.7 continues notwithstanding the expiry or termination of the Contract.</w:t>
      </w:r>
    </w:p>
    <w:p w:rsidR="00000000" w:rsidDel="00000000" w:rsidP="00000000" w:rsidRDefault="00000000" w:rsidRPr="00000000" w14:paraId="000004C6">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Costs of preparing and implementing Breach Action Plan</w:t>
      </w:r>
    </w:p>
    <w:p w:rsidR="00000000" w:rsidDel="00000000" w:rsidP="00000000" w:rsidRDefault="00000000" w:rsidRPr="00000000" w14:paraId="000004C7">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is solely responsible for its costs in preparing and implementing a Breach Action Plan</w:t>
      </w:r>
    </w:p>
    <w:p w:rsidR="00000000" w:rsidDel="00000000" w:rsidP="00000000" w:rsidRDefault="00000000" w:rsidRPr="00000000" w14:paraId="000004C8">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Reporting of Breach of Security to regulator</w:t>
      </w:r>
    </w:p>
    <w:p w:rsidR="00000000" w:rsidDel="00000000" w:rsidP="00000000" w:rsidRDefault="00000000" w:rsidRPr="00000000" w14:paraId="000004C9">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 the Law requires the Supplier report a Breach of Security to the appropriate regulator, the Supplier must:</w:t>
      </w:r>
    </w:p>
    <w:p w:rsidR="00000000" w:rsidDel="00000000" w:rsidP="00000000" w:rsidRDefault="00000000" w:rsidRPr="00000000" w14:paraId="000004CA">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make that report within the time limits:</w:t>
      </w:r>
    </w:p>
    <w:p w:rsidR="00000000" w:rsidDel="00000000" w:rsidP="00000000" w:rsidRDefault="00000000" w:rsidRPr="00000000" w14:paraId="000004CB">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specified by the relevant regulator; or</w:t>
      </w:r>
    </w:p>
    <w:p w:rsidR="00000000" w:rsidDel="00000000" w:rsidP="00000000" w:rsidRDefault="00000000" w:rsidRPr="00000000" w14:paraId="000004CC">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otherwise required by Law; and</w:t>
      </w:r>
    </w:p>
    <w:p w:rsidR="00000000" w:rsidDel="00000000" w:rsidP="00000000" w:rsidRDefault="00000000" w:rsidRPr="00000000" w14:paraId="000004CD">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the extent that the relevant regulator or the Law permits, provide the Buyer with a full, unredacted and unedited copy of that report at the same time it is sent to the relevant regulator.</w:t>
      </w:r>
    </w:p>
    <w:p w:rsidR="00000000" w:rsidDel="00000000" w:rsidP="00000000" w:rsidRDefault="00000000" w:rsidRPr="00000000" w14:paraId="000004CE">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 the Law requires the Buyer to report a Breach of Security to the appropriate regulator, the Supplier must:</w:t>
      </w:r>
    </w:p>
    <w:p w:rsidR="00000000" w:rsidDel="00000000" w:rsidP="00000000" w:rsidRDefault="00000000" w:rsidRPr="00000000" w14:paraId="000004CF">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provide such information and other input as the Buyer requires within the timescales specified by the Buyer; and</w:t>
      </w:r>
    </w:p>
    <w:p w:rsidR="00000000" w:rsidDel="00000000" w:rsidP="00000000" w:rsidRDefault="00000000" w:rsidRPr="00000000" w14:paraId="000004D0">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ensure so far as practicable the report it sends to the relevant regulator is consistent with the report provided by the Buyer.</w:t>
      </w:r>
    </w:p>
    <w:p w:rsidR="00000000" w:rsidDel="00000000" w:rsidP="00000000" w:rsidRDefault="00000000" w:rsidRPr="00000000" w14:paraId="000004D1">
      <w:pPr>
        <w:keepNext w:val="1"/>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cnw7xkbjqxcd" w:id="157"/>
      <w:bookmarkEnd w:id="157"/>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Exit management</w:t>
      </w:r>
    </w:p>
    <w:p w:rsidR="00000000" w:rsidDel="00000000" w:rsidP="00000000" w:rsidRDefault="00000000" w:rsidRPr="00000000" w14:paraId="000004D2">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addition to any obligations on the Supplier under Call-Off Schedule 10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(Exit Management)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 Supplier must:</w:t>
      </w:r>
    </w:p>
    <w:p w:rsidR="00000000" w:rsidDel="00000000" w:rsidP="00000000" w:rsidRDefault="00000000" w:rsidRPr="00000000" w14:paraId="000004D3">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agree with the Buyer and, where required by the Supplier, the Replacement Supplier; and</w:t>
      </w:r>
    </w:p>
    <w:p w:rsidR="00000000" w:rsidDel="00000000" w:rsidP="00000000" w:rsidRDefault="00000000" w:rsidRPr="00000000" w14:paraId="000004D4">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document as part of the Exit Plan,</w:t>
      </w:r>
    </w:p>
    <w:p w:rsidR="00000000" w:rsidDel="00000000" w:rsidP="00000000" w:rsidRDefault="00000000" w:rsidRPr="00000000" w14:paraId="000004D5">
      <w:pPr>
        <w:pStyle w:val="Heading2"/>
        <w:spacing w:after="120" w:before="120" w:lineRule="auto"/>
        <w:ind w:left="720" w:firstLine="0"/>
        <w:jc w:val="both"/>
        <w:rPr>
          <w:sz w:val="24"/>
          <w:szCs w:val="24"/>
        </w:rPr>
      </w:pPr>
      <w:r w:rsidDel="00000000" w:rsidR="00000000" w:rsidRPr="00000000">
        <w:rPr>
          <w:sz w:val="24"/>
          <w:szCs w:val="24"/>
          <w:rtl w:val="0"/>
        </w:rPr>
        <w:t xml:space="preserve">a plan for the migration of the Government Data to the Buyer and/or the Replacement Supplier (as required by the Buyer) (</w:t>
      </w:r>
      <w:r w:rsidDel="00000000" w:rsidR="00000000" w:rsidRPr="00000000">
        <w:rPr>
          <w:b w:val="1"/>
          <w:sz w:val="24"/>
          <w:szCs w:val="24"/>
          <w:rtl w:val="0"/>
        </w:rPr>
        <w:t xml:space="preserve">Data Migration Plan</w:t>
      </w:r>
      <w:r w:rsidDel="00000000" w:rsidR="00000000" w:rsidRPr="00000000">
        <w:rPr>
          <w:sz w:val="24"/>
          <w:szCs w:val="24"/>
          <w:rtl w:val="0"/>
        </w:rPr>
        <w:t xml:space="preserve">).</w:t>
      </w:r>
    </w:p>
    <w:p w:rsidR="00000000" w:rsidDel="00000000" w:rsidP="00000000" w:rsidRDefault="00000000" w:rsidRPr="00000000" w14:paraId="000004D6">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Data Migration Plan must, at a minimum, include:</w:t>
      </w:r>
    </w:p>
    <w:p w:rsidR="00000000" w:rsidDel="00000000" w:rsidP="00000000" w:rsidRDefault="00000000" w:rsidRPr="00000000" w14:paraId="000004D7">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data formats of the Government Data;</w:t>
      </w:r>
    </w:p>
    <w:p w:rsidR="00000000" w:rsidDel="00000000" w:rsidP="00000000" w:rsidRDefault="00000000" w:rsidRPr="00000000" w14:paraId="000004D8">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roles and responsibilities of the Supplier, the Buyer and (where applicable) the Replacement Supplier;</w:t>
      </w:r>
    </w:p>
    <w:p w:rsidR="00000000" w:rsidDel="00000000" w:rsidP="00000000" w:rsidRDefault="00000000" w:rsidRPr="00000000" w14:paraId="000004D9">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methods to be used to securely transfer the data;</w:t>
      </w:r>
    </w:p>
    <w:p w:rsidR="00000000" w:rsidDel="00000000" w:rsidP="00000000" w:rsidRDefault="00000000" w:rsidRPr="00000000" w14:paraId="000004DA">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timescales for the completion of all tasks and activities set out in the Data Migration Plan; and</w:t>
      </w:r>
    </w:p>
    <w:p w:rsidR="00000000" w:rsidDel="00000000" w:rsidP="00000000" w:rsidRDefault="00000000" w:rsidRPr="00000000" w14:paraId="000004DB">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how data migration will be managed to ensure continuity of Services and the integrity, confidentiality and accessibility of the Government Data during that process.</w:t>
      </w:r>
    </w:p>
    <w:p w:rsidR="00000000" w:rsidDel="00000000" w:rsidP="00000000" w:rsidRDefault="00000000" w:rsidRPr="00000000" w14:paraId="000004DC">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shall comply with the provisions of the Data Migration Plan during Exit Management. </w:t>
      </w:r>
    </w:p>
    <w:p w:rsidR="00000000" w:rsidDel="00000000" w:rsidP="00000000" w:rsidRDefault="00000000" w:rsidRPr="00000000" w14:paraId="000004DD">
      <w:pPr>
        <w:keepNext w:val="1"/>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q66qt9dma1rc" w:id="158"/>
      <w:bookmarkEnd w:id="158"/>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Return and deletion of Government Data</w:t>
      </w:r>
    </w:p>
    <w:p w:rsidR="00000000" w:rsidDel="00000000" w:rsidP="00000000" w:rsidRDefault="00000000" w:rsidRPr="00000000" w14:paraId="000004DE">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 create and maintain a register of:</w:t>
      </w:r>
    </w:p>
    <w:p w:rsidR="00000000" w:rsidDel="00000000" w:rsidP="00000000" w:rsidRDefault="00000000" w:rsidRPr="00000000" w14:paraId="000004DF">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 Government Data the Supplier, or any Sub-contractor, receives from or creates for the Buyer; and</w:t>
      </w:r>
    </w:p>
    <w:p w:rsidR="00000000" w:rsidDel="00000000" w:rsidP="00000000" w:rsidRDefault="00000000" w:rsidRPr="00000000" w14:paraId="000004E0">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those parts of the Supplier Information Management System, including those parts of the Supplier Information Management System that are operated or controlled by any Sub-contractor, on which the Government Data is stored,</w:t>
      </w:r>
    </w:p>
    <w:p w:rsidR="00000000" w:rsidDel="00000000" w:rsidP="00000000" w:rsidRDefault="00000000" w:rsidRPr="00000000" w14:paraId="000004E1">
      <w:pPr>
        <w:pStyle w:val="Heading3"/>
        <w:spacing w:after="120" w:before="120" w:lineRule="auto"/>
        <w:ind w:left="720" w:firstLine="720"/>
        <w:jc w:val="both"/>
        <w:rPr>
          <w:sz w:val="24"/>
          <w:szCs w:val="24"/>
        </w:rPr>
      </w:pPr>
      <w:r w:rsidDel="00000000" w:rsidR="00000000" w:rsidRPr="00000000">
        <w:rPr>
          <w:sz w:val="24"/>
          <w:szCs w:val="24"/>
          <w:rtl w:val="0"/>
        </w:rPr>
        <w:t xml:space="preserve">(</w:t>
      </w:r>
      <w:r w:rsidDel="00000000" w:rsidR="00000000" w:rsidRPr="00000000">
        <w:rPr>
          <w:b w:val="1"/>
          <w:sz w:val="24"/>
          <w:szCs w:val="24"/>
          <w:rtl w:val="0"/>
        </w:rPr>
        <w:t xml:space="preserve">Government Data Register</w:t>
      </w:r>
      <w:r w:rsidDel="00000000" w:rsidR="00000000" w:rsidRPr="00000000">
        <w:rPr>
          <w:sz w:val="24"/>
          <w:szCs w:val="24"/>
          <w:rtl w:val="0"/>
        </w:rPr>
        <w:t xml:space="preserve">).</w:t>
      </w:r>
    </w:p>
    <w:p w:rsidR="00000000" w:rsidDel="00000000" w:rsidP="00000000" w:rsidRDefault="00000000" w:rsidRPr="00000000" w14:paraId="000004E2">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w:t>
      </w:r>
    </w:p>
    <w:p w:rsidR="00000000" w:rsidDel="00000000" w:rsidP="00000000" w:rsidRDefault="00000000" w:rsidRPr="00000000" w14:paraId="000004E3">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review and update the Government Data Register:</w:t>
      </w:r>
    </w:p>
    <w:p w:rsidR="00000000" w:rsidDel="00000000" w:rsidP="00000000" w:rsidRDefault="00000000" w:rsidRPr="00000000" w14:paraId="000004E4">
      <w:pPr>
        <w:keepNext w:val="1"/>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within ten Working Days of the Supplier or any Sub-contractor changes those parts of the Supplier Information Management System on which the Government Data is stored;</w:t>
      </w:r>
    </w:p>
    <w:p w:rsidR="00000000" w:rsidDel="00000000" w:rsidP="00000000" w:rsidRDefault="00000000" w:rsidRPr="00000000" w14:paraId="000004E5">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within ten Working Days of a significant change in the volume, nature or overall sensitivity of the Government Data stored on the Supplier Information Management System;</w:t>
      </w:r>
    </w:p>
    <w:p w:rsidR="00000000" w:rsidDel="00000000" w:rsidP="00000000" w:rsidRDefault="00000000" w:rsidRPr="00000000" w14:paraId="000004E6">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 least once every 12 months; and</w:t>
      </w:r>
    </w:p>
    <w:p w:rsidR="00000000" w:rsidDel="00000000" w:rsidP="00000000" w:rsidRDefault="00000000" w:rsidRPr="00000000" w14:paraId="000004E7">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provide the Buyer with a copy of the Government Data Register:</w:t>
      </w:r>
    </w:p>
    <w:p w:rsidR="00000000" w:rsidDel="00000000" w:rsidP="00000000" w:rsidRDefault="00000000" w:rsidRPr="00000000" w14:paraId="000004E8">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whenever it updates the Government Data Register; and</w:t>
      </w:r>
    </w:p>
    <w:p w:rsidR="00000000" w:rsidDel="00000000" w:rsidP="00000000" w:rsidRDefault="00000000" w:rsidRPr="00000000" w14:paraId="000004E9">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otherwise when the Buyer requests.</w:t>
      </w:r>
    </w:p>
    <w:p w:rsidR="00000000" w:rsidDel="00000000" w:rsidP="00000000" w:rsidRDefault="00000000" w:rsidRPr="00000000" w14:paraId="000004EA">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ecpa0kyef3bi" w:id="159"/>
      <w:bookmarkEnd w:id="159"/>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Subject to Paragraph 18.4, the Supplier must, and must ensure that all Sub-contractors, securely erase any or all Government Data held by the Supplier or Sub-contractor, including any or all Code:</w:t>
      </w:r>
    </w:p>
    <w:p w:rsidR="00000000" w:rsidDel="00000000" w:rsidP="00000000" w:rsidRDefault="00000000" w:rsidRPr="00000000" w14:paraId="000004EB">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when requested to do so by the Buyer; and</w:t>
      </w:r>
    </w:p>
    <w:p w:rsidR="00000000" w:rsidDel="00000000" w:rsidP="00000000" w:rsidRDefault="00000000" w:rsidRPr="00000000" w14:paraId="000004EC">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using a deletion method agreed with the Buyer that ensures that even a determined expert using specialist techniques can recover only a small fraction of the data deleted.</w:t>
      </w:r>
    </w:p>
    <w:p w:rsidR="00000000" w:rsidDel="00000000" w:rsidP="00000000" w:rsidRDefault="00000000" w:rsidRPr="00000000" w14:paraId="000004ED">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nn5cdnkk3ehd" w:id="160"/>
      <w:bookmarkEnd w:id="160"/>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Paragraph 18.3 does not apply to Government Data:</w:t>
      </w:r>
    </w:p>
    <w:p w:rsidR="00000000" w:rsidDel="00000000" w:rsidP="00000000" w:rsidRDefault="00000000" w:rsidRPr="00000000" w14:paraId="000004EE">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that is Personal Data in respect of which the Supplier is a Controller;</w:t>
      </w:r>
    </w:p>
    <w:p w:rsidR="00000000" w:rsidDel="00000000" w:rsidP="00000000" w:rsidRDefault="00000000" w:rsidRPr="00000000" w14:paraId="000004EF">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which the Supplier has rights to Handle independently from the Contract; or</w:t>
      </w:r>
    </w:p>
    <w:p w:rsidR="00000000" w:rsidDel="00000000" w:rsidP="00000000" w:rsidRDefault="00000000" w:rsidRPr="00000000" w14:paraId="000004F0">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respect of which, the Supplier is under an obligation imposed by Law to retain.</w:t>
      </w:r>
    </w:p>
    <w:p w:rsidR="00000000" w:rsidDel="00000000" w:rsidP="00000000" w:rsidRDefault="00000000" w:rsidRPr="00000000" w14:paraId="000004F1">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 and must ensure that all Sub-contractors, provide the Buyer with copies of any or all Government Data held by the Supplier or Sub-contractor, including any or all Code:</w:t>
      </w:r>
    </w:p>
    <w:p w:rsidR="00000000" w:rsidDel="00000000" w:rsidP="00000000" w:rsidRDefault="00000000" w:rsidRPr="00000000" w14:paraId="000004F2">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when requested to do so by the Buyer; and</w:t>
      </w:r>
    </w:p>
    <w:p w:rsidR="00000000" w:rsidDel="00000000" w:rsidP="00000000" w:rsidRDefault="00000000" w:rsidRPr="00000000" w14:paraId="000004F3">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using the method specified by the Buyer.</w:t>
      </w:r>
    </w:p>
    <w:p w:rsidR="00000000" w:rsidDel="00000000" w:rsidP="00000000" w:rsidRDefault="00000000" w:rsidRPr="00000000" w14:paraId="000004F4">
      <w:pPr>
        <w:spacing w:after="120" w:before="120" w:lineRule="auto"/>
        <w:rPr/>
      </w:pPr>
      <w:r w:rsidDel="00000000" w:rsidR="00000000" w:rsidRPr="00000000">
        <w:br w:type="page"/>
      </w:r>
      <w:r w:rsidDel="00000000" w:rsidR="00000000" w:rsidRPr="00000000">
        <w:rPr>
          <w:rtl w:val="0"/>
        </w:rPr>
      </w:r>
    </w:p>
    <w:p w:rsidR="00000000" w:rsidDel="00000000" w:rsidP="00000000" w:rsidRDefault="00000000" w:rsidRPr="00000000" w14:paraId="000004F5">
      <w:pPr>
        <w:keepNext w:val="1"/>
        <w:keepLines w:val="0"/>
        <w:pageBreakBefore w:val="1"/>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36"/>
          <w:szCs w:val="36"/>
          <w:u w:val="none"/>
          <w:shd w:fill="auto" w:val="clear"/>
          <w:vertAlign w:val="baseline"/>
        </w:rPr>
      </w:pPr>
      <w:bookmarkStart w:colFirst="0" w:colLast="0" w:name="_heading=h.68oears51jsv" w:id="161"/>
      <w:bookmarkEnd w:id="161"/>
      <w:r w:rsidDel="00000000" w:rsidR="00000000" w:rsidRPr="00000000">
        <w:rPr>
          <w:rFonts w:ascii="Arial" w:cs="Arial" w:eastAsia="Arial" w:hAnsi="Arial"/>
          <w:b w:val="1"/>
          <w:i w:val="0"/>
          <w:smallCaps w:val="0"/>
          <w:strike w:val="0"/>
          <w:color w:val="000000"/>
          <w:sz w:val="36"/>
          <w:szCs w:val="36"/>
          <w:u w:val="none"/>
          <w:shd w:fill="auto" w:val="clear"/>
          <w:vertAlign w:val="baseline"/>
          <w:rtl w:val="0"/>
        </w:rPr>
        <w:t xml:space="preserve">Security Requirements for Development Activity</w:t>
      </w:r>
    </w:p>
    <w:p w:rsidR="00000000" w:rsidDel="00000000" w:rsidP="00000000" w:rsidRDefault="00000000" w:rsidRPr="00000000" w14:paraId="000004F6">
      <w:pPr>
        <w:keepNext w:val="1"/>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16cx68fs3he8" w:id="162"/>
      <w:bookmarkEnd w:id="162"/>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Secure Software Development by Design</w:t>
      </w:r>
    </w:p>
    <w:p w:rsidR="00000000" w:rsidDel="00000000" w:rsidP="00000000" w:rsidRDefault="00000000" w:rsidRPr="00000000" w14:paraId="000004F7">
      <w:pPr>
        <w:keepNext w:val="1"/>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 and must ensure that all Sub-contractors engaged in Development Activity, implement secure development and deployment practices to ensure that:</w:t>
      </w:r>
    </w:p>
    <w:p w:rsidR="00000000" w:rsidDel="00000000" w:rsidP="00000000" w:rsidRDefault="00000000" w:rsidRPr="00000000" w14:paraId="000004F8">
      <w:pPr>
        <w:keepNext w:val="0"/>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 Malicious Software is introduced into the Developed System or the Supplier Information Management System.</w:t>
      </w:r>
    </w:p>
    <w:p w:rsidR="00000000" w:rsidDel="00000000" w:rsidP="00000000" w:rsidRDefault="00000000" w:rsidRPr="00000000" w14:paraId="000004F9">
      <w:pPr>
        <w:keepNext w:val="1"/>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Developed System can continue to function in accordance with the Specification:</w:t>
      </w:r>
    </w:p>
    <w:p w:rsidR="00000000" w:rsidDel="00000000" w:rsidP="00000000" w:rsidRDefault="00000000" w:rsidRPr="00000000" w14:paraId="000004FA">
      <w:pPr>
        <w:keepNext w:val="0"/>
        <w:keepLines w:val="0"/>
        <w:pageBreakBefore w:val="0"/>
        <w:widowControl w:val="1"/>
        <w:numPr>
          <w:ilvl w:val="3"/>
          <w:numId w:val="2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unforeseen circumstances; and</w:t>
      </w:r>
    </w:p>
    <w:p w:rsidR="00000000" w:rsidDel="00000000" w:rsidP="00000000" w:rsidRDefault="00000000" w:rsidRPr="00000000" w14:paraId="000004FB">
      <w:pPr>
        <w:keepNext w:val="1"/>
        <w:keepLines w:val="0"/>
        <w:pageBreakBefore w:val="0"/>
        <w:widowControl w:val="1"/>
        <w:numPr>
          <w:ilvl w:val="3"/>
          <w:numId w:val="2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notwithstanding any attack on the Developed System using common cyber-attack techniques, including attacks using those vulnerabilities identified at any time in the OWASP Top Ten.</w:t>
      </w:r>
    </w:p>
    <w:p w:rsidR="00000000" w:rsidDel="00000000" w:rsidP="00000000" w:rsidRDefault="00000000" w:rsidRPr="00000000" w14:paraId="000004FC">
      <w:pPr>
        <w:keepNext w:val="1"/>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those ends, the Supplier must, and ensure that all Sub-contractors engaged in Development Activity:</w:t>
      </w:r>
    </w:p>
    <w:p w:rsidR="00000000" w:rsidDel="00000000" w:rsidP="00000000" w:rsidRDefault="00000000" w:rsidRPr="00000000" w14:paraId="000004FD">
      <w:pPr>
        <w:keepNext w:val="0"/>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comply with the Secure Development Guidance as if its requirements were terms of the Contract; and</w:t>
      </w:r>
    </w:p>
    <w:p w:rsidR="00000000" w:rsidDel="00000000" w:rsidP="00000000" w:rsidRDefault="00000000" w:rsidRPr="00000000" w14:paraId="000004FE">
      <w:pPr>
        <w:keepNext w:val="0"/>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document the steps taken to comply with that guidance as part of the Security Management Plan.</w:t>
      </w:r>
    </w:p>
    <w:p w:rsidR="00000000" w:rsidDel="00000000" w:rsidP="00000000" w:rsidRDefault="00000000" w:rsidRPr="00000000" w14:paraId="000004FF">
      <w:pPr>
        <w:keepNext w:val="1"/>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particular, the Supplier must, and ensure that all Sub-contractors engaged in Development Activity:</w:t>
      </w:r>
    </w:p>
    <w:p w:rsidR="00000000" w:rsidDel="00000000" w:rsidP="00000000" w:rsidRDefault="00000000" w:rsidRPr="00000000" w14:paraId="00000500">
      <w:pPr>
        <w:keepNext w:val="1"/>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ensure that all Supplier Staff engaged in Development Activity are:</w:t>
      </w:r>
    </w:p>
    <w:p w:rsidR="00000000" w:rsidDel="00000000" w:rsidP="00000000" w:rsidRDefault="00000000" w:rsidRPr="00000000" w14:paraId="00000501">
      <w:pPr>
        <w:keepNext w:val="0"/>
        <w:keepLines w:val="0"/>
        <w:pageBreakBefore w:val="0"/>
        <w:widowControl w:val="1"/>
        <w:numPr>
          <w:ilvl w:val="3"/>
          <w:numId w:val="2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trained and experienced in secure by design code development;</w:t>
      </w:r>
    </w:p>
    <w:p w:rsidR="00000000" w:rsidDel="00000000" w:rsidP="00000000" w:rsidRDefault="00000000" w:rsidRPr="00000000" w14:paraId="00000502">
      <w:pPr>
        <w:keepNext w:val="0"/>
        <w:keepLines w:val="0"/>
        <w:pageBreakBefore w:val="0"/>
        <w:widowControl w:val="1"/>
        <w:numPr>
          <w:ilvl w:val="3"/>
          <w:numId w:val="2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provided with regular training in secure software development and deployment;</w:t>
      </w:r>
    </w:p>
    <w:p w:rsidR="00000000" w:rsidDel="00000000" w:rsidP="00000000" w:rsidRDefault="00000000" w:rsidRPr="00000000" w14:paraId="00000503">
      <w:pPr>
        <w:keepNext w:val="1"/>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ensure that all Code:</w:t>
      </w:r>
    </w:p>
    <w:p w:rsidR="00000000" w:rsidDel="00000000" w:rsidP="00000000" w:rsidRDefault="00000000" w:rsidRPr="00000000" w14:paraId="00000504">
      <w:pPr>
        <w:keepNext w:val="1"/>
        <w:keepLines w:val="0"/>
        <w:pageBreakBefore w:val="0"/>
        <w:widowControl w:val="1"/>
        <w:numPr>
          <w:ilvl w:val="3"/>
          <w:numId w:val="2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 subject to a clear, well -organised, logical and documented architecture;</w:t>
      </w:r>
    </w:p>
    <w:p w:rsidR="00000000" w:rsidDel="00000000" w:rsidP="00000000" w:rsidRDefault="00000000" w:rsidRPr="00000000" w14:paraId="00000505">
      <w:pPr>
        <w:keepNext w:val="0"/>
        <w:keepLines w:val="0"/>
        <w:pageBreakBefore w:val="0"/>
        <w:widowControl w:val="1"/>
        <w:numPr>
          <w:ilvl w:val="3"/>
          <w:numId w:val="2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follows OWASP Secure Coding Practice</w:t>
      </w:r>
    </w:p>
    <w:p w:rsidR="00000000" w:rsidDel="00000000" w:rsidP="00000000" w:rsidRDefault="00000000" w:rsidRPr="00000000" w14:paraId="00000506">
      <w:pPr>
        <w:keepNext w:val="0"/>
        <w:keepLines w:val="0"/>
        <w:pageBreakBefore w:val="0"/>
        <w:widowControl w:val="1"/>
        <w:numPr>
          <w:ilvl w:val="3"/>
          <w:numId w:val="2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follows recognised secure coding standard, where one is available;</w:t>
      </w:r>
    </w:p>
    <w:p w:rsidR="00000000" w:rsidDel="00000000" w:rsidP="00000000" w:rsidRDefault="00000000" w:rsidRPr="00000000" w14:paraId="00000507">
      <w:pPr>
        <w:keepNext w:val="0"/>
        <w:keepLines w:val="0"/>
        <w:pageBreakBefore w:val="0"/>
        <w:widowControl w:val="1"/>
        <w:numPr>
          <w:ilvl w:val="3"/>
          <w:numId w:val="2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employs consistent naming conventions;</w:t>
      </w:r>
    </w:p>
    <w:p w:rsidR="00000000" w:rsidDel="00000000" w:rsidP="00000000" w:rsidRDefault="00000000" w:rsidRPr="00000000" w14:paraId="00000508">
      <w:pPr>
        <w:keepNext w:val="0"/>
        <w:keepLines w:val="0"/>
        <w:pageBreakBefore w:val="0"/>
        <w:widowControl w:val="1"/>
        <w:numPr>
          <w:ilvl w:val="3"/>
          <w:numId w:val="2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 coded in a consistent manner and style;</w:t>
      </w:r>
    </w:p>
    <w:p w:rsidR="00000000" w:rsidDel="00000000" w:rsidP="00000000" w:rsidRDefault="00000000" w:rsidRPr="00000000" w14:paraId="00000509">
      <w:pPr>
        <w:keepNext w:val="0"/>
        <w:keepLines w:val="0"/>
        <w:pageBreakBefore w:val="0"/>
        <w:widowControl w:val="1"/>
        <w:numPr>
          <w:ilvl w:val="3"/>
          <w:numId w:val="2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 clearly and adequately documented to set out the function of each section of code;</w:t>
      </w:r>
    </w:p>
    <w:p w:rsidR="00000000" w:rsidDel="00000000" w:rsidP="00000000" w:rsidRDefault="00000000" w:rsidRPr="00000000" w14:paraId="0000050A">
      <w:pPr>
        <w:keepNext w:val="1"/>
        <w:keepLines w:val="0"/>
        <w:pageBreakBefore w:val="0"/>
        <w:widowControl w:val="1"/>
        <w:numPr>
          <w:ilvl w:val="3"/>
          <w:numId w:val="2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 subject to appropriate levels of review through automated and non-automated methods both as part of:</w:t>
      </w:r>
    </w:p>
    <w:p w:rsidR="00000000" w:rsidDel="00000000" w:rsidP="00000000" w:rsidRDefault="00000000" w:rsidRPr="00000000" w14:paraId="0000050B">
      <w:pPr>
        <w:keepNext w:val="0"/>
        <w:keepLines w:val="0"/>
        <w:pageBreakBefore w:val="0"/>
        <w:widowControl w:val="1"/>
        <w:numPr>
          <w:ilvl w:val="4"/>
          <w:numId w:val="23"/>
        </w:numPr>
        <w:pBdr>
          <w:top w:space="0" w:sz="0" w:val="nil"/>
          <w:left w:space="0" w:sz="0" w:val="nil"/>
          <w:bottom w:space="0" w:sz="0" w:val="nil"/>
          <w:right w:space="0" w:sz="0" w:val="nil"/>
          <w:between w:space="0" w:sz="0" w:val="nil"/>
        </w:pBdr>
        <w:shd w:fill="auto" w:val="clear"/>
        <w:spacing w:after="120" w:before="120" w:line="240" w:lineRule="auto"/>
        <w:ind w:left="288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original coding; and</w:t>
      </w:r>
    </w:p>
    <w:p w:rsidR="00000000" w:rsidDel="00000000" w:rsidP="00000000" w:rsidRDefault="00000000" w:rsidRPr="00000000" w14:paraId="0000050C">
      <w:pPr>
        <w:keepNext w:val="0"/>
        <w:keepLines w:val="0"/>
        <w:pageBreakBefore w:val="0"/>
        <w:widowControl w:val="1"/>
        <w:numPr>
          <w:ilvl w:val="4"/>
          <w:numId w:val="23"/>
        </w:numPr>
        <w:pBdr>
          <w:top w:space="0" w:sz="0" w:val="nil"/>
          <w:left w:space="0" w:sz="0" w:val="nil"/>
          <w:bottom w:space="0" w:sz="0" w:val="nil"/>
          <w:right w:space="0" w:sz="0" w:val="nil"/>
          <w:between w:space="0" w:sz="0" w:val="nil"/>
        </w:pBdr>
        <w:shd w:fill="auto" w:val="clear"/>
        <w:spacing w:after="120" w:before="120" w:line="240" w:lineRule="auto"/>
        <w:ind w:left="288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 any time the Code is changed;</w:t>
      </w:r>
    </w:p>
    <w:p w:rsidR="00000000" w:rsidDel="00000000" w:rsidP="00000000" w:rsidRDefault="00000000" w:rsidRPr="00000000" w14:paraId="0000050D">
      <w:pPr>
        <w:keepNext w:val="1"/>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ensure that all Development Environments:</w:t>
      </w:r>
    </w:p>
    <w:p w:rsidR="00000000" w:rsidDel="00000000" w:rsidP="00000000" w:rsidRDefault="00000000" w:rsidRPr="00000000" w14:paraId="0000050E">
      <w:pPr>
        <w:keepNext w:val="0"/>
        <w:keepLines w:val="0"/>
        <w:pageBreakBefore w:val="0"/>
        <w:widowControl w:val="1"/>
        <w:numPr>
          <w:ilvl w:val="3"/>
          <w:numId w:val="2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protect access credentials and secret keys;</w:t>
      </w:r>
    </w:p>
    <w:p w:rsidR="00000000" w:rsidDel="00000000" w:rsidP="00000000" w:rsidRDefault="00000000" w:rsidRPr="00000000" w14:paraId="0000050F">
      <w:pPr>
        <w:keepNext w:val="1"/>
        <w:keepLines w:val="0"/>
        <w:pageBreakBefore w:val="0"/>
        <w:widowControl w:val="1"/>
        <w:numPr>
          <w:ilvl w:val="3"/>
          <w:numId w:val="2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 logically separate from all other environments, including production systems, operated by the Supplier or Sub-contractor;</w:t>
      </w:r>
    </w:p>
    <w:p w:rsidR="00000000" w:rsidDel="00000000" w:rsidP="00000000" w:rsidRDefault="00000000" w:rsidRPr="00000000" w14:paraId="00000510">
      <w:pPr>
        <w:keepNext w:val="1"/>
        <w:keepLines w:val="0"/>
        <w:pageBreakBefore w:val="0"/>
        <w:widowControl w:val="1"/>
        <w:numPr>
          <w:ilvl w:val="3"/>
          <w:numId w:val="2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requires multi-factor authentication to access;</w:t>
      </w:r>
    </w:p>
    <w:p w:rsidR="00000000" w:rsidDel="00000000" w:rsidP="00000000" w:rsidRDefault="00000000" w:rsidRPr="00000000" w14:paraId="00000511">
      <w:pPr>
        <w:keepNext w:val="0"/>
        <w:keepLines w:val="0"/>
        <w:pageBreakBefore w:val="0"/>
        <w:widowControl w:val="1"/>
        <w:numPr>
          <w:ilvl w:val="3"/>
          <w:numId w:val="2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have onward technical controls to protect the Developed System or the Supplier Information Management System in the event a Development Environment is compromised; and</w:t>
      </w:r>
    </w:p>
    <w:p w:rsidR="00000000" w:rsidDel="00000000" w:rsidP="00000000" w:rsidRDefault="00000000" w:rsidRPr="00000000" w14:paraId="00000512">
      <w:pPr>
        <w:keepNext w:val="0"/>
        <w:keepLines w:val="0"/>
        <w:pageBreakBefore w:val="0"/>
        <w:widowControl w:val="1"/>
        <w:numPr>
          <w:ilvl w:val="3"/>
          <w:numId w:val="2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use network architecture controls to constrain access from the Development Environment to the Developed System or the Supplier Information Management System.</w:t>
      </w:r>
    </w:p>
    <w:p w:rsidR="00000000" w:rsidDel="00000000" w:rsidP="00000000" w:rsidRDefault="00000000" w:rsidRPr="00000000" w14:paraId="00000513">
      <w:pPr>
        <w:keepNext w:val="1"/>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Secure Architecture</w:t>
      </w:r>
    </w:p>
    <w:p w:rsidR="00000000" w:rsidDel="00000000" w:rsidP="00000000" w:rsidRDefault="00000000" w:rsidRPr="00000000" w14:paraId="00000514">
      <w:pPr>
        <w:keepNext w:val="1"/>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58rsmhkil0qa" w:id="163"/>
      <w:bookmarkEnd w:id="163"/>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shall design and build the Developed System in a manner consistent with:</w:t>
      </w:r>
    </w:p>
    <w:p w:rsidR="00000000" w:rsidDel="00000000" w:rsidP="00000000" w:rsidRDefault="00000000" w:rsidRPr="00000000" w14:paraId="00000515">
      <w:pPr>
        <w:keepNext w:val="1"/>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NCSC’s guidance on "Security Design Principles for Digital Services";</w:t>
      </w:r>
    </w:p>
    <w:p w:rsidR="00000000" w:rsidDel="00000000" w:rsidP="00000000" w:rsidRDefault="00000000" w:rsidRPr="00000000" w14:paraId="00000516">
      <w:pPr>
        <w:keepNext w:val="1"/>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 the Developed System will Handle bulk data, the NCSC’s guidance on "Bulk Data Principles"; and</w:t>
      </w:r>
    </w:p>
    <w:p w:rsidR="00000000" w:rsidDel="00000000" w:rsidP="00000000" w:rsidRDefault="00000000" w:rsidRPr="00000000" w14:paraId="00000517">
      <w:pPr>
        <w:keepNext w:val="1"/>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NCSC’s guidance on "Cloud Security Principles".</w:t>
      </w:r>
    </w:p>
    <w:p w:rsidR="00000000" w:rsidDel="00000000" w:rsidP="00000000" w:rsidRDefault="00000000" w:rsidRPr="00000000" w14:paraId="00000518">
      <w:pPr>
        <w:keepNext w:val="0"/>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 any of the documents referred to in Paragraph 2.1 provides for various options, the Supplier must document the option it has chosen to implement and its reasons for doing so.</w:t>
      </w:r>
    </w:p>
    <w:p w:rsidR="00000000" w:rsidDel="00000000" w:rsidP="00000000" w:rsidRDefault="00000000" w:rsidRPr="00000000" w14:paraId="00000519">
      <w:pPr>
        <w:keepNext w:val="1"/>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Notwithstanding anything in the specification for the Developed System or the Contract, the Supplier must ensure that the Developed System encrypts Government Data:</w:t>
      </w:r>
    </w:p>
    <w:p w:rsidR="00000000" w:rsidDel="00000000" w:rsidP="00000000" w:rsidRDefault="00000000" w:rsidRPr="00000000" w14:paraId="0000051A">
      <w:pPr>
        <w:keepNext w:val="0"/>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when the Government Data is stored at any time when no operation is being performed on it; and</w:t>
      </w:r>
    </w:p>
    <w:p w:rsidR="00000000" w:rsidDel="00000000" w:rsidP="00000000" w:rsidRDefault="00000000" w:rsidRPr="00000000" w14:paraId="0000051B">
      <w:pPr>
        <w:keepNext w:val="0"/>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when the Government Data is transmitted.</w:t>
      </w:r>
    </w:p>
    <w:p w:rsidR="00000000" w:rsidDel="00000000" w:rsidP="00000000" w:rsidRDefault="00000000" w:rsidRPr="00000000" w14:paraId="0000051C">
      <w:pPr>
        <w:keepNext w:val="0"/>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 ensure that the Developed System is developed and configured so as to provide for the matters set out in Paragraphs 13.1 to 13.4 of Appendix 1.</w:t>
      </w:r>
    </w:p>
    <w:p w:rsidR="00000000" w:rsidDel="00000000" w:rsidP="00000000" w:rsidRDefault="00000000" w:rsidRPr="00000000" w14:paraId="0000051D">
      <w:pPr>
        <w:keepNext w:val="1"/>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Code Repository and Deployment Pipeline</w:t>
      </w:r>
    </w:p>
    <w:p w:rsidR="00000000" w:rsidDel="00000000" w:rsidP="00000000" w:rsidRDefault="00000000" w:rsidRPr="00000000" w14:paraId="0000051E">
      <w:pPr>
        <w:keepNext w:val="1"/>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 and must ensure that all Sub-contractors engaged in Development Activity:</w:t>
      </w:r>
    </w:p>
    <w:p w:rsidR="00000000" w:rsidDel="00000000" w:rsidP="00000000" w:rsidRDefault="00000000" w:rsidRPr="00000000" w14:paraId="0000051F">
      <w:pPr>
        <w:keepNext w:val="1"/>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when using a cloud -based code repository for the deployment pipeline, use only a cloud -based code repository that has been assessed against the NCSC Cloud Security Principles;</w:t>
      </w:r>
    </w:p>
    <w:p w:rsidR="00000000" w:rsidDel="00000000" w:rsidP="00000000" w:rsidRDefault="00000000" w:rsidRPr="00000000" w14:paraId="00000520">
      <w:pPr>
        <w:keepNext w:val="0"/>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ensure user access to code repositories is authenticated using credentials, with passwords or private keys; </w:t>
      </w:r>
    </w:p>
    <w:p w:rsidR="00000000" w:rsidDel="00000000" w:rsidP="00000000" w:rsidRDefault="00000000" w:rsidRPr="00000000" w14:paraId="00000521">
      <w:pPr>
        <w:keepNext w:val="0"/>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ensure secret credentials are separated from source code.</w:t>
      </w:r>
    </w:p>
    <w:p w:rsidR="00000000" w:rsidDel="00000000" w:rsidP="00000000" w:rsidRDefault="00000000" w:rsidRPr="00000000" w14:paraId="00000522">
      <w:pPr>
        <w:keepNext w:val="0"/>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run automatic security testing as part of any deployment of the Developed System.</w:t>
      </w:r>
    </w:p>
    <w:p w:rsidR="00000000" w:rsidDel="00000000" w:rsidP="00000000" w:rsidRDefault="00000000" w:rsidRPr="00000000" w14:paraId="00000523">
      <w:pPr>
        <w:keepNext w:val="1"/>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Development and Testing Data</w:t>
      </w:r>
    </w:p>
    <w:p w:rsidR="00000000" w:rsidDel="00000000" w:rsidP="00000000" w:rsidRDefault="00000000" w:rsidRPr="00000000" w14:paraId="00000524">
      <w:pPr>
        <w:keepNext w:val="1"/>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 and must ensure that all Sub-contractors engaged in Development Activity, use only anonymised, dummy or synthetic data when using data within the Development Environment for the purposes of development and testing.</w:t>
      </w:r>
    </w:p>
    <w:p w:rsidR="00000000" w:rsidDel="00000000" w:rsidP="00000000" w:rsidRDefault="00000000" w:rsidRPr="00000000" w14:paraId="00000525">
      <w:pPr>
        <w:keepNext w:val="1"/>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nfs4zwc78s76" w:id="164"/>
      <w:bookmarkEnd w:id="164"/>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Code Reviews</w:t>
      </w:r>
    </w:p>
    <w:p w:rsidR="00000000" w:rsidDel="00000000" w:rsidP="00000000" w:rsidRDefault="00000000" w:rsidRPr="00000000" w14:paraId="00000526">
      <w:pPr>
        <w:keepNext w:val="1"/>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w:t>
      </w:r>
    </w:p>
    <w:p w:rsidR="00000000" w:rsidDel="00000000" w:rsidP="00000000" w:rsidRDefault="00000000" w:rsidRPr="00000000" w14:paraId="00000527">
      <w:pPr>
        <w:keepNext w:val="0"/>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regularly; or</w:t>
      </w:r>
    </w:p>
    <w:p w:rsidR="00000000" w:rsidDel="00000000" w:rsidP="00000000" w:rsidRDefault="00000000" w:rsidRPr="00000000" w14:paraId="00000528">
      <w:pPr>
        <w:keepNext w:val="0"/>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required by the Buyer</w:t>
      </w:r>
    </w:p>
    <w:p w:rsidR="00000000" w:rsidDel="00000000" w:rsidP="00000000" w:rsidRDefault="00000000" w:rsidRPr="00000000" w14:paraId="00000529">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review the Code in accordance with the requirements of this Paragraph 5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Code Review</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2A">
      <w:pPr>
        <w:keepNext w:val="1"/>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jkuj6y47wpx" w:id="165"/>
      <w:bookmarkEnd w:id="165"/>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Before conducting any Code Review, the Supplier must agree with the Buyer:</w:t>
      </w:r>
    </w:p>
    <w:p w:rsidR="00000000" w:rsidDel="00000000" w:rsidP="00000000" w:rsidRDefault="00000000" w:rsidRPr="00000000" w14:paraId="0000052B">
      <w:pPr>
        <w:keepNext w:val="0"/>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modules or elements of the Code subject to the Code Review;</w:t>
      </w:r>
    </w:p>
    <w:p w:rsidR="00000000" w:rsidDel="00000000" w:rsidP="00000000" w:rsidRDefault="00000000" w:rsidRPr="00000000" w14:paraId="0000052C">
      <w:pPr>
        <w:keepNext w:val="0"/>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development state at which the Code Review will take place;</w:t>
      </w:r>
    </w:p>
    <w:p w:rsidR="00000000" w:rsidDel="00000000" w:rsidP="00000000" w:rsidRDefault="00000000" w:rsidRPr="00000000" w14:paraId="0000052D">
      <w:pPr>
        <w:keepNext w:val="0"/>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specific security vulnerabilities the Code Review will assess; and</w:t>
      </w:r>
    </w:p>
    <w:p w:rsidR="00000000" w:rsidDel="00000000" w:rsidP="00000000" w:rsidRDefault="00000000" w:rsidRPr="00000000" w14:paraId="0000052E">
      <w:pPr>
        <w:keepNext w:val="1"/>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frequency of any Code Reviews,</w:t>
      </w:r>
    </w:p>
    <w:p w:rsidR="00000000" w:rsidDel="00000000" w:rsidP="00000000" w:rsidRDefault="00000000" w:rsidRPr="00000000" w14:paraId="0000052F">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Code Review Plan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30">
      <w:pPr>
        <w:keepNext w:val="0"/>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 the avoidance of doubt the Code Review Plan may specify different modules or elements of the Code are reviewed at a different development state, for different security vulnerabilities and at different frequencies.</w:t>
      </w:r>
    </w:p>
    <w:p w:rsidR="00000000" w:rsidDel="00000000" w:rsidP="00000000" w:rsidRDefault="00000000" w:rsidRPr="00000000" w14:paraId="00000531">
      <w:pPr>
        <w:keepNext w:val="1"/>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w:t>
      </w:r>
    </w:p>
    <w:p w:rsidR="00000000" w:rsidDel="00000000" w:rsidP="00000000" w:rsidRDefault="00000000" w:rsidRPr="00000000" w14:paraId="00000532">
      <w:pPr>
        <w:keepNext w:val="0"/>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must undertake Code Reviews in accordance with the Code Review Plan; and</w:t>
      </w:r>
    </w:p>
    <w:p w:rsidR="00000000" w:rsidDel="00000000" w:rsidP="00000000" w:rsidRDefault="00000000" w:rsidRPr="00000000" w14:paraId="00000533">
      <w:pPr>
        <w:keepNext w:val="0"/>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may undertake Code Reviews by automated means if this is consistent with the approach specified in the Code review Plan.</w:t>
      </w:r>
    </w:p>
    <w:p w:rsidR="00000000" w:rsidDel="00000000" w:rsidP="00000000" w:rsidRDefault="00000000" w:rsidRPr="00000000" w14:paraId="00000534">
      <w:pPr>
        <w:keepNext w:val="0"/>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 later than ten Working Days or each Code Review, the Supplier must provide the Buyer will a full, unedited and unredacted copy of the Code Review Report. </w:t>
      </w:r>
    </w:p>
    <w:p w:rsidR="00000000" w:rsidDel="00000000" w:rsidP="00000000" w:rsidRDefault="00000000" w:rsidRPr="00000000" w14:paraId="00000535">
      <w:pPr>
        <w:keepNext w:val="1"/>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9bguhgossmes" w:id="166"/>
      <w:bookmarkEnd w:id="166"/>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 the Code Review identifies any security vulnerabilities, the Supplier must:</w:t>
      </w:r>
    </w:p>
    <w:p w:rsidR="00000000" w:rsidDel="00000000" w:rsidP="00000000" w:rsidRDefault="00000000" w:rsidRPr="00000000" w14:paraId="00000536">
      <w:pPr>
        <w:keepNext w:val="0"/>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remedy these at its own cost and expense;</w:t>
      </w:r>
    </w:p>
    <w:p w:rsidR="00000000" w:rsidDel="00000000" w:rsidP="00000000" w:rsidRDefault="00000000" w:rsidRPr="00000000" w14:paraId="00000537">
      <w:pPr>
        <w:keepNext w:val="0"/>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ensure, so far as reasonably practicable, that the identified security vulnerabilities are not present in any other modules or code elements; and</w:t>
      </w:r>
    </w:p>
    <w:p w:rsidR="00000000" w:rsidDel="00000000" w:rsidP="00000000" w:rsidRDefault="00000000" w:rsidRPr="00000000" w14:paraId="00000538">
      <w:pPr>
        <w:keepNext w:val="1"/>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modify its approach to undertaking the Development Activities to ensure, so far as is practicable, the identified security vulnerabilities will not re-occur; and</w:t>
      </w:r>
    </w:p>
    <w:p w:rsidR="00000000" w:rsidDel="00000000" w:rsidP="00000000" w:rsidRDefault="00000000" w:rsidRPr="00000000" w14:paraId="00000539">
      <w:pPr>
        <w:keepNext w:val="0"/>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y8v9tepqlh1l" w:id="167"/>
      <w:bookmarkEnd w:id="167"/>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provide the Buyer with such information as it requests about the steps the Supplier takes under this Paragraph 5.6.</w:t>
      </w:r>
    </w:p>
    <w:p w:rsidR="00000000" w:rsidDel="00000000" w:rsidP="00000000" w:rsidRDefault="00000000" w:rsidRPr="00000000" w14:paraId="0000053A">
      <w:pPr>
        <w:keepNext w:val="1"/>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Third-party Software</w:t>
      </w:r>
    </w:p>
    <w:p w:rsidR="00000000" w:rsidDel="00000000" w:rsidP="00000000" w:rsidRDefault="00000000" w:rsidRPr="00000000" w14:paraId="0000053B">
      <w:pPr>
        <w:keepNext w:val="1"/>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 not, and must ensure that Sub-contractors do not, use any software to Handle Government Data where the licence terms of that software purport to grant the licensor rights to Handle the Government Data greater than those rights strictly necessary for the use of the software.</w:t>
      </w:r>
    </w:p>
    <w:p w:rsidR="00000000" w:rsidDel="00000000" w:rsidP="00000000" w:rsidRDefault="00000000" w:rsidRPr="00000000" w14:paraId="0000053C">
      <w:pPr>
        <w:keepNext w:val="1"/>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Third-party Software Modules</w:t>
      </w:r>
    </w:p>
    <w:p w:rsidR="00000000" w:rsidDel="00000000" w:rsidP="00000000" w:rsidRDefault="00000000" w:rsidRPr="00000000" w14:paraId="0000053D">
      <w:pPr>
        <w:keepNext w:val="1"/>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 the Supplier or a Sub-contractor incorporates a Third-party Software Module into the Code, the Supplier must:</w:t>
      </w:r>
    </w:p>
    <w:p w:rsidR="00000000" w:rsidDel="00000000" w:rsidP="00000000" w:rsidRDefault="00000000" w:rsidRPr="00000000" w14:paraId="0000053E">
      <w:pPr>
        <w:keepNext w:val="1"/>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verify the source and integrity of the Third-party Software Module by cryptographic signing or such other measure that provides the same level of assurance;</w:t>
      </w:r>
    </w:p>
    <w:p w:rsidR="00000000" w:rsidDel="00000000" w:rsidP="00000000" w:rsidRDefault="00000000" w:rsidRPr="00000000" w14:paraId="0000053F">
      <w:pPr>
        <w:keepNext w:val="1"/>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ghgbnovdlc4a" w:id="168"/>
      <w:bookmarkEnd w:id="168"/>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perform adequate due diligence to determine whether there are any recognised security vulnerabilities with that Third-party Software Module;</w:t>
      </w:r>
    </w:p>
    <w:p w:rsidR="00000000" w:rsidDel="00000000" w:rsidP="00000000" w:rsidRDefault="00000000" w:rsidRPr="00000000" w14:paraId="00000540">
      <w:pPr>
        <w:keepNext w:val="1"/>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continue to monitor any such Third-party Software Module so as to ensure it promptly becomes aware of any newly -discovered security vulnerabilities; and</w:t>
      </w:r>
    </w:p>
    <w:p w:rsidR="00000000" w:rsidDel="00000000" w:rsidP="00000000" w:rsidRDefault="00000000" w:rsidRPr="00000000" w14:paraId="00000541">
      <w:pPr>
        <w:keepNext w:val="0"/>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take appropriate steps to minimise the effect of any such security vulnerability on the Developed System.</w:t>
      </w:r>
    </w:p>
    <w:p w:rsidR="00000000" w:rsidDel="00000000" w:rsidP="00000000" w:rsidRDefault="00000000" w:rsidRPr="00000000" w14:paraId="00000542">
      <w:pPr>
        <w:keepNext w:val="0"/>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s9u5juyf2lxl" w:id="169"/>
      <w:bookmarkEnd w:id="169"/>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 the purposes of Paragraph 7.1.2, the Supplier must perform due diligence that is proportionate to the significance of the Third-party Software Module within the Code. </w:t>
      </w:r>
    </w:p>
    <w:p w:rsidR="00000000" w:rsidDel="00000000" w:rsidP="00000000" w:rsidRDefault="00000000" w:rsidRPr="00000000" w14:paraId="00000543">
      <w:pPr>
        <w:keepNext w:val="1"/>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m6c3w35upig5" w:id="170"/>
      <w:bookmarkEnd w:id="170"/>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 produce and maintain a register of all Third-party Software Modules that form part of the Code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Modules Register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44">
      <w:pPr>
        <w:keepNext w:val="1"/>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Modules Register must include, in respect of each Third-party Software Module:</w:t>
      </w:r>
    </w:p>
    <w:p w:rsidR="00000000" w:rsidDel="00000000" w:rsidP="00000000" w:rsidRDefault="00000000" w:rsidRPr="00000000" w14:paraId="00000545">
      <w:pPr>
        <w:keepNext w:val="0"/>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full details of the developer of the module;</w:t>
      </w:r>
    </w:p>
    <w:p w:rsidR="00000000" w:rsidDel="00000000" w:rsidP="00000000" w:rsidRDefault="00000000" w:rsidRPr="00000000" w14:paraId="00000546">
      <w:pPr>
        <w:keepNext w:val="1"/>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due diligence the Supplier undertook on the Third-party Software Module before deciding to use it;</w:t>
      </w:r>
    </w:p>
    <w:p w:rsidR="00000000" w:rsidDel="00000000" w:rsidP="00000000" w:rsidRDefault="00000000" w:rsidRPr="00000000" w14:paraId="00000547">
      <w:pPr>
        <w:keepNext w:val="1"/>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recognised security vulnerabilities in the -Third-party Software Module; and</w:t>
      </w:r>
    </w:p>
    <w:p w:rsidR="00000000" w:rsidDel="00000000" w:rsidP="00000000" w:rsidRDefault="00000000" w:rsidRPr="00000000" w14:paraId="00000548">
      <w:pPr>
        <w:keepNext w:val="0"/>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how the Supplier will minimise the effect of any such security vulnerability on the Developed System.</w:t>
      </w:r>
    </w:p>
    <w:p w:rsidR="00000000" w:rsidDel="00000000" w:rsidP="00000000" w:rsidRDefault="00000000" w:rsidRPr="00000000" w14:paraId="00000549">
      <w:pPr>
        <w:keepNext w:val="1"/>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w:t>
      </w:r>
    </w:p>
    <w:p w:rsidR="00000000" w:rsidDel="00000000" w:rsidP="00000000" w:rsidRDefault="00000000" w:rsidRPr="00000000" w14:paraId="0000054A">
      <w:pPr>
        <w:keepNext w:val="1"/>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review and update the Modules Register:</w:t>
      </w:r>
    </w:p>
    <w:p w:rsidR="00000000" w:rsidDel="00000000" w:rsidP="00000000" w:rsidRDefault="00000000" w:rsidRPr="00000000" w14:paraId="0000054B">
      <w:pPr>
        <w:keepNext w:val="1"/>
        <w:keepLines w:val="0"/>
        <w:pageBreakBefore w:val="0"/>
        <w:widowControl w:val="1"/>
        <w:numPr>
          <w:ilvl w:val="3"/>
          <w:numId w:val="2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within [</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10</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Working Days of becoming aware of a security vulnerability in any Third-party Software Module; and</w:t>
      </w:r>
    </w:p>
    <w:p w:rsidR="00000000" w:rsidDel="00000000" w:rsidP="00000000" w:rsidRDefault="00000000" w:rsidRPr="00000000" w14:paraId="0000054C">
      <w:pPr>
        <w:keepNext w:val="0"/>
        <w:keepLines w:val="0"/>
        <w:pageBreakBefore w:val="0"/>
        <w:widowControl w:val="1"/>
        <w:numPr>
          <w:ilvl w:val="3"/>
          <w:numId w:val="2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 least once every six months; and</w:t>
      </w:r>
    </w:p>
    <w:p w:rsidR="00000000" w:rsidDel="00000000" w:rsidP="00000000" w:rsidRDefault="00000000" w:rsidRPr="00000000" w14:paraId="0000054D">
      <w:pPr>
        <w:keepNext w:val="1"/>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provide the Buyer with a copy of the Modules Register:</w:t>
      </w:r>
    </w:p>
    <w:p w:rsidR="00000000" w:rsidDel="00000000" w:rsidP="00000000" w:rsidRDefault="00000000" w:rsidRPr="00000000" w14:paraId="0000054E">
      <w:pPr>
        <w:keepNext w:val="0"/>
        <w:keepLines w:val="0"/>
        <w:pageBreakBefore w:val="0"/>
        <w:widowControl w:val="1"/>
        <w:numPr>
          <w:ilvl w:val="3"/>
          <w:numId w:val="2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whenever it updates the Modules Register; and</w:t>
      </w:r>
    </w:p>
    <w:p w:rsidR="00000000" w:rsidDel="00000000" w:rsidP="00000000" w:rsidRDefault="00000000" w:rsidRPr="00000000" w14:paraId="0000054F">
      <w:pPr>
        <w:keepNext w:val="0"/>
        <w:keepLines w:val="0"/>
        <w:pageBreakBefore w:val="0"/>
        <w:widowControl w:val="1"/>
        <w:numPr>
          <w:ilvl w:val="3"/>
          <w:numId w:val="2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i w:val="0"/>
          <w:smallCaps w:val="0"/>
          <w:strike w:val="0"/>
          <w:color w:val="000000"/>
          <w:sz w:val="24"/>
          <w:szCs w:val="24"/>
          <w:u w:val="none"/>
          <w:shd w:fill="auto" w:val="clear"/>
          <w:vertAlign w:val="baseline"/>
        </w:rPr>
        <w:sectPr>
          <w:headerReference r:id="rId24" w:type="default"/>
          <w:headerReference r:id="rId25" w:type="first"/>
          <w:headerReference r:id="rId26" w:type="even"/>
          <w:footerReference r:id="rId27" w:type="default"/>
          <w:footerReference r:id="rId28" w:type="first"/>
          <w:footerReference r:id="rId29" w:type="even"/>
          <w:type w:val="nextPage"/>
          <w:pgSz w:h="16838" w:w="11906" w:orient="portrait"/>
          <w:pgMar w:bottom="1800" w:top="1440" w:left="1440" w:right="1440" w:header="706" w:footer="706"/>
        </w:sect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otherwise when the Buyer requests.</w:t>
      </w:r>
    </w:p>
    <w:p w:rsidR="00000000" w:rsidDel="00000000" w:rsidP="00000000" w:rsidRDefault="00000000" w:rsidRPr="00000000" w14:paraId="00000550">
      <w:pPr>
        <w:keepNext w:val="1"/>
        <w:keepLines w:val="0"/>
        <w:pageBreakBefore w:val="1"/>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36"/>
          <w:szCs w:val="36"/>
          <w:u w:val="none"/>
          <w:shd w:fill="auto" w:val="clear"/>
          <w:vertAlign w:val="baseline"/>
        </w:rPr>
      </w:pPr>
      <w:bookmarkStart w:colFirst="0" w:colLast="0" w:name="_heading=h.aex3awdwvdxv" w:id="171"/>
      <w:bookmarkEnd w:id="171"/>
      <w:r w:rsidDel="00000000" w:rsidR="00000000" w:rsidRPr="00000000">
        <w:rPr>
          <w:rFonts w:ascii="Arial" w:cs="Arial" w:eastAsia="Arial" w:hAnsi="Arial"/>
          <w:b w:val="1"/>
          <w:i w:val="0"/>
          <w:smallCaps w:val="0"/>
          <w:strike w:val="0"/>
          <w:color w:val="000000"/>
          <w:sz w:val="36"/>
          <w:szCs w:val="36"/>
          <w:u w:val="none"/>
          <w:shd w:fill="auto" w:val="clear"/>
          <w:vertAlign w:val="baseline"/>
          <w:rtl w:val="0"/>
        </w:rPr>
        <w:t xml:space="preserve">Security Working Group</w:t>
      </w:r>
    </w:p>
    <w:p w:rsidR="00000000" w:rsidDel="00000000" w:rsidP="00000000" w:rsidRDefault="00000000" w:rsidRPr="00000000" w14:paraId="00000551">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2">
      <w:pPr>
        <w:keepNext w:val="1"/>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Role of the Security Working Group</w:t>
      </w:r>
    </w:p>
    <w:p w:rsidR="00000000" w:rsidDel="00000000" w:rsidP="00000000" w:rsidRDefault="00000000" w:rsidRPr="00000000" w14:paraId="00000553">
      <w:pPr>
        <w:keepNext w:val="0"/>
        <w:keepLines w:val="0"/>
        <w:pageBreakBefore w:val="0"/>
        <w:widowControl w:val="1"/>
        <w:numPr>
          <w:ilvl w:val="1"/>
          <w:numId w:val="17"/>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Security Working Group shall be responsible for the </w:t>
      </w:r>
      <w:r w:rsidDel="00000000" w:rsidR="00000000" w:rsidRPr="00000000">
        <w:rPr>
          <w:rFonts w:ascii="Arial" w:cs="Arial" w:eastAsia="Arial" w:hAnsi="Arial"/>
          <w:b w:val="1"/>
          <w:i w:val="1"/>
          <w:smallCaps w:val="0"/>
          <w:strike w:val="0"/>
          <w:color w:val="000000"/>
          <w:sz w:val="24"/>
          <w:szCs w:val="24"/>
          <w:highlight w:val="yellow"/>
          <w:u w:val="none"/>
          <w:vertAlign w:val="baseline"/>
          <w:rtl w:val="0"/>
        </w:rPr>
        <w:t xml:space="preserve">[Buyer Guidance: insert remit of Security Working Group]</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54">
      <w:pPr>
        <w:keepNext w:val="1"/>
        <w:keepLines w:val="0"/>
        <w:pageBreakBefore w:val="0"/>
        <w:widowControl w:val="1"/>
        <w:numPr>
          <w:ilvl w:val="1"/>
          <w:numId w:val="17"/>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Security Working Group:</w:t>
      </w:r>
    </w:p>
    <w:p w:rsidR="00000000" w:rsidDel="00000000" w:rsidP="00000000" w:rsidRDefault="00000000" w:rsidRPr="00000000" w14:paraId="00000555">
      <w:pPr>
        <w:keepNext w:val="1"/>
        <w:keepLines w:val="0"/>
        <w:pageBreakBefore w:val="0"/>
        <w:widowControl w:val="1"/>
        <w:numPr>
          <w:ilvl w:val="2"/>
          <w:numId w:val="17"/>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monitors and provides recommendations to the Supplier on the assurance of the Supplier Information Management System;</w:t>
      </w:r>
    </w:p>
    <w:p w:rsidR="00000000" w:rsidDel="00000000" w:rsidP="00000000" w:rsidRDefault="00000000" w:rsidRPr="00000000" w14:paraId="00000556">
      <w:pPr>
        <w:keepNext w:val="1"/>
        <w:keepLines w:val="0"/>
        <w:pageBreakBefore w:val="0"/>
        <w:widowControl w:val="1"/>
        <w:numPr>
          <w:ilvl w:val="2"/>
          <w:numId w:val="17"/>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v6rojb5j5az5" w:id="172"/>
      <w:bookmarkEnd w:id="172"/>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provides a forum for the sharing of information concerning security risks and threats and determining the appropriate mitigations;</w:t>
      </w:r>
    </w:p>
    <w:p w:rsidR="00000000" w:rsidDel="00000000" w:rsidP="00000000" w:rsidRDefault="00000000" w:rsidRPr="00000000" w14:paraId="00000557">
      <w:pPr>
        <w:keepNext w:val="0"/>
        <w:keepLines w:val="0"/>
        <w:pageBreakBefore w:val="0"/>
        <w:widowControl w:val="1"/>
        <w:numPr>
          <w:ilvl w:val="2"/>
          <w:numId w:val="17"/>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1"/>
          <w:smallCaps w:val="0"/>
          <w:strike w:val="0"/>
          <w:color w:val="000000"/>
          <w:sz w:val="24"/>
          <w:szCs w:val="24"/>
          <w:highlight w:val="yellow"/>
          <w:u w:val="none"/>
          <w:vertAlign w:val="baseline"/>
          <w:rtl w:val="0"/>
        </w:rPr>
        <w:t xml:space="preserve">[Buyer Guidance: insert any other terms of reference for Security Working Group that the Buyer wishes to apply]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58">
      <w:pPr>
        <w:keepNext w:val="1"/>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Meetings of the Security Working Group</w:t>
      </w:r>
    </w:p>
    <w:p w:rsidR="00000000" w:rsidDel="00000000" w:rsidP="00000000" w:rsidRDefault="00000000" w:rsidRPr="00000000" w14:paraId="00000559">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Paragraph 4.4 of Call-Off Schedule 15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(Call-Off Contract Management)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shall apply to the Security Working Group and references to ‘board’ and ‘Operational Board’ shall be construed as references to the Security Working Group. </w:t>
      </w:r>
    </w:p>
    <w:p w:rsidR="00000000" w:rsidDel="00000000" w:rsidP="00000000" w:rsidRDefault="00000000" w:rsidRPr="00000000" w14:paraId="0000055A">
      <w:pPr>
        <w:keepNext w:val="1"/>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Reports to the Security Working Group</w:t>
      </w:r>
    </w:p>
    <w:p w:rsidR="00000000" w:rsidDel="00000000" w:rsidP="00000000" w:rsidRDefault="00000000" w:rsidRPr="00000000" w14:paraId="0000055B">
      <w:pPr>
        <w:keepNext w:val="1"/>
        <w:keepLines w:val="0"/>
        <w:pageBreakBefore w:val="0"/>
        <w:widowControl w:val="1"/>
        <w:numPr>
          <w:ilvl w:val="1"/>
          <w:numId w:val="17"/>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must provide the following reports no late than [</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five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Working Days before each meeting of the Security Woking Group:</w:t>
      </w:r>
    </w:p>
    <w:p w:rsidR="00000000" w:rsidDel="00000000" w:rsidP="00000000" w:rsidRDefault="00000000" w:rsidRPr="00000000" w14:paraId="0000055C">
      <w:pPr>
        <w:keepNext w:val="0"/>
        <w:keepLines w:val="0"/>
        <w:pageBreakBefore w:val="0"/>
        <w:widowControl w:val="1"/>
        <w:numPr>
          <w:ilvl w:val="2"/>
          <w:numId w:val="17"/>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1"/>
          <w:smallCaps w:val="0"/>
          <w:strike w:val="0"/>
          <w:color w:val="000000"/>
          <w:sz w:val="24"/>
          <w:szCs w:val="24"/>
          <w:highlight w:val="yellow"/>
          <w:u w:val="none"/>
          <w:vertAlign w:val="baseline"/>
          <w:rtl w:val="0"/>
        </w:rPr>
        <w:t xml:space="preserve">[Buyer Guidance: insert list of required reports]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5D">
      <w:pPr>
        <w:keepNext w:val="1"/>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Administration</w:t>
      </w:r>
    </w:p>
    <w:p w:rsidR="00000000" w:rsidDel="00000000" w:rsidP="00000000" w:rsidRDefault="00000000" w:rsidRPr="00000000" w14:paraId="0000055E">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is responsible for the secretarial functions of the SWG.</w:t>
      </w:r>
    </w:p>
    <w:p w:rsidR="00000000" w:rsidDel="00000000" w:rsidP="00000000" w:rsidRDefault="00000000" w:rsidRPr="00000000" w14:paraId="0000055F">
      <w:pPr>
        <w:spacing w:after="120" w:before="120" w:lineRule="auto"/>
        <w:rPr/>
      </w:pPr>
      <w:r w:rsidDel="00000000" w:rsidR="00000000" w:rsidRPr="00000000">
        <w:br w:type="page"/>
      </w:r>
      <w:r w:rsidDel="00000000" w:rsidR="00000000" w:rsidRPr="00000000">
        <w:rPr>
          <w:rtl w:val="0"/>
        </w:rPr>
      </w:r>
    </w:p>
    <w:p w:rsidR="00000000" w:rsidDel="00000000" w:rsidP="00000000" w:rsidRDefault="00000000" w:rsidRPr="00000000" w14:paraId="00000560">
      <w:pPr>
        <w:keepNext w:val="1"/>
        <w:keepLines w:val="0"/>
        <w:pageBreakBefore w:val="1"/>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36"/>
          <w:szCs w:val="36"/>
          <w:u w:val="none"/>
          <w:shd w:fill="auto" w:val="clear"/>
          <w:vertAlign w:val="baseline"/>
        </w:rPr>
      </w:pPr>
      <w:bookmarkStart w:colFirst="0" w:colLast="0" w:name="_heading=h.y2gnw9hzccvl" w:id="173"/>
      <w:bookmarkEnd w:id="173"/>
      <w:r w:rsidDel="00000000" w:rsidR="00000000" w:rsidRPr="00000000">
        <w:rPr>
          <w:rFonts w:ascii="Arial" w:cs="Arial" w:eastAsia="Arial" w:hAnsi="Arial"/>
          <w:b w:val="1"/>
          <w:i w:val="0"/>
          <w:smallCaps w:val="0"/>
          <w:strike w:val="0"/>
          <w:color w:val="000000"/>
          <w:sz w:val="36"/>
          <w:szCs w:val="36"/>
          <w:u w:val="none"/>
          <w:shd w:fill="auto" w:val="clear"/>
          <w:vertAlign w:val="baseline"/>
          <w:rtl w:val="0"/>
        </w:rPr>
        <w:t xml:space="preserve">Sub-contractor Security Requirements and Security Requirements for Development Activity</w:t>
      </w:r>
    </w:p>
    <w:p w:rsidR="00000000" w:rsidDel="00000000" w:rsidP="00000000" w:rsidRDefault="00000000" w:rsidRPr="00000000" w14:paraId="00000561">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table below sets out the security requirements in Appendix 1 and the security requirements for Development Activity in Appendix 2 that do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apply to particular categories of Sub-contractors.</w:t>
      </w:r>
    </w:p>
    <w:p w:rsidR="00000000" w:rsidDel="00000000" w:rsidP="00000000" w:rsidRDefault="00000000" w:rsidRPr="00000000" w14:paraId="00000562">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rFonts w:ascii="Arial" w:cs="Arial" w:eastAsia="Arial" w:hAnsi="Arial"/>
          <w:b w:val="1"/>
          <w:i w:val="1"/>
          <w:smallCaps w:val="0"/>
          <w:strike w:val="0"/>
          <w:color w:val="000000"/>
          <w:sz w:val="24"/>
          <w:szCs w:val="24"/>
          <w:highlight w:val="yellow"/>
          <w:u w:val="none"/>
          <w:vertAlign w:val="baseline"/>
          <w:rtl w:val="0"/>
        </w:rPr>
        <w:t xml:space="preserve">[Buyer Guidance: Populate this table to reflect any provisions of Appendix 1 or Appendix 2 that will not apply to any particular categories of Sub-contractor]</w:t>
      </w:r>
      <w:r w:rsidDel="00000000" w:rsidR="00000000" w:rsidRPr="00000000">
        <w:rPr>
          <w:rtl w:val="0"/>
        </w:rPr>
      </w:r>
    </w:p>
    <w:tbl>
      <w:tblPr>
        <w:tblStyle w:val="Table3"/>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03"/>
        <w:gridCol w:w="1803"/>
        <w:gridCol w:w="1803"/>
        <w:gridCol w:w="1803"/>
        <w:gridCol w:w="1804"/>
        <w:tblGridChange w:id="0">
          <w:tblGrid>
            <w:gridCol w:w="1803"/>
            <w:gridCol w:w="1803"/>
            <w:gridCol w:w="1803"/>
            <w:gridCol w:w="1803"/>
            <w:gridCol w:w="1804"/>
          </w:tblGrid>
        </w:tblGridChange>
      </w:tblGrid>
      <w:tr>
        <w:trPr>
          <w:cantSplit w:val="0"/>
          <w:tblHeader w:val="0"/>
        </w:trPr>
        <w:tc>
          <w:tcPr>
            <w:shd w:fill="d9d9d9" w:val="clear"/>
          </w:tcPr>
          <w:p w:rsidR="00000000" w:rsidDel="00000000" w:rsidP="00000000" w:rsidRDefault="00000000" w:rsidRPr="00000000" w14:paraId="0000056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d9d9d9" w:val="clear"/>
          </w:tcPr>
          <w:p w:rsidR="00000000" w:rsidDel="00000000" w:rsidP="00000000" w:rsidRDefault="00000000" w:rsidRPr="00000000" w14:paraId="00000564">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SIMS Sub-contractors</w:t>
            </w:r>
          </w:p>
        </w:tc>
        <w:tc>
          <w:tcPr>
            <w:shd w:fill="d9d9d9" w:val="clear"/>
          </w:tcPr>
          <w:p w:rsidR="00000000" w:rsidDel="00000000" w:rsidP="00000000" w:rsidRDefault="00000000" w:rsidRPr="00000000" w14:paraId="00000565">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Higher-risk Sub-contractors</w:t>
            </w:r>
          </w:p>
        </w:tc>
        <w:tc>
          <w:tcPr>
            <w:shd w:fill="d9d9d9" w:val="clear"/>
          </w:tcPr>
          <w:p w:rsidR="00000000" w:rsidDel="00000000" w:rsidP="00000000" w:rsidRDefault="00000000" w:rsidRPr="00000000" w14:paraId="00000566">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Medium-risk Sub-contractors</w:t>
            </w:r>
          </w:p>
        </w:tc>
        <w:tc>
          <w:tcPr>
            <w:shd w:fill="d9d9d9" w:val="clear"/>
          </w:tcPr>
          <w:p w:rsidR="00000000" w:rsidDel="00000000" w:rsidP="00000000" w:rsidRDefault="00000000" w:rsidRPr="00000000" w14:paraId="00000567">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Sub-contractors</w:t>
            </w:r>
          </w:p>
        </w:tc>
      </w:tr>
      <w:tr>
        <w:trPr>
          <w:cantSplit w:val="0"/>
          <w:tblHeader w:val="0"/>
        </w:trPr>
        <w:tc>
          <w:tcPr/>
          <w:p w:rsidR="00000000" w:rsidDel="00000000" w:rsidP="00000000" w:rsidRDefault="00000000" w:rsidRPr="00000000" w14:paraId="0000056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Appendix 1 security sequirements that do not apply</w:t>
            </w:r>
          </w:p>
        </w:tc>
        <w:tc>
          <w:tcPr/>
          <w:p w:rsidR="00000000" w:rsidDel="00000000" w:rsidP="00000000" w:rsidRDefault="00000000" w:rsidRPr="00000000" w14:paraId="0000056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56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56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56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56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Appendix 2 security requirements for Development Activity that do not apply</w:t>
            </w:r>
          </w:p>
        </w:tc>
        <w:tc>
          <w:tcPr/>
          <w:p w:rsidR="00000000" w:rsidDel="00000000" w:rsidP="00000000" w:rsidRDefault="00000000" w:rsidRPr="00000000" w14:paraId="0000056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56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57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57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57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sectPr>
          <w:type w:val="nextPage"/>
          <w:pgSz w:h="16838" w:w="11906" w:orient="portrait"/>
          <w:pgMar w:bottom="1797" w:top="1440" w:left="1440" w:right="1440" w:header="720" w:footer="720"/>
        </w:sectPr>
      </w:pPr>
      <w:r w:rsidDel="00000000" w:rsidR="00000000" w:rsidRPr="00000000">
        <w:rPr>
          <w:rtl w:val="0"/>
        </w:rPr>
      </w:r>
    </w:p>
    <w:p w:rsidR="00000000" w:rsidDel="00000000" w:rsidP="00000000" w:rsidRDefault="00000000" w:rsidRPr="00000000" w14:paraId="00000573">
      <w:pPr>
        <w:keepNext w:val="1"/>
        <w:keepLines w:val="0"/>
        <w:pageBreakBefore w:val="1"/>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Fonts w:ascii="Arial" w:cs="Arial" w:eastAsia="Arial" w:hAnsi="Arial"/>
          <w:b w:val="1"/>
          <w:i w:val="0"/>
          <w:smallCaps w:val="0"/>
          <w:strike w:val="0"/>
          <w:color w:val="000000"/>
          <w:sz w:val="36"/>
          <w:szCs w:val="36"/>
          <w:u w:val="none"/>
          <w:shd w:fill="auto" w:val="clear"/>
          <w:vertAlign w:val="baseline"/>
          <w:rtl w:val="0"/>
        </w:rPr>
        <w:t xml:space="preserve">Security Management Plan Template</w:t>
      </w:r>
    </w:p>
    <w:p w:rsidR="00000000" w:rsidDel="00000000" w:rsidP="00000000" w:rsidRDefault="00000000" w:rsidRPr="00000000" w14:paraId="0000057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1"/>
          <w:smallCaps w:val="0"/>
          <w:strike w:val="0"/>
          <w:color w:val="000000"/>
          <w:sz w:val="24"/>
          <w:szCs w:val="24"/>
          <w:u w:val="none"/>
          <w:shd w:fill="auto" w:val="clear"/>
          <w:vertAlign w:val="baseline"/>
        </w:rPr>
        <w:sectPr>
          <w:headerReference r:id="rId30" w:type="default"/>
          <w:footerReference r:id="rId31" w:type="default"/>
          <w:type w:val="nextPage"/>
          <w:pgSz w:h="16838" w:w="11906" w:orient="portrait"/>
          <w:pgMar w:bottom="851" w:top="851" w:left="851" w:right="851" w:header="851" w:footer="851"/>
        </w:sectPr>
      </w:pPr>
      <w:r w:rsidDel="00000000" w:rsidR="00000000" w:rsidRPr="00000000">
        <w:rPr>
          <w:rFonts w:ascii="Arial" w:cs="Arial" w:eastAsia="Arial" w:hAnsi="Arial"/>
          <w:b w:val="0"/>
          <w:i w:val="1"/>
          <w:smallCaps w:val="0"/>
          <w:strike w:val="0"/>
          <w:color w:val="000000"/>
          <w:sz w:val="24"/>
          <w:szCs w:val="24"/>
          <w:highlight w:val="yellow"/>
          <w:u w:val="none"/>
          <w:vertAlign w:val="baseline"/>
          <w:rtl w:val="0"/>
        </w:rPr>
        <w:t xml:space="preserve">[</w:t>
      </w:r>
      <w:r w:rsidDel="00000000" w:rsidR="00000000" w:rsidRPr="00000000">
        <w:rPr>
          <w:rFonts w:ascii="Arial" w:cs="Arial" w:eastAsia="Arial" w:hAnsi="Arial"/>
          <w:b w:val="1"/>
          <w:i w:val="1"/>
          <w:smallCaps w:val="0"/>
          <w:strike w:val="0"/>
          <w:color w:val="000000"/>
          <w:sz w:val="24"/>
          <w:szCs w:val="24"/>
          <w:highlight w:val="yellow"/>
          <w:u w:val="none"/>
          <w:vertAlign w:val="baseline"/>
          <w:rtl w:val="0"/>
        </w:rPr>
        <w:t xml:space="preserve">Buyer Guidance:</w:t>
      </w:r>
      <w:r w:rsidDel="00000000" w:rsidR="00000000" w:rsidRPr="00000000">
        <w:rPr>
          <w:rFonts w:ascii="Arial" w:cs="Arial" w:eastAsia="Arial" w:hAnsi="Arial"/>
          <w:b w:val="0"/>
          <w:i w:val="1"/>
          <w:smallCaps w:val="0"/>
          <w:strike w:val="0"/>
          <w:color w:val="000000"/>
          <w:sz w:val="24"/>
          <w:szCs w:val="24"/>
          <w:highlight w:val="yellow"/>
          <w:u w:val="none"/>
          <w:vertAlign w:val="baseline"/>
          <w:rtl w:val="0"/>
        </w:rPr>
        <w:t xml:space="preserve"> </w:t>
      </w:r>
      <w:r w:rsidDel="00000000" w:rsidR="00000000" w:rsidRPr="00000000">
        <w:rPr>
          <w:rFonts w:ascii="Arial" w:cs="Arial" w:eastAsia="Arial" w:hAnsi="Arial"/>
          <w:b w:val="1"/>
          <w:i w:val="1"/>
          <w:smallCaps w:val="0"/>
          <w:strike w:val="0"/>
          <w:color w:val="000000"/>
          <w:sz w:val="24"/>
          <w:szCs w:val="24"/>
          <w:highlight w:val="yellow"/>
          <w:u w:val="none"/>
          <w:vertAlign w:val="baseline"/>
          <w:rtl w:val="0"/>
        </w:rPr>
        <w:t xml:space="preserve">Insert EITHER Security Management Plan template OR link to Guidance including Security Management Plan template]</w:t>
      </w:r>
      <w:r w:rsidDel="00000000" w:rsidR="00000000" w:rsidRPr="00000000">
        <w:rPr>
          <w:rtl w:val="0"/>
        </w:rPr>
      </w:r>
    </w:p>
    <w:p w:rsidR="00000000" w:rsidDel="00000000" w:rsidP="00000000" w:rsidRDefault="00000000" w:rsidRPr="00000000" w14:paraId="00000575">
      <w:pPr>
        <w:keepNext w:val="1"/>
        <w:keepLines w:val="0"/>
        <w:pageBreakBefore w:val="1"/>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36"/>
          <w:szCs w:val="36"/>
          <w:u w:val="none"/>
          <w:shd w:fill="auto" w:val="clear"/>
          <w:vertAlign w:val="baseline"/>
        </w:rPr>
      </w:pPr>
      <w:bookmarkStart w:colFirst="0" w:colLast="0" w:name="_heading=h.4sp5kfotb6ir" w:id="174"/>
      <w:bookmarkEnd w:id="174"/>
      <w:r w:rsidDel="00000000" w:rsidR="00000000" w:rsidRPr="00000000">
        <w:rPr>
          <w:rFonts w:ascii="Arial" w:cs="Arial" w:eastAsia="Arial" w:hAnsi="Arial"/>
          <w:b w:val="1"/>
          <w:i w:val="0"/>
          <w:smallCaps w:val="0"/>
          <w:strike w:val="0"/>
          <w:color w:val="000000"/>
          <w:sz w:val="36"/>
          <w:szCs w:val="36"/>
          <w:u w:val="none"/>
          <w:shd w:fill="auto" w:val="clear"/>
          <w:vertAlign w:val="baseline"/>
          <w:rtl w:val="0"/>
        </w:rPr>
        <w:t xml:space="preserve">Secure by Design Principles Evaluation Table</w:t>
      </w:r>
    </w:p>
    <w:p w:rsidR="00000000" w:rsidDel="00000000" w:rsidP="00000000" w:rsidRDefault="00000000" w:rsidRPr="00000000" w14:paraId="00000576">
      <w:pPr>
        <w:keepNext w:val="1"/>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Completion of Principles Evaluation Table</w:t>
      </w:r>
    </w:p>
    <w:p w:rsidR="00000000" w:rsidDel="00000000" w:rsidP="00000000" w:rsidRDefault="00000000" w:rsidRPr="00000000" w14:paraId="00000577">
      <w:pPr>
        <w:keepNext w:val="0"/>
        <w:keepLines w:val="0"/>
        <w:pageBreakBefore w:val="0"/>
        <w:widowControl w:val="1"/>
        <w:numPr>
          <w:ilvl w:val="1"/>
          <w:numId w:val="21"/>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part of the Security Management Plan, the Supplier must complete the table in this Appendix 6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Secure by Design Principles Evaluation Table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unless that requirement is waived by the Buyer.</w:t>
      </w:r>
    </w:p>
    <w:p w:rsidR="00000000" w:rsidDel="00000000" w:rsidP="00000000" w:rsidRDefault="00000000" w:rsidRPr="00000000" w14:paraId="00000578">
      <w:pPr>
        <w:keepNext w:val="0"/>
        <w:keepLines w:val="0"/>
        <w:pageBreakBefore w:val="0"/>
        <w:widowControl w:val="1"/>
        <w:numPr>
          <w:ilvl w:val="1"/>
          <w:numId w:val="21"/>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completing this table, the Supplier must set out how it and any Sub-contractors will meet the Secure by Design Principles.</w:t>
      </w:r>
    </w:p>
    <w:tbl>
      <w:tblPr>
        <w:tblStyle w:val="Table4"/>
        <w:tblW w:w="1445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225"/>
        <w:gridCol w:w="3402"/>
        <w:gridCol w:w="7827"/>
        <w:tblGridChange w:id="0">
          <w:tblGrid>
            <w:gridCol w:w="3225"/>
            <w:gridCol w:w="3402"/>
            <w:gridCol w:w="7827"/>
          </w:tblGrid>
        </w:tblGridChange>
      </w:tblGrid>
      <w:tr>
        <w:trPr>
          <w:cantSplit w:val="0"/>
          <w:tblHeader w:val="1"/>
        </w:trPr>
        <w:tc>
          <w:tcPr>
            <w:shd w:fill="f2f2f2" w:val="clear"/>
            <w:tcMar>
              <w:top w:w="108.0" w:type="dxa"/>
              <w:left w:w="108.0" w:type="dxa"/>
              <w:bottom w:w="0.0" w:type="dxa"/>
              <w:right w:w="108.0" w:type="dxa"/>
            </w:tcMar>
          </w:tcPr>
          <w:p w:rsidR="00000000" w:rsidDel="00000000" w:rsidP="00000000" w:rsidRDefault="00000000" w:rsidRPr="00000000" w14:paraId="0000057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Secure by Design Principle</w:t>
            </w:r>
          </w:p>
        </w:tc>
        <w:tc>
          <w:tcPr>
            <w:shd w:fill="f2f2f2" w:val="clear"/>
            <w:tcMar>
              <w:top w:w="108.0" w:type="dxa"/>
              <w:left w:w="108.0" w:type="dxa"/>
              <w:bottom w:w="0.0" w:type="dxa"/>
              <w:right w:w="108.0" w:type="dxa"/>
            </w:tcMar>
          </w:tcPr>
          <w:p w:rsidR="00000000" w:rsidDel="00000000" w:rsidP="00000000" w:rsidRDefault="00000000" w:rsidRPr="00000000" w14:paraId="0000057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Requirements </w:t>
            </w:r>
          </w:p>
        </w:tc>
        <w:tc>
          <w:tcPr>
            <w:shd w:fill="f2f2f2" w:val="clear"/>
            <w:tcMar>
              <w:top w:w="108.0" w:type="dxa"/>
              <w:left w:w="108.0" w:type="dxa"/>
              <w:bottom w:w="0.0" w:type="dxa"/>
              <w:right w:w="108.0" w:type="dxa"/>
            </w:tcMar>
          </w:tcPr>
          <w:p w:rsidR="00000000" w:rsidDel="00000000" w:rsidP="00000000" w:rsidRDefault="00000000" w:rsidRPr="00000000" w14:paraId="0000057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How the Supplier will meet the requirement</w:t>
            </w:r>
          </w:p>
        </w:tc>
      </w:tr>
      <w:tr>
        <w:trPr>
          <w:cantSplit w:val="0"/>
          <w:trHeight w:val="400" w:hRule="atLeast"/>
          <w:tblHeader w:val="0"/>
        </w:trPr>
        <w:tc>
          <w:tcPr>
            <w:vMerge w:val="restart"/>
            <w:tcMar>
              <w:top w:w="108.0" w:type="dxa"/>
              <w:left w:w="108.0" w:type="dxa"/>
              <w:bottom w:w="0.0" w:type="dxa"/>
              <w:right w:w="108.0" w:type="dxa"/>
            </w:tcMar>
          </w:tcPr>
          <w:p w:rsidR="00000000" w:rsidDel="00000000" w:rsidP="00000000" w:rsidRDefault="00000000" w:rsidRPr="00000000" w14:paraId="0000057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Principle 1 </w:t>
            </w:r>
          </w:p>
          <w:p w:rsidR="00000000" w:rsidDel="00000000" w:rsidP="00000000" w:rsidRDefault="00000000" w:rsidRPr="00000000" w14:paraId="0000057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Create responsibility for cyber security risk</w:t>
            </w:r>
          </w:p>
          <w:p w:rsidR="00000000" w:rsidDel="00000000" w:rsidP="00000000" w:rsidRDefault="00000000" w:rsidRPr="00000000" w14:paraId="0000057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Assign a designated risk owner to be accountable for managing cyber security risks for the service within the contract. This must be a senior stakeholder with the experience, knowledge and Buyer to lead on security activities.</w:t>
            </w:r>
          </w:p>
        </w:tc>
        <w:tc>
          <w:tcPr>
            <w:tcMar>
              <w:top w:w="108.0" w:type="dxa"/>
              <w:left w:w="108.0" w:type="dxa"/>
              <w:bottom w:w="0.0" w:type="dxa"/>
              <w:right w:w="108.0" w:type="dxa"/>
            </w:tcMar>
          </w:tcPr>
          <w:p w:rsidR="00000000" w:rsidDel="00000000" w:rsidP="00000000" w:rsidRDefault="00000000" w:rsidRPr="00000000" w14:paraId="0000057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designates a senior individual within their organisation who has overall accountability for ensuring the Secure by Design are met as part of the overall security requirements stated within the contract. </w:t>
            </w:r>
          </w:p>
        </w:tc>
        <w:tc>
          <w:tcPr>
            <w:tcMar>
              <w:top w:w="108.0" w:type="dxa"/>
              <w:left w:w="108.0" w:type="dxa"/>
              <w:bottom w:w="0.0" w:type="dxa"/>
              <w:right w:w="108.0" w:type="dxa"/>
            </w:tcMar>
          </w:tcPr>
          <w:p w:rsidR="00000000" w:rsidDel="00000000" w:rsidP="00000000" w:rsidRDefault="00000000" w:rsidRPr="00000000" w14:paraId="0000058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0" w:hRule="atLeast"/>
          <w:tblHeader w:val="0"/>
        </w:trPr>
        <w:tc>
          <w:tcPr>
            <w:vMerge w:val="continue"/>
            <w:tcMar>
              <w:top w:w="108.0" w:type="dxa"/>
              <w:left w:w="108.0" w:type="dxa"/>
              <w:bottom w:w="0.0" w:type="dxa"/>
              <w:right w:w="108.0" w:type="dxa"/>
            </w:tcMar>
          </w:tcPr>
          <w:p w:rsidR="00000000" w:rsidDel="00000000" w:rsidP="00000000" w:rsidRDefault="00000000" w:rsidRPr="00000000" w14:paraId="000005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Mar>
              <w:top w:w="108.0" w:type="dxa"/>
              <w:left w:w="108.0" w:type="dxa"/>
              <w:bottom w:w="0.0" w:type="dxa"/>
              <w:right w:w="108.0" w:type="dxa"/>
            </w:tcMar>
          </w:tcPr>
          <w:p w:rsidR="00000000" w:rsidDel="00000000" w:rsidP="00000000" w:rsidRDefault="00000000" w:rsidRPr="00000000" w14:paraId="0000058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designates a senior individual within the supplier delivery team - who will be reporting to the SRO, service owner or equivalent - with overall responsibility for the management of cyber security risks of digital services and technical infrastructure during their delivery.</w:t>
            </w:r>
          </w:p>
        </w:tc>
        <w:tc>
          <w:tcPr>
            <w:tcMar>
              <w:top w:w="108.0" w:type="dxa"/>
              <w:left w:w="108.0" w:type="dxa"/>
              <w:bottom w:w="0.0" w:type="dxa"/>
              <w:right w:w="108.0" w:type="dxa"/>
            </w:tcMar>
          </w:tcPr>
          <w:p w:rsidR="00000000" w:rsidDel="00000000" w:rsidP="00000000" w:rsidRDefault="00000000" w:rsidRPr="00000000" w14:paraId="0000058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0" w:hRule="atLeast"/>
          <w:tblHeader w:val="0"/>
        </w:trPr>
        <w:tc>
          <w:tcPr>
            <w:vMerge w:val="continue"/>
            <w:tcMar>
              <w:top w:w="108.0" w:type="dxa"/>
              <w:left w:w="108.0" w:type="dxa"/>
              <w:bottom w:w="0.0" w:type="dxa"/>
              <w:right w:w="108.0" w:type="dxa"/>
            </w:tcMar>
          </w:tcPr>
          <w:p w:rsidR="00000000" w:rsidDel="00000000" w:rsidP="00000000" w:rsidRDefault="00000000" w:rsidRPr="00000000" w14:paraId="000005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Mar>
              <w:top w:w="108.0" w:type="dxa"/>
              <w:left w:w="108.0" w:type="dxa"/>
              <w:bottom w:w="0.0" w:type="dxa"/>
              <w:right w:w="108.0" w:type="dxa"/>
            </w:tcMar>
          </w:tcPr>
          <w:p w:rsidR="00000000" w:rsidDel="00000000" w:rsidP="00000000" w:rsidRDefault="00000000" w:rsidRPr="00000000" w14:paraId="0000058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provides adequate and appropriately qualified resources to support the Buyer with following the government </w:t>
            </w:r>
            <w:hyperlink r:id="rId32">
              <w:r w:rsidDel="00000000" w:rsidR="00000000" w:rsidRPr="00000000">
                <w:rPr>
                  <w:rFonts w:ascii="Arial" w:cs="Arial" w:eastAsia="Arial" w:hAnsi="Arial"/>
                  <w:b w:val="0"/>
                  <w:i w:val="0"/>
                  <w:smallCaps w:val="0"/>
                  <w:strike w:val="0"/>
                  <w:color w:val="0563c1"/>
                  <w:sz w:val="24"/>
                  <w:szCs w:val="24"/>
                  <w:u w:val="single"/>
                  <w:shd w:fill="auto" w:val="clear"/>
                  <w:vertAlign w:val="baseline"/>
                  <w:rtl w:val="0"/>
                </w:rPr>
                <w:t xml:space="preserve">Secure by Design approach</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as part of service delivery.</w:t>
            </w:r>
          </w:p>
          <w:p w:rsidR="00000000" w:rsidDel="00000000" w:rsidP="00000000" w:rsidRDefault="00000000" w:rsidRPr="00000000" w14:paraId="0000058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These resources must be reviewed at the beginning of each of the delivery phases during the delivery lifecycle of the service as agreed with the Buyer. </w:t>
            </w:r>
          </w:p>
        </w:tc>
        <w:tc>
          <w:tcPr>
            <w:tcMar>
              <w:top w:w="108.0" w:type="dxa"/>
              <w:left w:w="108.0" w:type="dxa"/>
              <w:bottom w:w="0.0" w:type="dxa"/>
              <w:right w:w="108.0" w:type="dxa"/>
            </w:tcMar>
          </w:tcPr>
          <w:p w:rsidR="00000000" w:rsidDel="00000000" w:rsidP="00000000" w:rsidRDefault="00000000" w:rsidRPr="00000000" w14:paraId="0000058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0" w:hRule="atLeast"/>
          <w:tblHeader w:val="0"/>
        </w:trPr>
        <w:tc>
          <w:tcPr>
            <w:vMerge w:val="restart"/>
            <w:tcMar>
              <w:top w:w="108.0" w:type="dxa"/>
              <w:left w:w="108.0" w:type="dxa"/>
              <w:bottom w:w="0.0" w:type="dxa"/>
              <w:right w:w="108.0" w:type="dxa"/>
            </w:tcMar>
          </w:tcPr>
          <w:p w:rsidR="00000000" w:rsidDel="00000000" w:rsidP="00000000" w:rsidRDefault="00000000" w:rsidRPr="00000000" w14:paraId="0000058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Principle 2 </w:t>
            </w:r>
          </w:p>
          <w:p w:rsidR="00000000" w:rsidDel="00000000" w:rsidP="00000000" w:rsidRDefault="00000000" w:rsidRPr="00000000" w14:paraId="0000058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Source secure technology products</w:t>
            </w:r>
          </w:p>
          <w:p w:rsidR="00000000" w:rsidDel="00000000" w:rsidP="00000000" w:rsidRDefault="00000000" w:rsidRPr="00000000" w14:paraId="0000058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 third-party products are used, perform security due diligence by continually assessing platforms, software and code for security vulnerabilities. Mitigate risks and share findings with suppliers to help them improve product security.</w:t>
            </w:r>
          </w:p>
        </w:tc>
        <w:tc>
          <w:tcPr>
            <w:tcMar>
              <w:top w:w="108.0" w:type="dxa"/>
              <w:left w:w="108.0" w:type="dxa"/>
              <w:bottom w:w="0.0" w:type="dxa"/>
              <w:right w:w="108.0" w:type="dxa"/>
            </w:tcMar>
          </w:tcPr>
          <w:p w:rsidR="00000000" w:rsidDel="00000000" w:rsidP="00000000" w:rsidRDefault="00000000" w:rsidRPr="00000000" w14:paraId="0000058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carries out proportionate (risk-driven) security reviews of third-party products before they are considered  as a component of the digital service. The type and details of the review should be based on the significance  associated with the product and are subject to agreement with the Buyer.</w:t>
            </w:r>
          </w:p>
        </w:tc>
        <w:tc>
          <w:tcPr>
            <w:tcMar>
              <w:top w:w="108.0" w:type="dxa"/>
              <w:left w:w="108.0" w:type="dxa"/>
              <w:bottom w:w="0.0" w:type="dxa"/>
              <w:right w:w="108.0" w:type="dxa"/>
            </w:tcMar>
          </w:tcPr>
          <w:p w:rsidR="00000000" w:rsidDel="00000000" w:rsidP="00000000" w:rsidRDefault="00000000" w:rsidRPr="00000000" w14:paraId="0000058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0" w:hRule="atLeast"/>
          <w:tblHeader w:val="0"/>
        </w:trPr>
        <w:tc>
          <w:tcPr>
            <w:vMerge w:val="continue"/>
            <w:tcMar>
              <w:top w:w="108.0" w:type="dxa"/>
              <w:left w:w="108.0" w:type="dxa"/>
              <w:bottom w:w="0.0" w:type="dxa"/>
              <w:right w:w="108.0" w:type="dxa"/>
            </w:tcMar>
          </w:tcPr>
          <w:p w:rsidR="00000000" w:rsidDel="00000000" w:rsidP="00000000" w:rsidRDefault="00000000" w:rsidRPr="00000000" w14:paraId="000005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Mar>
              <w:top w:w="108.0" w:type="dxa"/>
              <w:left w:w="108.0" w:type="dxa"/>
              <w:bottom w:w="0.0" w:type="dxa"/>
              <w:right w:w="108.0" w:type="dxa"/>
            </w:tcMar>
          </w:tcPr>
          <w:p w:rsidR="00000000" w:rsidDel="00000000" w:rsidP="00000000" w:rsidRDefault="00000000" w:rsidRPr="00000000" w14:paraId="0000058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takes reasonable steps to reduce potential cyber security risks associated with using a third-party product as part of the service to a level that meets the Buyer’s security risk appetite for the service. Where the risk cannot be mitigated to such level, the Buyer should be informed and asked to accept the risk associated with using the product.</w:t>
            </w:r>
          </w:p>
        </w:tc>
        <w:tc>
          <w:tcPr>
            <w:tcMar>
              <w:top w:w="108.0" w:type="dxa"/>
              <w:left w:w="108.0" w:type="dxa"/>
              <w:bottom w:w="0.0" w:type="dxa"/>
              <w:right w:w="108.0" w:type="dxa"/>
            </w:tcMar>
          </w:tcPr>
          <w:p w:rsidR="00000000" w:rsidDel="00000000" w:rsidP="00000000" w:rsidRDefault="00000000" w:rsidRPr="00000000" w14:paraId="0000058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0" w:hRule="atLeast"/>
          <w:tblHeader w:val="0"/>
        </w:trPr>
        <w:tc>
          <w:tcPr>
            <w:vMerge w:val="continue"/>
            <w:tcMar>
              <w:top w:w="108.0" w:type="dxa"/>
              <w:left w:w="108.0" w:type="dxa"/>
              <w:bottom w:w="0.0" w:type="dxa"/>
              <w:right w:w="108.0" w:type="dxa"/>
            </w:tcMar>
          </w:tcPr>
          <w:p w:rsidR="00000000" w:rsidDel="00000000" w:rsidP="00000000" w:rsidRDefault="00000000" w:rsidRPr="00000000" w14:paraId="000005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Mar>
              <w:top w:w="108.0" w:type="dxa"/>
              <w:left w:w="108.0" w:type="dxa"/>
              <w:bottom w:w="0.0" w:type="dxa"/>
              <w:right w:w="108.0" w:type="dxa"/>
            </w:tcMar>
          </w:tcPr>
          <w:p w:rsidR="00000000" w:rsidDel="00000000" w:rsidP="00000000" w:rsidRDefault="00000000" w:rsidRPr="00000000" w14:paraId="0000059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takes reasonable steps to assess third-party products used as a component of the digital service against legal and regulatory obligations and industry security standards specified by the Buyer. Where the product doesn’t meet the required obligations, the Supplier must discuss with the Buyer the residual risks associated with using the product.</w:t>
            </w:r>
          </w:p>
        </w:tc>
        <w:tc>
          <w:tcPr>
            <w:tcMar>
              <w:top w:w="108.0" w:type="dxa"/>
              <w:left w:w="108.0" w:type="dxa"/>
              <w:bottom w:w="0.0" w:type="dxa"/>
              <w:right w:w="108.0" w:type="dxa"/>
            </w:tcMar>
          </w:tcPr>
          <w:p w:rsidR="00000000" w:rsidDel="00000000" w:rsidP="00000000" w:rsidRDefault="00000000" w:rsidRPr="00000000" w14:paraId="0000059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0" w:hRule="atLeast"/>
          <w:tblHeader w:val="0"/>
        </w:trPr>
        <w:tc>
          <w:tcPr>
            <w:vMerge w:val="restart"/>
            <w:tcMar>
              <w:top w:w="108.0" w:type="dxa"/>
              <w:left w:w="108.0" w:type="dxa"/>
              <w:bottom w:w="0.0" w:type="dxa"/>
              <w:right w:w="108.0" w:type="dxa"/>
            </w:tcMar>
          </w:tcPr>
          <w:p w:rsidR="00000000" w:rsidDel="00000000" w:rsidP="00000000" w:rsidRDefault="00000000" w:rsidRPr="00000000" w14:paraId="0000059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Principle 3</w:t>
            </w:r>
          </w:p>
          <w:p w:rsidR="00000000" w:rsidDel="00000000" w:rsidP="00000000" w:rsidRDefault="00000000" w:rsidRPr="00000000" w14:paraId="0000059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Adopt a risk-driven approach</w:t>
            </w:r>
          </w:p>
          <w:p w:rsidR="00000000" w:rsidDel="00000000" w:rsidP="00000000" w:rsidRDefault="00000000" w:rsidRPr="00000000" w14:paraId="0000059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Establish the project’s risk appetite and maintain an assessment of cyber security risks to build protections appropriate to the evolving threat landscape.</w:t>
            </w:r>
          </w:p>
        </w:tc>
        <w:tc>
          <w:tcPr>
            <w:tcMar>
              <w:top w:w="108.0" w:type="dxa"/>
              <w:left w:w="108.0" w:type="dxa"/>
              <w:bottom w:w="0.0" w:type="dxa"/>
              <w:right w:w="108.0" w:type="dxa"/>
            </w:tcMar>
          </w:tcPr>
          <w:p w:rsidR="00000000" w:rsidDel="00000000" w:rsidP="00000000" w:rsidRDefault="00000000" w:rsidRPr="00000000" w14:paraId="0000059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provided by the Buyer, the Supplier should share the risk appetite across the supplier's delivery team from the outset.</w:t>
            </w:r>
          </w:p>
        </w:tc>
        <w:tc>
          <w:tcPr>
            <w:tcMar>
              <w:top w:w="108.0" w:type="dxa"/>
              <w:left w:w="108.0" w:type="dxa"/>
              <w:bottom w:w="0.0" w:type="dxa"/>
              <w:right w:w="108.0" w:type="dxa"/>
            </w:tcMar>
          </w:tcPr>
          <w:p w:rsidR="00000000" w:rsidDel="00000000" w:rsidP="00000000" w:rsidRDefault="00000000" w:rsidRPr="00000000" w14:paraId="0000059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0" w:hRule="atLeast"/>
          <w:tblHeader w:val="0"/>
        </w:trPr>
        <w:tc>
          <w:tcPr>
            <w:vMerge w:val="continue"/>
            <w:tcMar>
              <w:top w:w="108.0" w:type="dxa"/>
              <w:left w:w="108.0" w:type="dxa"/>
              <w:bottom w:w="0.0" w:type="dxa"/>
              <w:right w:w="108.0" w:type="dxa"/>
            </w:tcMar>
          </w:tcPr>
          <w:p w:rsidR="00000000" w:rsidDel="00000000" w:rsidP="00000000" w:rsidRDefault="00000000" w:rsidRPr="00000000" w14:paraId="000005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Mar>
              <w:top w:w="108.0" w:type="dxa"/>
              <w:left w:w="108.0" w:type="dxa"/>
              <w:bottom w:w="0.0" w:type="dxa"/>
              <w:right w:w="108.0" w:type="dxa"/>
            </w:tcMar>
          </w:tcPr>
          <w:p w:rsidR="00000000" w:rsidDel="00000000" w:rsidP="00000000" w:rsidRDefault="00000000" w:rsidRPr="00000000" w14:paraId="0000059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supports the Buyer with identifying the cyber threats and attack paths as part of ongoing threat modelling during digital service delivery.</w:t>
            </w:r>
          </w:p>
        </w:tc>
        <w:tc>
          <w:tcPr>
            <w:tcMar>
              <w:top w:w="108.0" w:type="dxa"/>
              <w:left w:w="108.0" w:type="dxa"/>
              <w:bottom w:w="0.0" w:type="dxa"/>
              <w:right w:w="108.0" w:type="dxa"/>
            </w:tcMar>
          </w:tcPr>
          <w:p w:rsidR="00000000" w:rsidDel="00000000" w:rsidP="00000000" w:rsidRDefault="00000000" w:rsidRPr="00000000" w14:paraId="0000059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0" w:hRule="atLeast"/>
          <w:tblHeader w:val="0"/>
        </w:trPr>
        <w:tc>
          <w:tcPr>
            <w:vMerge w:val="continue"/>
            <w:tcMar>
              <w:top w:w="108.0" w:type="dxa"/>
              <w:left w:w="108.0" w:type="dxa"/>
              <w:bottom w:w="0.0" w:type="dxa"/>
              <w:right w:w="108.0" w:type="dxa"/>
            </w:tcMar>
          </w:tcPr>
          <w:p w:rsidR="00000000" w:rsidDel="00000000" w:rsidP="00000000" w:rsidRDefault="00000000" w:rsidRPr="00000000" w14:paraId="000005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Mar>
              <w:top w:w="108.0" w:type="dxa"/>
              <w:left w:w="108.0" w:type="dxa"/>
              <w:bottom w:w="0.0" w:type="dxa"/>
              <w:right w:w="108.0" w:type="dxa"/>
            </w:tcMar>
          </w:tcPr>
          <w:p w:rsidR="00000000" w:rsidDel="00000000" w:rsidP="00000000" w:rsidRDefault="00000000" w:rsidRPr="00000000" w14:paraId="0000059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supports the Buyer with assessing cyber security risks and providing risk analysis details to help risk owners make informed risk decisions.</w:t>
            </w:r>
          </w:p>
          <w:p w:rsidR="00000000" w:rsidDel="00000000" w:rsidP="00000000" w:rsidRDefault="00000000" w:rsidRPr="00000000" w14:paraId="0000059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During the assessment, risks to the digital service are identified, analysed, prioritised, and appropriate mitigation is proposed taking into account the risk appetite during the lifecycle of the service.</w:t>
            </w:r>
          </w:p>
        </w:tc>
        <w:tc>
          <w:tcPr>
            <w:tcMar>
              <w:top w:w="108.0" w:type="dxa"/>
              <w:left w:w="108.0" w:type="dxa"/>
              <w:bottom w:w="0.0" w:type="dxa"/>
              <w:right w:w="108.0" w:type="dxa"/>
            </w:tcMar>
          </w:tcPr>
          <w:p w:rsidR="00000000" w:rsidDel="00000000" w:rsidP="00000000" w:rsidRDefault="00000000" w:rsidRPr="00000000" w14:paraId="0000059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0" w:hRule="atLeast"/>
          <w:tblHeader w:val="0"/>
        </w:trPr>
        <w:tc>
          <w:tcPr>
            <w:vMerge w:val="continue"/>
            <w:tcMar>
              <w:top w:w="108.0" w:type="dxa"/>
              <w:left w:w="108.0" w:type="dxa"/>
              <w:bottom w:w="0.0" w:type="dxa"/>
              <w:right w:w="108.0" w:type="dxa"/>
            </w:tcMar>
          </w:tcPr>
          <w:p w:rsidR="00000000" w:rsidDel="00000000" w:rsidP="00000000" w:rsidRDefault="00000000" w:rsidRPr="00000000" w14:paraId="000005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Mar>
              <w:top w:w="108.0" w:type="dxa"/>
              <w:left w:w="108.0" w:type="dxa"/>
              <w:bottom w:w="0.0" w:type="dxa"/>
              <w:right w:w="108.0" w:type="dxa"/>
            </w:tcMar>
          </w:tcPr>
          <w:p w:rsidR="00000000" w:rsidDel="00000000" w:rsidP="00000000" w:rsidRDefault="00000000" w:rsidRPr="00000000" w14:paraId="000005A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produces an output from the risk management process containing a clear set of security requirements that will reduce the risks in line with the agreed risk appetite and cyber security risk management approach.</w:t>
            </w:r>
          </w:p>
        </w:tc>
        <w:tc>
          <w:tcPr>
            <w:tcMar>
              <w:top w:w="108.0" w:type="dxa"/>
              <w:left w:w="108.0" w:type="dxa"/>
              <w:bottom w:w="0.0" w:type="dxa"/>
              <w:right w:w="108.0" w:type="dxa"/>
            </w:tcMar>
          </w:tcPr>
          <w:p w:rsidR="00000000" w:rsidDel="00000000" w:rsidP="00000000" w:rsidRDefault="00000000" w:rsidRPr="00000000" w14:paraId="000005A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0" w:hRule="atLeast"/>
          <w:tblHeader w:val="0"/>
        </w:trPr>
        <w:tc>
          <w:tcPr>
            <w:vMerge w:val="continue"/>
            <w:tcMar>
              <w:top w:w="108.0" w:type="dxa"/>
              <w:left w:w="108.0" w:type="dxa"/>
              <w:bottom w:w="0.0" w:type="dxa"/>
              <w:right w:w="108.0" w:type="dxa"/>
            </w:tcMar>
          </w:tcPr>
          <w:p w:rsidR="00000000" w:rsidDel="00000000" w:rsidP="00000000" w:rsidRDefault="00000000" w:rsidRPr="00000000" w14:paraId="000005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Mar>
              <w:top w:w="108.0" w:type="dxa"/>
              <w:left w:w="108.0" w:type="dxa"/>
              <w:bottom w:w="0.0" w:type="dxa"/>
              <w:right w:w="108.0" w:type="dxa"/>
            </w:tcMar>
          </w:tcPr>
          <w:p w:rsidR="00000000" w:rsidDel="00000000" w:rsidP="00000000" w:rsidRDefault="00000000" w:rsidRPr="00000000" w14:paraId="000005A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factors in the legal and regulatory requirements provided by the Buyer in the risk management process and service design and build.</w:t>
            </w:r>
          </w:p>
        </w:tc>
        <w:tc>
          <w:tcPr>
            <w:tcMar>
              <w:top w:w="108.0" w:type="dxa"/>
              <w:left w:w="108.0" w:type="dxa"/>
              <w:bottom w:w="0.0" w:type="dxa"/>
              <w:right w:w="108.0" w:type="dxa"/>
            </w:tcMar>
          </w:tcPr>
          <w:p w:rsidR="00000000" w:rsidDel="00000000" w:rsidP="00000000" w:rsidRDefault="00000000" w:rsidRPr="00000000" w14:paraId="000005A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0" w:hRule="atLeast"/>
          <w:tblHeader w:val="0"/>
        </w:trPr>
        <w:tc>
          <w:tcPr>
            <w:vMerge w:val="restart"/>
            <w:tcMar>
              <w:top w:w="108.0" w:type="dxa"/>
              <w:left w:w="108.0" w:type="dxa"/>
              <w:bottom w:w="0.0" w:type="dxa"/>
              <w:right w:w="108.0" w:type="dxa"/>
            </w:tcMar>
          </w:tcPr>
          <w:p w:rsidR="00000000" w:rsidDel="00000000" w:rsidP="00000000" w:rsidRDefault="00000000" w:rsidRPr="00000000" w14:paraId="000005A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Principle 4</w:t>
            </w:r>
          </w:p>
          <w:p w:rsidR="00000000" w:rsidDel="00000000" w:rsidP="00000000" w:rsidRDefault="00000000" w:rsidRPr="00000000" w14:paraId="000005A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Design usable security controls</w:t>
            </w:r>
          </w:p>
          <w:p w:rsidR="00000000" w:rsidDel="00000000" w:rsidP="00000000" w:rsidRDefault="00000000" w:rsidRPr="00000000" w14:paraId="000005A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Perform regular user research and implement findings into service design to make sure security processes are fit for purpose and easy to understand.</w:t>
            </w:r>
          </w:p>
        </w:tc>
        <w:tc>
          <w:tcPr>
            <w:tcMar>
              <w:top w:w="108.0" w:type="dxa"/>
              <w:left w:w="108.0" w:type="dxa"/>
              <w:bottom w:w="0.0" w:type="dxa"/>
              <w:right w:w="108.0" w:type="dxa"/>
            </w:tcMar>
          </w:tcPr>
          <w:p w:rsidR="00000000" w:rsidDel="00000000" w:rsidP="00000000" w:rsidRDefault="00000000" w:rsidRPr="00000000" w14:paraId="000005A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ensures that security requirements that are defined and documented as part of user research activities (for example user stories and user journeys) are fed into the design of the digital service.</w:t>
            </w:r>
          </w:p>
        </w:tc>
        <w:tc>
          <w:tcPr>
            <w:tcMar>
              <w:top w:w="108.0" w:type="dxa"/>
              <w:left w:w="108.0" w:type="dxa"/>
              <w:bottom w:w="0.0" w:type="dxa"/>
              <w:right w:w="108.0" w:type="dxa"/>
            </w:tcMar>
          </w:tcPr>
          <w:p w:rsidR="00000000" w:rsidDel="00000000" w:rsidP="00000000" w:rsidRDefault="00000000" w:rsidRPr="00000000" w14:paraId="000005A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0" w:hRule="atLeast"/>
          <w:tblHeader w:val="0"/>
        </w:trPr>
        <w:tc>
          <w:tcPr>
            <w:vMerge w:val="continue"/>
            <w:tcMar>
              <w:top w:w="108.0" w:type="dxa"/>
              <w:left w:w="108.0" w:type="dxa"/>
              <w:bottom w:w="0.0" w:type="dxa"/>
              <w:right w:w="108.0" w:type="dxa"/>
            </w:tcMar>
          </w:tcPr>
          <w:p w:rsidR="00000000" w:rsidDel="00000000" w:rsidP="00000000" w:rsidRDefault="00000000" w:rsidRPr="00000000" w14:paraId="000005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Mar>
              <w:top w:w="108.0" w:type="dxa"/>
              <w:left w:w="108.0" w:type="dxa"/>
              <w:bottom w:w="0.0" w:type="dxa"/>
              <w:right w:w="108.0" w:type="dxa"/>
            </w:tcMar>
          </w:tcPr>
          <w:p w:rsidR="00000000" w:rsidDel="00000000" w:rsidP="00000000" w:rsidRDefault="00000000" w:rsidRPr="00000000" w14:paraId="000005A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ensures that business objectives informing security requirements listed in the business case for the digital service are taken into consideration when designing security controls.</w:t>
            </w:r>
          </w:p>
        </w:tc>
        <w:tc>
          <w:tcPr>
            <w:tcMar>
              <w:top w:w="108.0" w:type="dxa"/>
              <w:left w:w="108.0" w:type="dxa"/>
              <w:bottom w:w="0.0" w:type="dxa"/>
              <w:right w:w="108.0" w:type="dxa"/>
            </w:tcMar>
          </w:tcPr>
          <w:p w:rsidR="00000000" w:rsidDel="00000000" w:rsidP="00000000" w:rsidRDefault="00000000" w:rsidRPr="00000000" w14:paraId="000005A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0" w:hRule="atLeast"/>
          <w:tblHeader w:val="0"/>
        </w:trPr>
        <w:tc>
          <w:tcPr>
            <w:vMerge w:val="restart"/>
            <w:tcMar>
              <w:top w:w="108.0" w:type="dxa"/>
              <w:left w:w="108.0" w:type="dxa"/>
              <w:bottom w:w="0.0" w:type="dxa"/>
              <w:right w:w="108.0" w:type="dxa"/>
            </w:tcMar>
          </w:tcPr>
          <w:p w:rsidR="00000000" w:rsidDel="00000000" w:rsidP="00000000" w:rsidRDefault="00000000" w:rsidRPr="00000000" w14:paraId="000005A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Principle 5</w:t>
            </w:r>
          </w:p>
          <w:p w:rsidR="00000000" w:rsidDel="00000000" w:rsidP="00000000" w:rsidRDefault="00000000" w:rsidRPr="00000000" w14:paraId="000005A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Build in detect and respond security</w:t>
            </w:r>
          </w:p>
          <w:p w:rsidR="00000000" w:rsidDel="00000000" w:rsidP="00000000" w:rsidRDefault="00000000" w:rsidRPr="00000000" w14:paraId="000005A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Design for the inevitability of security vulnerabilities and incidents. Integrate appropriate security logging, monitoring, alerting and response capabilities. These must be continually tested and iterated.</w:t>
            </w:r>
          </w:p>
        </w:tc>
        <w:tc>
          <w:tcPr>
            <w:tcMar>
              <w:top w:w="108.0" w:type="dxa"/>
              <w:left w:w="108.0" w:type="dxa"/>
              <w:bottom w:w="0.0" w:type="dxa"/>
              <w:right w:w="108.0" w:type="dxa"/>
            </w:tcMar>
          </w:tcPr>
          <w:p w:rsidR="00000000" w:rsidDel="00000000" w:rsidP="00000000" w:rsidRDefault="00000000" w:rsidRPr="00000000" w14:paraId="000005B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responsible for building the digital service ensures that proportionate security logging, monitoring and alerting mechanisms able to discover cyber security events and vulnerabilities documented in the threat and risk assessment are designed into the service.</w:t>
            </w:r>
          </w:p>
        </w:tc>
        <w:tc>
          <w:tcPr>
            <w:tcMar>
              <w:top w:w="108.0" w:type="dxa"/>
              <w:left w:w="108.0" w:type="dxa"/>
              <w:bottom w:w="0.0" w:type="dxa"/>
              <w:right w:w="108.0" w:type="dxa"/>
            </w:tcMar>
          </w:tcPr>
          <w:p w:rsidR="00000000" w:rsidDel="00000000" w:rsidP="00000000" w:rsidRDefault="00000000" w:rsidRPr="00000000" w14:paraId="000005B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0" w:hRule="atLeast"/>
          <w:tblHeader w:val="0"/>
        </w:trPr>
        <w:tc>
          <w:tcPr>
            <w:vMerge w:val="continue"/>
            <w:tcMar>
              <w:top w:w="108.0" w:type="dxa"/>
              <w:left w:w="108.0" w:type="dxa"/>
              <w:bottom w:w="0.0" w:type="dxa"/>
              <w:right w:w="108.0" w:type="dxa"/>
            </w:tcMar>
          </w:tcPr>
          <w:p w:rsidR="00000000" w:rsidDel="00000000" w:rsidP="00000000" w:rsidRDefault="00000000" w:rsidRPr="00000000" w14:paraId="000005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Mar>
              <w:top w:w="108.0" w:type="dxa"/>
              <w:left w:w="108.0" w:type="dxa"/>
              <w:bottom w:w="0.0" w:type="dxa"/>
              <w:right w:w="108.0" w:type="dxa"/>
            </w:tcMar>
          </w:tcPr>
          <w:p w:rsidR="00000000" w:rsidDel="00000000" w:rsidP="00000000" w:rsidRDefault="00000000" w:rsidRPr="00000000" w14:paraId="000005B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responsible for building the digital service integrates incident response and recovery capabilities that are in line with the requirements and timescales documented in the service resilience or similar documentation.</w:t>
            </w:r>
          </w:p>
        </w:tc>
        <w:tc>
          <w:tcPr>
            <w:tcMar>
              <w:top w:w="108.0" w:type="dxa"/>
              <w:left w:w="108.0" w:type="dxa"/>
              <w:bottom w:w="0.0" w:type="dxa"/>
              <w:right w:w="108.0" w:type="dxa"/>
            </w:tcMar>
          </w:tcPr>
          <w:p w:rsidR="00000000" w:rsidDel="00000000" w:rsidP="00000000" w:rsidRDefault="00000000" w:rsidRPr="00000000" w14:paraId="000005B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0" w:hRule="atLeast"/>
          <w:tblHeader w:val="0"/>
        </w:trPr>
        <w:tc>
          <w:tcPr>
            <w:vMerge w:val="continue"/>
            <w:tcMar>
              <w:top w:w="108.0" w:type="dxa"/>
              <w:left w:w="108.0" w:type="dxa"/>
              <w:bottom w:w="0.0" w:type="dxa"/>
              <w:right w:w="108.0" w:type="dxa"/>
            </w:tcMar>
          </w:tcPr>
          <w:p w:rsidR="00000000" w:rsidDel="00000000" w:rsidP="00000000" w:rsidRDefault="00000000" w:rsidRPr="00000000" w14:paraId="000005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Mar>
              <w:top w:w="108.0" w:type="dxa"/>
              <w:left w:w="108.0" w:type="dxa"/>
              <w:bottom w:w="0.0" w:type="dxa"/>
              <w:right w:w="108.0" w:type="dxa"/>
            </w:tcMar>
          </w:tcPr>
          <w:p w:rsidR="00000000" w:rsidDel="00000000" w:rsidP="00000000" w:rsidRDefault="00000000" w:rsidRPr="00000000" w14:paraId="000005B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responsible for building the digital service regularly tests digital services and infrastructure to identify and fix weaknesses within systems.</w:t>
            </w:r>
          </w:p>
        </w:tc>
        <w:tc>
          <w:tcPr>
            <w:tcMar>
              <w:top w:w="108.0" w:type="dxa"/>
              <w:left w:w="108.0" w:type="dxa"/>
              <w:bottom w:w="0.0" w:type="dxa"/>
              <w:right w:w="108.0" w:type="dxa"/>
            </w:tcMar>
          </w:tcPr>
          <w:p w:rsidR="00000000" w:rsidDel="00000000" w:rsidP="00000000" w:rsidRDefault="00000000" w:rsidRPr="00000000" w14:paraId="000005B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0" w:hRule="atLeast"/>
          <w:tblHeader w:val="0"/>
        </w:trPr>
        <w:tc>
          <w:tcPr>
            <w:vMerge w:val="restart"/>
            <w:tcMar>
              <w:top w:w="108.0" w:type="dxa"/>
              <w:left w:w="108.0" w:type="dxa"/>
              <w:bottom w:w="0.0" w:type="dxa"/>
              <w:right w:w="108.0" w:type="dxa"/>
            </w:tcMar>
          </w:tcPr>
          <w:p w:rsidR="00000000" w:rsidDel="00000000" w:rsidP="00000000" w:rsidRDefault="00000000" w:rsidRPr="00000000" w14:paraId="000005B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Principle 6</w:t>
            </w:r>
          </w:p>
          <w:p w:rsidR="00000000" w:rsidDel="00000000" w:rsidP="00000000" w:rsidRDefault="00000000" w:rsidRPr="00000000" w14:paraId="000005B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Design flexible architectures</w:t>
            </w:r>
          </w:p>
          <w:p w:rsidR="00000000" w:rsidDel="00000000" w:rsidP="00000000" w:rsidRDefault="00000000" w:rsidRPr="00000000" w14:paraId="000005B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Implement digital services and update legacy components to allow for easier integration of new security controls in response to changes in business requirements, cyber threats and vulnerabilities.</w:t>
            </w:r>
          </w:p>
        </w:tc>
        <w:tc>
          <w:tcPr>
            <w:tcMar>
              <w:top w:w="108.0" w:type="dxa"/>
              <w:left w:w="108.0" w:type="dxa"/>
              <w:bottom w:w="0.0" w:type="dxa"/>
              <w:right w:w="108.0" w:type="dxa"/>
            </w:tcMar>
          </w:tcPr>
          <w:p w:rsidR="00000000" w:rsidDel="00000000" w:rsidP="00000000" w:rsidRDefault="00000000" w:rsidRPr="00000000" w14:paraId="000005B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agreed with the Buyer, the Supplier responsible for building the digital service uses flexible architectures and components that allow integration of new security measures in response to changes in business requirements, cyber threats and vulnerabilities.</w:t>
            </w:r>
          </w:p>
        </w:tc>
        <w:tc>
          <w:tcPr>
            <w:tcMar>
              <w:top w:w="108.0" w:type="dxa"/>
              <w:left w:w="108.0" w:type="dxa"/>
              <w:bottom w:w="0.0" w:type="dxa"/>
              <w:right w:w="108.0" w:type="dxa"/>
            </w:tcMar>
          </w:tcPr>
          <w:p w:rsidR="00000000" w:rsidDel="00000000" w:rsidP="00000000" w:rsidRDefault="00000000" w:rsidRPr="00000000" w14:paraId="000005B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0" w:hRule="atLeast"/>
          <w:tblHeader w:val="0"/>
        </w:trPr>
        <w:tc>
          <w:tcPr>
            <w:vMerge w:val="continue"/>
            <w:tcMar>
              <w:top w:w="108.0" w:type="dxa"/>
              <w:left w:w="108.0" w:type="dxa"/>
              <w:bottom w:w="0.0" w:type="dxa"/>
              <w:right w:w="108.0" w:type="dxa"/>
            </w:tcMar>
          </w:tcPr>
          <w:p w:rsidR="00000000" w:rsidDel="00000000" w:rsidP="00000000" w:rsidRDefault="00000000" w:rsidRPr="00000000" w14:paraId="000005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Mar>
              <w:top w:w="108.0" w:type="dxa"/>
              <w:left w:w="108.0" w:type="dxa"/>
              <w:bottom w:w="0.0" w:type="dxa"/>
              <w:right w:w="108.0" w:type="dxa"/>
            </w:tcMar>
          </w:tcPr>
          <w:p w:rsidR="00000000" w:rsidDel="00000000" w:rsidP="00000000" w:rsidRDefault="00000000" w:rsidRPr="00000000" w14:paraId="000005B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responsible for building the digital service tests security controls and verifying they are fit for purpose before deployment.</w:t>
            </w:r>
          </w:p>
        </w:tc>
        <w:tc>
          <w:tcPr>
            <w:tcMar>
              <w:top w:w="108.0" w:type="dxa"/>
              <w:left w:w="108.0" w:type="dxa"/>
              <w:bottom w:w="0.0" w:type="dxa"/>
              <w:right w:w="108.0" w:type="dxa"/>
            </w:tcMar>
          </w:tcPr>
          <w:p w:rsidR="00000000" w:rsidDel="00000000" w:rsidP="00000000" w:rsidRDefault="00000000" w:rsidRPr="00000000" w14:paraId="000005B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59" w:hRule="atLeast"/>
          <w:tblHeader w:val="0"/>
        </w:trPr>
        <w:tc>
          <w:tcPr>
            <w:vMerge w:val="restart"/>
            <w:tcMar>
              <w:top w:w="108.0" w:type="dxa"/>
              <w:left w:w="108.0" w:type="dxa"/>
              <w:bottom w:w="0.0" w:type="dxa"/>
              <w:right w:w="108.0" w:type="dxa"/>
            </w:tcMar>
          </w:tcPr>
          <w:p w:rsidR="00000000" w:rsidDel="00000000" w:rsidP="00000000" w:rsidRDefault="00000000" w:rsidRPr="00000000" w14:paraId="000005C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Principle 7</w:t>
            </w:r>
          </w:p>
          <w:p w:rsidR="00000000" w:rsidDel="00000000" w:rsidP="00000000" w:rsidRDefault="00000000" w:rsidRPr="00000000" w14:paraId="000005C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Minimise the attack surface</w:t>
            </w:r>
          </w:p>
          <w:p w:rsidR="00000000" w:rsidDel="00000000" w:rsidP="00000000" w:rsidRDefault="00000000" w:rsidRPr="00000000" w14:paraId="000005C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Use only the capabilities, software, data and hardware components necessary for a service to mitigate cyber security risks while achieving its intended use.</w:t>
            </w:r>
          </w:p>
          <w:p w:rsidR="00000000" w:rsidDel="00000000" w:rsidP="00000000" w:rsidRDefault="00000000" w:rsidRPr="00000000" w14:paraId="000005C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C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Mar>
              <w:top w:w="108.0" w:type="dxa"/>
              <w:left w:w="108.0" w:type="dxa"/>
              <w:bottom w:w="0.0" w:type="dxa"/>
              <w:right w:w="108.0" w:type="dxa"/>
            </w:tcMar>
          </w:tcPr>
          <w:p w:rsidR="00000000" w:rsidDel="00000000" w:rsidP="00000000" w:rsidRDefault="00000000" w:rsidRPr="00000000" w14:paraId="000005C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responsible for building the digital service implements risk-driven security controls which meet the risk appetite and appropriate baseline as agreed with the Buyer.</w:t>
            </w:r>
          </w:p>
        </w:tc>
        <w:tc>
          <w:tcPr>
            <w:tcMar>
              <w:top w:w="108.0" w:type="dxa"/>
              <w:left w:w="108.0" w:type="dxa"/>
              <w:bottom w:w="0.0" w:type="dxa"/>
              <w:right w:w="108.0" w:type="dxa"/>
            </w:tcMar>
          </w:tcPr>
          <w:p w:rsidR="00000000" w:rsidDel="00000000" w:rsidP="00000000" w:rsidRDefault="00000000" w:rsidRPr="00000000" w14:paraId="000005C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59" w:hRule="atLeast"/>
          <w:tblHeader w:val="0"/>
        </w:trPr>
        <w:tc>
          <w:tcPr>
            <w:vMerge w:val="continue"/>
            <w:tcMar>
              <w:top w:w="108.0" w:type="dxa"/>
              <w:left w:w="108.0" w:type="dxa"/>
              <w:bottom w:w="0.0" w:type="dxa"/>
              <w:right w:w="108.0" w:type="dxa"/>
            </w:tcMar>
          </w:tcPr>
          <w:p w:rsidR="00000000" w:rsidDel="00000000" w:rsidP="00000000" w:rsidRDefault="00000000" w:rsidRPr="00000000" w14:paraId="000005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Mar>
              <w:top w:w="108.0" w:type="dxa"/>
              <w:left w:w="108.0" w:type="dxa"/>
              <w:bottom w:w="0.0" w:type="dxa"/>
              <w:right w:w="108.0" w:type="dxa"/>
            </w:tcMar>
          </w:tcPr>
          <w:p w:rsidR="00000000" w:rsidDel="00000000" w:rsidP="00000000" w:rsidRDefault="00000000" w:rsidRPr="00000000" w14:paraId="000005C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responsible for building the digital service follows secure coding practices and, with consultation with the Buyer’s delivery team, identifies and mitigates vulnerabilities proactively reducing the number of vulnerabilities that potential attackers can exploit.</w:t>
            </w:r>
          </w:p>
        </w:tc>
        <w:tc>
          <w:tcPr>
            <w:tcMar>
              <w:top w:w="108.0" w:type="dxa"/>
              <w:left w:w="108.0" w:type="dxa"/>
              <w:bottom w:w="0.0" w:type="dxa"/>
              <w:right w:w="108.0" w:type="dxa"/>
            </w:tcMar>
          </w:tcPr>
          <w:p w:rsidR="00000000" w:rsidDel="00000000" w:rsidP="00000000" w:rsidRDefault="00000000" w:rsidRPr="00000000" w14:paraId="000005C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59" w:hRule="atLeast"/>
          <w:tblHeader w:val="0"/>
        </w:trPr>
        <w:tc>
          <w:tcPr>
            <w:vMerge w:val="continue"/>
            <w:tcMar>
              <w:top w:w="108.0" w:type="dxa"/>
              <w:left w:w="108.0" w:type="dxa"/>
              <w:bottom w:w="0.0" w:type="dxa"/>
              <w:right w:w="108.0" w:type="dxa"/>
            </w:tcMar>
          </w:tcPr>
          <w:p w:rsidR="00000000" w:rsidDel="00000000" w:rsidP="00000000" w:rsidRDefault="00000000" w:rsidRPr="00000000" w14:paraId="000005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Mar>
              <w:top w:w="108.0" w:type="dxa"/>
              <w:left w:w="108.0" w:type="dxa"/>
              <w:bottom w:w="0.0" w:type="dxa"/>
              <w:right w:w="108.0" w:type="dxa"/>
            </w:tcMar>
          </w:tcPr>
          <w:p w:rsidR="00000000" w:rsidDel="00000000" w:rsidP="00000000" w:rsidRDefault="00000000" w:rsidRPr="00000000" w14:paraId="000005C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retires service components (including data) securely when they are no longer needed, or at the end of their lifecycle.</w:t>
            </w:r>
          </w:p>
        </w:tc>
        <w:tc>
          <w:tcPr>
            <w:tcMar>
              <w:top w:w="108.0" w:type="dxa"/>
              <w:left w:w="108.0" w:type="dxa"/>
              <w:bottom w:w="0.0" w:type="dxa"/>
              <w:right w:w="108.0" w:type="dxa"/>
            </w:tcMar>
          </w:tcPr>
          <w:p w:rsidR="00000000" w:rsidDel="00000000" w:rsidP="00000000" w:rsidRDefault="00000000" w:rsidRPr="00000000" w14:paraId="000005C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0" w:hRule="atLeast"/>
          <w:tblHeader w:val="0"/>
        </w:trPr>
        <w:tc>
          <w:tcPr>
            <w:vMerge w:val="restart"/>
            <w:tcMar>
              <w:top w:w="108.0" w:type="dxa"/>
              <w:left w:w="108.0" w:type="dxa"/>
              <w:bottom w:w="0.0" w:type="dxa"/>
              <w:right w:w="108.0" w:type="dxa"/>
            </w:tcMar>
          </w:tcPr>
          <w:p w:rsidR="00000000" w:rsidDel="00000000" w:rsidP="00000000" w:rsidRDefault="00000000" w:rsidRPr="00000000" w14:paraId="000005C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Principle 8</w:t>
            </w:r>
          </w:p>
          <w:p w:rsidR="00000000" w:rsidDel="00000000" w:rsidP="00000000" w:rsidRDefault="00000000" w:rsidRPr="00000000" w14:paraId="000005C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Defend in depth</w:t>
            </w:r>
          </w:p>
          <w:p w:rsidR="00000000" w:rsidDel="00000000" w:rsidP="00000000" w:rsidRDefault="00000000" w:rsidRPr="00000000" w14:paraId="000005C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Create layered controls across a service so it’s harder for attackers to fully compromise the system if a single control fails or is overcome.</w:t>
            </w:r>
          </w:p>
        </w:tc>
        <w:tc>
          <w:tcPr>
            <w:tcMar>
              <w:top w:w="108.0" w:type="dxa"/>
              <w:left w:w="108.0" w:type="dxa"/>
              <w:bottom w:w="0.0" w:type="dxa"/>
              <w:right w:w="108.0" w:type="dxa"/>
            </w:tcMar>
          </w:tcPr>
          <w:p w:rsidR="00000000" w:rsidDel="00000000" w:rsidP="00000000" w:rsidRDefault="00000000" w:rsidRPr="00000000" w14:paraId="000005D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responsible for building the digital service adopts a defence in depth approach when designing the security architecture for the digital service.</w:t>
            </w:r>
          </w:p>
        </w:tc>
        <w:tc>
          <w:tcPr>
            <w:tcMar>
              <w:top w:w="108.0" w:type="dxa"/>
              <w:left w:w="108.0" w:type="dxa"/>
              <w:bottom w:w="0.0" w:type="dxa"/>
              <w:right w:w="108.0" w:type="dxa"/>
            </w:tcMar>
          </w:tcPr>
          <w:p w:rsidR="00000000" w:rsidDel="00000000" w:rsidP="00000000" w:rsidRDefault="00000000" w:rsidRPr="00000000" w14:paraId="000005D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0" w:hRule="atLeast"/>
          <w:tblHeader w:val="0"/>
        </w:trPr>
        <w:tc>
          <w:tcPr>
            <w:vMerge w:val="continue"/>
            <w:tcMar>
              <w:top w:w="108.0" w:type="dxa"/>
              <w:left w:w="108.0" w:type="dxa"/>
              <w:bottom w:w="0.0" w:type="dxa"/>
              <w:right w:w="108.0" w:type="dxa"/>
            </w:tcMar>
          </w:tcPr>
          <w:p w:rsidR="00000000" w:rsidDel="00000000" w:rsidP="00000000" w:rsidRDefault="00000000" w:rsidRPr="00000000" w14:paraId="000005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Mar>
              <w:top w:w="108.0" w:type="dxa"/>
              <w:left w:w="108.0" w:type="dxa"/>
              <w:bottom w:w="0.0" w:type="dxa"/>
              <w:right w:w="108.0" w:type="dxa"/>
            </w:tcMar>
          </w:tcPr>
          <w:p w:rsidR="00000000" w:rsidDel="00000000" w:rsidP="00000000" w:rsidRDefault="00000000" w:rsidRPr="00000000" w14:paraId="000005D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responsible for building the digital service implements security measures to incorporate segmentation.  </w:t>
            </w:r>
          </w:p>
        </w:tc>
        <w:tc>
          <w:tcPr>
            <w:tcMar>
              <w:top w:w="108.0" w:type="dxa"/>
              <w:left w:w="108.0" w:type="dxa"/>
              <w:bottom w:w="0.0" w:type="dxa"/>
              <w:right w:w="108.0" w:type="dxa"/>
            </w:tcMar>
          </w:tcPr>
          <w:p w:rsidR="00000000" w:rsidDel="00000000" w:rsidP="00000000" w:rsidRDefault="00000000" w:rsidRPr="00000000" w14:paraId="000005D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5D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D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sectPr>
      <w:type w:val="nextPage"/>
      <w:pgSz w:h="11906" w:w="16838" w:orient="landscape"/>
      <w:pgMar w:bottom="851" w:top="851" w:left="851" w:right="851" w:header="851" w:footer="85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Arial Unicode MS"/>
  <w:font w:name="MS Gothic"/>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E1">
    <w:pPr>
      <w:tabs>
        <w:tab w:val="center" w:leader="none" w:pos="4513"/>
        <w:tab w:val="right" w:leader="none" w:pos="9026"/>
      </w:tabs>
      <w:spacing w:after="0" w:lineRule="auto"/>
      <w:rPr/>
    </w:pPr>
    <w:r w:rsidDel="00000000" w:rsidR="00000000" w:rsidRPr="00000000">
      <w:rPr>
        <w:rtl w:val="0"/>
      </w:rPr>
    </w:r>
  </w:p>
  <w:p w:rsidR="00000000" w:rsidDel="00000000" w:rsidP="00000000" w:rsidRDefault="00000000" w:rsidRPr="00000000" w14:paraId="000005E2">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RM6347</w:t>
      <w:tab/>
      <w:t xml:space="preserve">                                           </w:t>
    </w:r>
  </w:p>
  <w:p w:rsidR="00000000" w:rsidDel="00000000" w:rsidP="00000000" w:rsidRDefault="00000000" w:rsidRPr="00000000" w14:paraId="000005E3">
    <w:pPr>
      <w:tabs>
        <w:tab w:val="center" w:leader="none" w:pos="4513"/>
        <w:tab w:val="right" w:leader="none" w:pos="9026"/>
      </w:tabs>
      <w:spacing w:after="0" w:lineRule="auto"/>
      <w:rPr>
        <w:color w:val="000000"/>
        <w:sz w:val="20"/>
        <w:szCs w:val="20"/>
      </w:rPr>
    </w:pPr>
    <w:r w:rsidDel="00000000" w:rsidR="00000000" w:rsidRPr="00000000">
      <w:rPr>
        <w:color w:val="000000"/>
        <w:sz w:val="20"/>
        <w:szCs w:val="20"/>
        <w:rtl w:val="0"/>
      </w:rPr>
      <w:t xml:space="preserve">Project Version: v1.0</w:t>
      <w:tab/>
      <w:tab/>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E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Model Version: v1.0 PA</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E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E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both"/>
      <w:rPr>
        <w:rFonts w:ascii="Arial" w:cs="Arial" w:eastAsia="Arial" w:hAnsi="Arial"/>
        <w:b w:val="0"/>
        <w:i w:val="1"/>
        <w:smallCaps w:val="0"/>
        <w:strike w:val="0"/>
        <w:color w:val="000000"/>
        <w:sz w:val="16"/>
        <w:szCs w:val="16"/>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E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E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36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okmarkStart w:colFirst="0" w:colLast="0" w:name="bookmark=id.6gnbuy5e17eq" w:id="177"/>
  <w:bookmarkEnd w:id="177"/>
  <w:p w:rsidR="00000000" w:rsidDel="00000000" w:rsidP="00000000" w:rsidRDefault="00000000" w:rsidRPr="00000000" w14:paraId="000005E9">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w:t>
      <w:tab/>
      <w:t xml:space="preserve">                                           </w:t>
    </w:r>
  </w:p>
  <w:p w:rsidR="00000000" w:rsidDel="00000000" w:rsidP="00000000" w:rsidRDefault="00000000" w:rsidRPr="00000000" w14:paraId="000005EA">
    <w:pPr>
      <w:tabs>
        <w:tab w:val="center" w:leader="none" w:pos="4513"/>
        <w:tab w:val="right" w:leader="none" w:pos="9026"/>
      </w:tabs>
      <w:spacing w:after="0" w:lineRule="auto"/>
      <w:rPr>
        <w:color w:val="000000"/>
        <w:sz w:val="20"/>
        <w:szCs w:val="20"/>
      </w:rPr>
    </w:pPr>
    <w:r w:rsidDel="00000000" w:rsidR="00000000" w:rsidRPr="00000000">
      <w:rPr>
        <w:color w:val="000000"/>
        <w:sz w:val="20"/>
        <w:szCs w:val="20"/>
        <w:rtl w:val="0"/>
      </w:rPr>
      <w:t xml:space="preserve">Project Version: v1.0</w:t>
      <w:tab/>
      <w:tab/>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E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Model Version: v1.0 PA</w:t>
    </w: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EC">
    <w:pPr>
      <w:keepNext w:val="0"/>
      <w:keepLines w:val="0"/>
      <w:pageBreakBefore w:val="0"/>
      <w:widowControl w:val="1"/>
      <w:pBdr>
        <w:top w:color="000000" w:space="1" w:sz="6" w:val="single"/>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ED">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w:t>
      <w:tab/>
      <w:t xml:space="preserve">                                           </w:t>
    </w:r>
  </w:p>
  <w:p w:rsidR="00000000" w:rsidDel="00000000" w:rsidP="00000000" w:rsidRDefault="00000000" w:rsidRPr="00000000" w14:paraId="000005EE">
    <w:pPr>
      <w:tabs>
        <w:tab w:val="center" w:leader="none" w:pos="4513"/>
        <w:tab w:val="right" w:leader="none" w:pos="9026"/>
      </w:tabs>
      <w:spacing w:after="0" w:lineRule="auto"/>
      <w:rPr>
        <w:color w:val="000000"/>
        <w:sz w:val="20"/>
        <w:szCs w:val="20"/>
      </w:rPr>
    </w:pPr>
    <w:r w:rsidDel="00000000" w:rsidR="00000000" w:rsidRPr="00000000">
      <w:rPr>
        <w:color w:val="000000"/>
        <w:sz w:val="20"/>
        <w:szCs w:val="20"/>
        <w:rtl w:val="0"/>
      </w:rPr>
      <w:t xml:space="preserve">Project Version: v1.0</w:t>
      <w:tab/>
      <w:tab/>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E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Model Version: v1.0 PA</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D7">
    <w:pPr>
      <w:tabs>
        <w:tab w:val="center" w:leader="none" w:pos="4513"/>
        <w:tab w:val="right" w:leader="none" w:pos="9026"/>
      </w:tabs>
      <w:spacing w:after="0" w:lineRule="auto"/>
      <w:rPr>
        <w:sz w:val="22"/>
        <w:szCs w:val="22"/>
      </w:rPr>
    </w:pPr>
    <w:r w:rsidDel="00000000" w:rsidR="00000000" w:rsidRPr="00000000">
      <w:rPr>
        <w:b w:val="1"/>
        <w:sz w:val="22"/>
        <w:szCs w:val="22"/>
        <w:rtl w:val="0"/>
      </w:rPr>
      <w:t xml:space="preserve">Call-Off Schedule 9D (Security: Supplier-led Assurance)</w:t>
    </w:r>
    <w:r w:rsidDel="00000000" w:rsidR="00000000" w:rsidRPr="00000000">
      <w:rPr>
        <w:rtl w:val="0"/>
      </w:rPr>
    </w:r>
  </w:p>
  <w:p w:rsidR="00000000" w:rsidDel="00000000" w:rsidP="00000000" w:rsidRDefault="00000000" w:rsidRPr="00000000" w14:paraId="000005D8">
    <w:pPr>
      <w:tabs>
        <w:tab w:val="center" w:leader="none" w:pos="4513"/>
        <w:tab w:val="right" w:leader="none" w:pos="9026"/>
      </w:tabs>
      <w:spacing w:after="0" w:lineRule="auto"/>
      <w:rPr>
        <w:sz w:val="22"/>
        <w:szCs w:val="22"/>
      </w:rPr>
    </w:pPr>
    <w:r w:rsidDel="00000000" w:rsidR="00000000" w:rsidRPr="00000000">
      <w:rPr>
        <w:sz w:val="22"/>
        <w:szCs w:val="22"/>
        <w:rtl w:val="0"/>
      </w:rPr>
      <w:t xml:space="preserve">Call-Off Ref:</w:t>
    </w:r>
  </w:p>
  <w:p w:rsidR="00000000" w:rsidDel="00000000" w:rsidP="00000000" w:rsidRDefault="00000000" w:rsidRPr="00000000" w14:paraId="000005D9">
    <w:pPr>
      <w:tabs>
        <w:tab w:val="center" w:leader="none" w:pos="4513"/>
        <w:tab w:val="right" w:leader="none" w:pos="9026"/>
      </w:tabs>
      <w:spacing w:after="0" w:lineRule="auto"/>
      <w:rPr>
        <w:sz w:val="22"/>
        <w:szCs w:val="22"/>
      </w:rPr>
    </w:pPr>
    <w:r w:rsidDel="00000000" w:rsidR="00000000" w:rsidRPr="00000000">
      <w:rPr>
        <w:sz w:val="22"/>
        <w:szCs w:val="22"/>
        <w:rtl w:val="0"/>
      </w:rPr>
      <w:t xml:space="preserve">Crown Copyright 2025</w:t>
    </w:r>
  </w:p>
  <w:p w:rsidR="00000000" w:rsidDel="00000000" w:rsidP="00000000" w:rsidRDefault="00000000" w:rsidRPr="00000000" w14:paraId="000005D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D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okmarkStart w:colFirst="0" w:colLast="0" w:name="bookmark=id.y5pi81w2y5pn" w:id="175"/>
  <w:bookmarkEnd w:id="175"/>
  <w:p w:rsidR="00000000" w:rsidDel="00000000" w:rsidP="00000000" w:rsidRDefault="00000000" w:rsidRPr="00000000" w14:paraId="000005D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1azi28lmhmhm" w:id="176"/>
  <w:bookmarkEnd w:id="176"/>
  <w:p w:rsidR="00000000" w:rsidDel="00000000" w:rsidP="00000000" w:rsidRDefault="00000000" w:rsidRPr="00000000" w14:paraId="000005D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D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D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Appendix %1"/>
      <w:lvlJc w:val="left"/>
      <w:pPr>
        <w:ind w:left="0" w:firstLine="0"/>
      </w:pPr>
      <w:rPr>
        <w:smallCaps w:val="0"/>
      </w:rPr>
    </w:lvl>
    <w:lvl w:ilvl="1">
      <w:start w:val="1"/>
      <w:numFmt w:val="decimal"/>
      <w:lvlText w:val="Part %2"/>
      <w:lvlJc w:val="left"/>
      <w:pPr>
        <w:ind w:left="0" w:firstLine="0"/>
      </w:pPr>
      <w:rPr>
        <w:smallCaps w:val="0"/>
      </w:rPr>
    </w:lvl>
    <w:lvl w:ilvl="2">
      <w:start w:val="1"/>
      <w:numFmt w:val="decimal"/>
      <w:lvlText w:val=""/>
      <w:lvlJc w:val="left"/>
      <w:pPr>
        <w:ind w:left="0" w:firstLine="0"/>
      </w:pPr>
      <w:rPr>
        <w:smallCaps w:val="0"/>
      </w:rPr>
    </w:lvl>
    <w:lvl w:ilvl="3">
      <w:start w:val="1"/>
      <w:numFmt w:val="decimal"/>
      <w:lvlText w:val=""/>
      <w:lvlJc w:val="left"/>
      <w:pPr>
        <w:ind w:left="0" w:firstLine="0"/>
      </w:pPr>
      <w:rPr>
        <w:smallCaps w:val="0"/>
      </w:rPr>
    </w:lvl>
    <w:lvl w:ilvl="4">
      <w:start w:val="1"/>
      <w:numFmt w:val="decimal"/>
      <w:lvlText w:val=""/>
      <w:lvlJc w:val="left"/>
      <w:pPr>
        <w:ind w:left="0" w:firstLine="0"/>
      </w:pPr>
      <w:rPr>
        <w:smallCaps w:val="0"/>
      </w:rPr>
    </w:lvl>
    <w:lvl w:ilvl="5">
      <w:start w:val="1"/>
      <w:numFmt w:val="decimal"/>
      <w:lvlText w:val=""/>
      <w:lvlJc w:val="left"/>
      <w:pPr>
        <w:ind w:left="0" w:firstLine="0"/>
      </w:pPr>
      <w:rPr>
        <w:smallCaps w:val="0"/>
      </w:rPr>
    </w:lvl>
    <w:lvl w:ilvl="6">
      <w:start w:val="1"/>
      <w:numFmt w:val="decimal"/>
      <w:lvlText w:val=""/>
      <w:lvlJc w:val="left"/>
      <w:pPr>
        <w:ind w:left="0" w:firstLine="0"/>
      </w:pPr>
      <w:rPr>
        <w:smallCaps w:val="0"/>
      </w:rPr>
    </w:lvl>
    <w:lvl w:ilvl="7">
      <w:start w:val="1"/>
      <w:numFmt w:val="decimal"/>
      <w:lvlText w:val=""/>
      <w:lvlJc w:val="left"/>
      <w:pPr>
        <w:ind w:left="0" w:firstLine="0"/>
      </w:pPr>
      <w:rPr>
        <w:smallCaps w:val="0"/>
      </w:rPr>
    </w:lvl>
    <w:lvl w:ilvl="8">
      <w:start w:val="1"/>
      <w:numFmt w:val="decimal"/>
      <w:lvlText w:val=""/>
      <w:lvlJc w:val="left"/>
      <w:pPr>
        <w:ind w:left="0" w:firstLine="0"/>
      </w:pPr>
      <w:rPr>
        <w:smallCaps w:val="0"/>
      </w:rPr>
    </w:lvl>
  </w:abstractNum>
  <w:abstractNum w:abstractNumId="2">
    <w:lvl w:ilvl="0">
      <w:start w:val="1"/>
      <w:numFmt w:val="decimal"/>
      <w:lvlText w:val="%1."/>
      <w:lvlJc w:val="left"/>
      <w:pPr>
        <w:ind w:left="720" w:hanging="720"/>
      </w:pPr>
      <w:rPr>
        <w:smallCaps w:val="0"/>
      </w:rPr>
    </w:lvl>
    <w:lvl w:ilvl="1">
      <w:start w:val="1"/>
      <w:numFmt w:val="decimal"/>
      <w:lvlText w:val="%1.%2"/>
      <w:lvlJc w:val="left"/>
      <w:pPr>
        <w:ind w:left="720" w:hanging="720"/>
      </w:pPr>
      <w:rPr>
        <w:b w:val="0"/>
        <w:smallCaps w:val="0"/>
      </w:rPr>
    </w:lvl>
    <w:lvl w:ilvl="2">
      <w:start w:val="1"/>
      <w:numFmt w:val="decimal"/>
      <w:lvlText w:val="%1.%2.%3"/>
      <w:lvlJc w:val="left"/>
      <w:pPr>
        <w:ind w:left="1440" w:hanging="720"/>
      </w:pPr>
      <w:rPr>
        <w:smallCaps w:val="0"/>
      </w:rPr>
    </w:lvl>
    <w:lvl w:ilvl="3">
      <w:start w:val="1"/>
      <w:numFmt w:val="lowerLetter"/>
      <w:lvlText w:val="(%4)"/>
      <w:lvlJc w:val="left"/>
      <w:pPr>
        <w:ind w:left="2160" w:hanging="720"/>
      </w:pPr>
      <w:rPr>
        <w:smallCaps w:val="0"/>
      </w:rPr>
    </w:lvl>
    <w:lvl w:ilvl="4">
      <w:start w:val="1"/>
      <w:numFmt w:val="lowerRoman"/>
      <w:lvlText w:val="(%5)"/>
      <w:lvlJc w:val="left"/>
      <w:pPr>
        <w:ind w:left="2880" w:hanging="720"/>
      </w:pPr>
      <w:rPr>
        <w:smallCaps w:val="0"/>
      </w:rPr>
    </w:lvl>
    <w:lvl w:ilvl="5">
      <w:start w:val="1"/>
      <w:numFmt w:val="decimal"/>
      <w:lvlText w:val="(%6)"/>
      <w:lvlJc w:val="left"/>
      <w:pPr>
        <w:ind w:left="3600" w:hanging="720"/>
      </w:pPr>
      <w:rPr>
        <w:smallCaps w:val="0"/>
      </w:rPr>
    </w:lvl>
    <w:lvl w:ilvl="6">
      <w:start w:val="1"/>
      <w:numFmt w:val="lowerLetter"/>
      <w:lvlText w:val="(%7)"/>
      <w:lvlJc w:val="left"/>
      <w:pPr>
        <w:ind w:left="4321" w:hanging="721"/>
      </w:pPr>
      <w:rPr>
        <w:smallCaps w:val="0"/>
      </w:rPr>
    </w:lvl>
    <w:lvl w:ilvl="7">
      <w:start w:val="1"/>
      <w:numFmt w:val="decimal"/>
      <w:lvlText w:val=""/>
      <w:lvlJc w:val="left"/>
      <w:pPr>
        <w:ind w:left="4321" w:hanging="721"/>
      </w:pPr>
      <w:rPr>
        <w:smallCaps w:val="0"/>
      </w:rPr>
    </w:lvl>
    <w:lvl w:ilvl="8">
      <w:start w:val="1"/>
      <w:numFmt w:val="decimal"/>
      <w:lvlText w:val=""/>
      <w:lvlJc w:val="left"/>
      <w:pPr>
        <w:ind w:left="4321" w:hanging="721"/>
      </w:pPr>
      <w:rPr>
        <w:smallCaps w:val="0"/>
      </w:rPr>
    </w:lvl>
  </w:abstractNum>
  <w:abstractNum w:abstractNumId="3">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4">
    <w:lvl w:ilvl="0">
      <w:start w:val="21"/>
      <w:numFmt w:val="decimal"/>
      <w:lvlText w:val="%1."/>
      <w:lvlJc w:val="left"/>
      <w:pPr>
        <w:ind w:left="720" w:hanging="720"/>
      </w:pPr>
      <w:rPr>
        <w:smallCaps w:val="0"/>
      </w:rPr>
    </w:lvl>
    <w:lvl w:ilvl="1">
      <w:start w:val="1"/>
      <w:numFmt w:val="decimal"/>
      <w:lvlText w:val="%1.%2"/>
      <w:lvlJc w:val="left"/>
      <w:pPr>
        <w:ind w:left="720" w:hanging="720"/>
      </w:pPr>
      <w:rPr>
        <w:b w:val="0"/>
        <w:smallCaps w:val="0"/>
      </w:rPr>
    </w:lvl>
    <w:lvl w:ilvl="2">
      <w:start w:val="1"/>
      <w:numFmt w:val="decimal"/>
      <w:lvlText w:val="%1.%2.%3"/>
      <w:lvlJc w:val="left"/>
      <w:pPr>
        <w:ind w:left="1440" w:hanging="720"/>
      </w:pPr>
      <w:rPr>
        <w:smallCaps w:val="0"/>
      </w:rPr>
    </w:lvl>
    <w:lvl w:ilvl="3">
      <w:start w:val="1"/>
      <w:numFmt w:val="lowerLetter"/>
      <w:lvlText w:val="(%4)"/>
      <w:lvlJc w:val="left"/>
      <w:pPr>
        <w:ind w:left="2160" w:hanging="720"/>
      </w:pPr>
      <w:rPr>
        <w:smallCaps w:val="0"/>
      </w:rPr>
    </w:lvl>
    <w:lvl w:ilvl="4">
      <w:start w:val="1"/>
      <w:numFmt w:val="lowerRoman"/>
      <w:lvlText w:val="(%5)"/>
      <w:lvlJc w:val="left"/>
      <w:pPr>
        <w:ind w:left="2880" w:hanging="720"/>
      </w:pPr>
      <w:rPr>
        <w:smallCaps w:val="0"/>
      </w:rPr>
    </w:lvl>
    <w:lvl w:ilvl="5">
      <w:start w:val="1"/>
      <w:numFmt w:val="decimal"/>
      <w:lvlText w:val="(%6)"/>
      <w:lvlJc w:val="left"/>
      <w:pPr>
        <w:ind w:left="3600" w:hanging="720"/>
      </w:pPr>
      <w:rPr>
        <w:smallCaps w:val="0"/>
      </w:rPr>
    </w:lvl>
    <w:lvl w:ilvl="6">
      <w:start w:val="1"/>
      <w:numFmt w:val="lowerLetter"/>
      <w:lvlText w:val="(%7)"/>
      <w:lvlJc w:val="left"/>
      <w:pPr>
        <w:ind w:left="4321" w:hanging="721"/>
      </w:pPr>
      <w:rPr>
        <w:smallCaps w:val="0"/>
      </w:rPr>
    </w:lvl>
    <w:lvl w:ilvl="7">
      <w:start w:val="1"/>
      <w:numFmt w:val="decimal"/>
      <w:lvlText w:val=""/>
      <w:lvlJc w:val="left"/>
      <w:pPr>
        <w:ind w:left="4321" w:hanging="721"/>
      </w:pPr>
      <w:rPr>
        <w:smallCaps w:val="0"/>
      </w:rPr>
    </w:lvl>
    <w:lvl w:ilvl="8">
      <w:start w:val="1"/>
      <w:numFmt w:val="decimal"/>
      <w:lvlText w:val=""/>
      <w:lvlJc w:val="left"/>
      <w:pPr>
        <w:ind w:left="4321" w:hanging="721"/>
      </w:pPr>
      <w:rPr>
        <w:smallCaps w:val="0"/>
      </w:rPr>
    </w:lvl>
  </w:abstractNum>
  <w:abstractNum w:abstractNumId="5">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6">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7">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8">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9">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10">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11">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12">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13">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14">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15">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16">
    <w:lvl w:ilvl="0">
      <w:start w:val="1"/>
      <w:numFmt w:val="decimal"/>
      <w:lvlText w:val="%1"/>
      <w:lvlJc w:val="left"/>
      <w:pPr>
        <w:ind w:left="720" w:hanging="720"/>
      </w:pPr>
      <w:rPr>
        <w:smallCaps w:val="0"/>
      </w:rPr>
    </w:lvl>
    <w:lvl w:ilvl="1">
      <w:start w:val="1"/>
      <w:numFmt w:val="decimal"/>
      <w:lvlText w:val="%1.%2"/>
      <w:lvlJc w:val="left"/>
      <w:pPr>
        <w:ind w:left="720" w:hanging="720"/>
      </w:pPr>
      <w:rPr>
        <w:b w:val="0"/>
        <w:smallCaps w:val="0"/>
      </w:rPr>
    </w:lvl>
    <w:lvl w:ilvl="2">
      <w:start w:val="1"/>
      <w:numFmt w:val="decimal"/>
      <w:lvlText w:val="%1.%2.%3"/>
      <w:lvlJc w:val="left"/>
      <w:pPr>
        <w:ind w:left="1440" w:hanging="720"/>
      </w:pPr>
      <w:rPr>
        <w:smallCaps w:val="0"/>
      </w:rPr>
    </w:lvl>
    <w:lvl w:ilvl="3">
      <w:start w:val="1"/>
      <w:numFmt w:val="lowerLetter"/>
      <w:lvlText w:val="(%4)"/>
      <w:lvlJc w:val="left"/>
      <w:pPr>
        <w:ind w:left="2160" w:hanging="720"/>
      </w:pPr>
      <w:rPr>
        <w:smallCaps w:val="0"/>
      </w:rPr>
    </w:lvl>
    <w:lvl w:ilvl="4">
      <w:start w:val="1"/>
      <w:numFmt w:val="lowerRoman"/>
      <w:lvlText w:val="(%5)"/>
      <w:lvlJc w:val="left"/>
      <w:pPr>
        <w:ind w:left="2880" w:hanging="720"/>
      </w:pPr>
      <w:rPr>
        <w:smallCaps w:val="0"/>
      </w:rPr>
    </w:lvl>
    <w:lvl w:ilvl="5">
      <w:start w:val="1"/>
      <w:numFmt w:val="decimal"/>
      <w:lvlText w:val="(%6)"/>
      <w:lvlJc w:val="left"/>
      <w:pPr>
        <w:ind w:left="3600" w:hanging="720"/>
      </w:pPr>
      <w:rPr>
        <w:smallCaps w:val="0"/>
      </w:rPr>
    </w:lvl>
    <w:lvl w:ilvl="6">
      <w:start w:val="1"/>
      <w:numFmt w:val="lowerLetter"/>
      <w:lvlText w:val="(%7)"/>
      <w:lvlJc w:val="left"/>
      <w:pPr>
        <w:ind w:left="4320" w:hanging="720"/>
      </w:pPr>
      <w:rPr>
        <w:smallCaps w:val="0"/>
      </w:rPr>
    </w:lvl>
    <w:lvl w:ilvl="7">
      <w:start w:val="1"/>
      <w:numFmt w:val="decimal"/>
      <w:lvlText w:val=""/>
      <w:lvlJc w:val="left"/>
      <w:pPr>
        <w:ind w:left="4320" w:hanging="720"/>
      </w:pPr>
      <w:rPr>
        <w:smallCaps w:val="0"/>
      </w:rPr>
    </w:lvl>
    <w:lvl w:ilvl="8">
      <w:start w:val="1"/>
      <w:numFmt w:val="decimal"/>
      <w:lvlText w:val=""/>
      <w:lvlJc w:val="left"/>
      <w:pPr>
        <w:ind w:left="4320" w:hanging="720"/>
      </w:pPr>
      <w:rPr>
        <w:smallCaps w:val="0"/>
      </w:rPr>
    </w:lvl>
  </w:abstractNum>
  <w:abstractNum w:abstractNumId="17">
    <w:lvl w:ilvl="0">
      <w:start w:val="1"/>
      <w:numFmt w:val="decimal"/>
      <w:lvlText w:val="%1"/>
      <w:lvlJc w:val="left"/>
      <w:pPr>
        <w:ind w:left="720" w:hanging="720"/>
      </w:pPr>
      <w:rPr>
        <w:smallCaps w:val="0"/>
      </w:rPr>
    </w:lvl>
    <w:lvl w:ilvl="1">
      <w:start w:val="1"/>
      <w:numFmt w:val="decimal"/>
      <w:lvlText w:val="%1.%2"/>
      <w:lvlJc w:val="left"/>
      <w:pPr>
        <w:ind w:left="720" w:hanging="720"/>
      </w:pPr>
      <w:rPr>
        <w:b w:val="0"/>
        <w:smallCaps w:val="0"/>
      </w:rPr>
    </w:lvl>
    <w:lvl w:ilvl="2">
      <w:start w:val="1"/>
      <w:numFmt w:val="decimal"/>
      <w:lvlText w:val="%1.%2.%3"/>
      <w:lvlJc w:val="left"/>
      <w:pPr>
        <w:ind w:left="1440" w:hanging="720"/>
      </w:pPr>
      <w:rPr>
        <w:smallCaps w:val="0"/>
      </w:rPr>
    </w:lvl>
    <w:lvl w:ilvl="3">
      <w:start w:val="1"/>
      <w:numFmt w:val="lowerLetter"/>
      <w:lvlText w:val="(%4)"/>
      <w:lvlJc w:val="left"/>
      <w:pPr>
        <w:ind w:left="2160" w:hanging="720"/>
      </w:pPr>
      <w:rPr>
        <w:smallCaps w:val="0"/>
      </w:rPr>
    </w:lvl>
    <w:lvl w:ilvl="4">
      <w:start w:val="1"/>
      <w:numFmt w:val="lowerRoman"/>
      <w:lvlText w:val="(%5)"/>
      <w:lvlJc w:val="left"/>
      <w:pPr>
        <w:ind w:left="2880" w:hanging="720"/>
      </w:pPr>
      <w:rPr>
        <w:smallCaps w:val="0"/>
      </w:rPr>
    </w:lvl>
    <w:lvl w:ilvl="5">
      <w:start w:val="1"/>
      <w:numFmt w:val="decimal"/>
      <w:lvlText w:val="(%6)"/>
      <w:lvlJc w:val="left"/>
      <w:pPr>
        <w:ind w:left="3600" w:hanging="720"/>
      </w:pPr>
      <w:rPr>
        <w:smallCaps w:val="0"/>
      </w:rPr>
    </w:lvl>
    <w:lvl w:ilvl="6">
      <w:start w:val="1"/>
      <w:numFmt w:val="lowerLetter"/>
      <w:lvlText w:val="(%7)"/>
      <w:lvlJc w:val="left"/>
      <w:pPr>
        <w:ind w:left="4320" w:hanging="720"/>
      </w:pPr>
      <w:rPr>
        <w:smallCaps w:val="0"/>
      </w:rPr>
    </w:lvl>
    <w:lvl w:ilvl="7">
      <w:start w:val="1"/>
      <w:numFmt w:val="decimal"/>
      <w:lvlText w:val=""/>
      <w:lvlJc w:val="left"/>
      <w:pPr>
        <w:ind w:left="4320" w:hanging="720"/>
      </w:pPr>
      <w:rPr>
        <w:smallCaps w:val="0"/>
      </w:rPr>
    </w:lvl>
    <w:lvl w:ilvl="8">
      <w:start w:val="1"/>
      <w:numFmt w:val="decimal"/>
      <w:lvlText w:val=""/>
      <w:lvlJc w:val="left"/>
      <w:pPr>
        <w:ind w:left="4320" w:hanging="720"/>
      </w:pPr>
      <w:rPr>
        <w:smallCaps w:val="0"/>
      </w:rPr>
    </w:lvl>
  </w:abstractNum>
  <w:abstractNum w:abstractNumId="18">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19">
    <w:lvl w:ilvl="0">
      <w:start w:val="1"/>
      <w:numFmt w:val="bullet"/>
      <w:lvlText w:val="●"/>
      <w:lvlJc w:val="left"/>
      <w:pPr>
        <w:ind w:left="780" w:hanging="360"/>
      </w:pPr>
      <w:rPr>
        <w:rFonts w:ascii="Noto Sans Symbols" w:cs="Noto Sans Symbols" w:eastAsia="Noto Sans Symbols" w:hAnsi="Noto Sans Symbols"/>
      </w:rPr>
    </w:lvl>
    <w:lvl w:ilvl="1">
      <w:start w:val="1"/>
      <w:numFmt w:val="bullet"/>
      <w:lvlText w:val="o"/>
      <w:lvlJc w:val="left"/>
      <w:pPr>
        <w:ind w:left="1500" w:hanging="360"/>
      </w:pPr>
      <w:rPr>
        <w:rFonts w:ascii="Courier New" w:cs="Courier New" w:eastAsia="Courier New" w:hAnsi="Courier New"/>
      </w:rPr>
    </w:lvl>
    <w:lvl w:ilvl="2">
      <w:start w:val="1"/>
      <w:numFmt w:val="bullet"/>
      <w:lvlText w:val="▪"/>
      <w:lvlJc w:val="left"/>
      <w:pPr>
        <w:ind w:left="2220" w:hanging="360"/>
      </w:pPr>
      <w:rPr>
        <w:rFonts w:ascii="Noto Sans Symbols" w:cs="Noto Sans Symbols" w:eastAsia="Noto Sans Symbols" w:hAnsi="Noto Sans Symbols"/>
      </w:rPr>
    </w:lvl>
    <w:lvl w:ilvl="3">
      <w:start w:val="1"/>
      <w:numFmt w:val="bullet"/>
      <w:lvlText w:val="●"/>
      <w:lvlJc w:val="left"/>
      <w:pPr>
        <w:ind w:left="2940" w:hanging="360"/>
      </w:pPr>
      <w:rPr>
        <w:rFonts w:ascii="Noto Sans Symbols" w:cs="Noto Sans Symbols" w:eastAsia="Noto Sans Symbols" w:hAnsi="Noto Sans Symbols"/>
      </w:rPr>
    </w:lvl>
    <w:lvl w:ilvl="4">
      <w:start w:val="1"/>
      <w:numFmt w:val="bullet"/>
      <w:lvlText w:val="o"/>
      <w:lvlJc w:val="left"/>
      <w:pPr>
        <w:ind w:left="3660" w:hanging="360"/>
      </w:pPr>
      <w:rPr>
        <w:rFonts w:ascii="Courier New" w:cs="Courier New" w:eastAsia="Courier New" w:hAnsi="Courier New"/>
      </w:rPr>
    </w:lvl>
    <w:lvl w:ilvl="5">
      <w:start w:val="1"/>
      <w:numFmt w:val="bullet"/>
      <w:lvlText w:val="▪"/>
      <w:lvlJc w:val="left"/>
      <w:pPr>
        <w:ind w:left="4380" w:hanging="360"/>
      </w:pPr>
      <w:rPr>
        <w:rFonts w:ascii="Noto Sans Symbols" w:cs="Noto Sans Symbols" w:eastAsia="Noto Sans Symbols" w:hAnsi="Noto Sans Symbols"/>
      </w:rPr>
    </w:lvl>
    <w:lvl w:ilvl="6">
      <w:start w:val="1"/>
      <w:numFmt w:val="bullet"/>
      <w:lvlText w:val="●"/>
      <w:lvlJc w:val="left"/>
      <w:pPr>
        <w:ind w:left="5100" w:hanging="360"/>
      </w:pPr>
      <w:rPr>
        <w:rFonts w:ascii="Noto Sans Symbols" w:cs="Noto Sans Symbols" w:eastAsia="Noto Sans Symbols" w:hAnsi="Noto Sans Symbols"/>
      </w:rPr>
    </w:lvl>
    <w:lvl w:ilvl="7">
      <w:start w:val="1"/>
      <w:numFmt w:val="bullet"/>
      <w:lvlText w:val="o"/>
      <w:lvlJc w:val="left"/>
      <w:pPr>
        <w:ind w:left="5820" w:hanging="360"/>
      </w:pPr>
      <w:rPr>
        <w:rFonts w:ascii="Courier New" w:cs="Courier New" w:eastAsia="Courier New" w:hAnsi="Courier New"/>
      </w:rPr>
    </w:lvl>
    <w:lvl w:ilvl="8">
      <w:start w:val="1"/>
      <w:numFmt w:val="bullet"/>
      <w:lvlText w:val="▪"/>
      <w:lvlJc w:val="left"/>
      <w:pPr>
        <w:ind w:left="6540" w:hanging="360"/>
      </w:pPr>
      <w:rPr>
        <w:rFonts w:ascii="Noto Sans Symbols" w:cs="Noto Sans Symbols" w:eastAsia="Noto Sans Symbols" w:hAnsi="Noto Sans Symbols"/>
      </w:rPr>
    </w:lvl>
  </w:abstractNum>
  <w:abstractNum w:abstractNumId="20">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21">
    <w:lvl w:ilvl="0">
      <w:start w:val="1"/>
      <w:numFmt w:val="decimal"/>
      <w:lvlText w:val="%1"/>
      <w:lvlJc w:val="left"/>
      <w:pPr>
        <w:ind w:left="720" w:hanging="720"/>
      </w:pPr>
      <w:rPr>
        <w:smallCaps w:val="0"/>
      </w:rPr>
    </w:lvl>
    <w:lvl w:ilvl="1">
      <w:start w:val="1"/>
      <w:numFmt w:val="decimal"/>
      <w:lvlText w:val="%1.%2"/>
      <w:lvlJc w:val="left"/>
      <w:pPr>
        <w:ind w:left="720" w:hanging="720"/>
      </w:pPr>
      <w:rPr>
        <w:b w:val="0"/>
        <w:smallCaps w:val="0"/>
      </w:rPr>
    </w:lvl>
    <w:lvl w:ilvl="2">
      <w:start w:val="1"/>
      <w:numFmt w:val="decimal"/>
      <w:lvlText w:val="%1.%2.%3"/>
      <w:lvlJc w:val="left"/>
      <w:pPr>
        <w:ind w:left="1440" w:hanging="720"/>
      </w:pPr>
      <w:rPr>
        <w:smallCaps w:val="0"/>
      </w:rPr>
    </w:lvl>
    <w:lvl w:ilvl="3">
      <w:start w:val="1"/>
      <w:numFmt w:val="lowerLetter"/>
      <w:lvlText w:val="(%4)"/>
      <w:lvlJc w:val="left"/>
      <w:pPr>
        <w:ind w:left="2160" w:hanging="720"/>
      </w:pPr>
      <w:rPr>
        <w:smallCaps w:val="0"/>
      </w:rPr>
    </w:lvl>
    <w:lvl w:ilvl="4">
      <w:start w:val="1"/>
      <w:numFmt w:val="lowerRoman"/>
      <w:lvlText w:val="(%5)"/>
      <w:lvlJc w:val="left"/>
      <w:pPr>
        <w:ind w:left="2880" w:hanging="720"/>
      </w:pPr>
      <w:rPr>
        <w:smallCaps w:val="0"/>
      </w:rPr>
    </w:lvl>
    <w:lvl w:ilvl="5">
      <w:start w:val="1"/>
      <w:numFmt w:val="decimal"/>
      <w:lvlText w:val="(%6)"/>
      <w:lvlJc w:val="left"/>
      <w:pPr>
        <w:ind w:left="3600" w:hanging="720"/>
      </w:pPr>
      <w:rPr>
        <w:smallCaps w:val="0"/>
      </w:rPr>
    </w:lvl>
    <w:lvl w:ilvl="6">
      <w:start w:val="1"/>
      <w:numFmt w:val="lowerLetter"/>
      <w:lvlText w:val="(%7)"/>
      <w:lvlJc w:val="left"/>
      <w:pPr>
        <w:ind w:left="4320" w:hanging="720"/>
      </w:pPr>
      <w:rPr>
        <w:smallCaps w:val="0"/>
      </w:rPr>
    </w:lvl>
    <w:lvl w:ilvl="7">
      <w:start w:val="1"/>
      <w:numFmt w:val="decimal"/>
      <w:lvlText w:val=""/>
      <w:lvlJc w:val="left"/>
      <w:pPr>
        <w:ind w:left="4320" w:hanging="720"/>
      </w:pPr>
      <w:rPr>
        <w:smallCaps w:val="0"/>
      </w:rPr>
    </w:lvl>
    <w:lvl w:ilvl="8">
      <w:start w:val="1"/>
      <w:numFmt w:val="decimal"/>
      <w:lvlText w:val=""/>
      <w:lvlJc w:val="left"/>
      <w:pPr>
        <w:ind w:left="4320" w:hanging="720"/>
      </w:pPr>
      <w:rPr>
        <w:smallCaps w:val="0"/>
      </w:rPr>
    </w:lvl>
  </w:abstractNum>
  <w:abstractNum w:abstractNumId="22">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23">
    <w:lvl w:ilvl="0">
      <w:start w:val="1"/>
      <w:numFmt w:val="decimal"/>
      <w:lvlText w:val="%1"/>
      <w:lvlJc w:val="left"/>
      <w:pPr>
        <w:ind w:left="720" w:hanging="720"/>
      </w:pPr>
      <w:rPr>
        <w:smallCaps w:val="0"/>
      </w:rPr>
    </w:lvl>
    <w:lvl w:ilvl="1">
      <w:start w:val="1"/>
      <w:numFmt w:val="decimal"/>
      <w:lvlText w:val="%1.%2"/>
      <w:lvlJc w:val="left"/>
      <w:pPr>
        <w:ind w:left="720" w:hanging="720"/>
      </w:pPr>
      <w:rPr>
        <w:b w:val="0"/>
        <w:smallCaps w:val="0"/>
      </w:rPr>
    </w:lvl>
    <w:lvl w:ilvl="2">
      <w:start w:val="1"/>
      <w:numFmt w:val="decimal"/>
      <w:lvlText w:val="%1.%2.%3"/>
      <w:lvlJc w:val="left"/>
      <w:pPr>
        <w:ind w:left="1440" w:hanging="720"/>
      </w:pPr>
      <w:rPr>
        <w:smallCaps w:val="0"/>
      </w:rPr>
    </w:lvl>
    <w:lvl w:ilvl="3">
      <w:start w:val="1"/>
      <w:numFmt w:val="lowerLetter"/>
      <w:lvlText w:val="(%4)"/>
      <w:lvlJc w:val="left"/>
      <w:pPr>
        <w:ind w:left="2160" w:hanging="720"/>
      </w:pPr>
      <w:rPr>
        <w:smallCaps w:val="0"/>
      </w:rPr>
    </w:lvl>
    <w:lvl w:ilvl="4">
      <w:start w:val="1"/>
      <w:numFmt w:val="lowerRoman"/>
      <w:lvlText w:val="(%5)"/>
      <w:lvlJc w:val="left"/>
      <w:pPr>
        <w:ind w:left="2880" w:hanging="720"/>
      </w:pPr>
      <w:rPr>
        <w:smallCaps w:val="0"/>
      </w:rPr>
    </w:lvl>
    <w:lvl w:ilvl="5">
      <w:start w:val="1"/>
      <w:numFmt w:val="decimal"/>
      <w:lvlText w:val="(%6)"/>
      <w:lvlJc w:val="left"/>
      <w:pPr>
        <w:ind w:left="3600" w:hanging="720"/>
      </w:pPr>
      <w:rPr>
        <w:smallCaps w:val="0"/>
      </w:rPr>
    </w:lvl>
    <w:lvl w:ilvl="6">
      <w:start w:val="1"/>
      <w:numFmt w:val="lowerLetter"/>
      <w:lvlText w:val="(%7)"/>
      <w:lvlJc w:val="left"/>
      <w:pPr>
        <w:ind w:left="4320" w:hanging="720"/>
      </w:pPr>
      <w:rPr>
        <w:smallCaps w:val="0"/>
      </w:rPr>
    </w:lvl>
    <w:lvl w:ilvl="7">
      <w:start w:val="1"/>
      <w:numFmt w:val="decimal"/>
      <w:lvlText w:val=""/>
      <w:lvlJc w:val="left"/>
      <w:pPr>
        <w:ind w:left="4320" w:hanging="720"/>
      </w:pPr>
      <w:rPr>
        <w:smallCaps w:val="0"/>
      </w:rPr>
    </w:lvl>
    <w:lvl w:ilvl="8">
      <w:start w:val="1"/>
      <w:numFmt w:val="decimal"/>
      <w:lvlText w:val=""/>
      <w:lvlJc w:val="left"/>
      <w:pPr>
        <w:ind w:left="4320" w:hanging="720"/>
      </w:pPr>
      <w:rPr>
        <w:smallCaps w:val="0"/>
      </w:rPr>
    </w:lvl>
  </w:abstractNum>
  <w:abstractNum w:abstractNumId="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26">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27">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28">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29">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40"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240" w:before="360" w:line="240" w:lineRule="auto"/>
      <w:ind w:left="720" w:right="0" w:hanging="72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720" w:right="0" w:hanging="720"/>
      <w:jc w:val="left"/>
    </w:pPr>
    <w:rPr>
      <w:rFonts w:ascii="Arial" w:cs="Arial" w:eastAsia="Arial" w:hAnsi="Arial"/>
      <w:b w:val="0"/>
      <w:i w:val="0"/>
      <w:smallCaps w:val="0"/>
      <w:strike w:val="0"/>
      <w:color w:val="000000"/>
      <w:sz w:val="20"/>
      <w:szCs w:val="20"/>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1440" w:right="0" w:hanging="720"/>
      <w:jc w:val="left"/>
    </w:pPr>
    <w:rPr>
      <w:rFonts w:ascii="Arial" w:cs="Arial" w:eastAsia="Arial" w:hAnsi="Arial"/>
      <w:b w:val="0"/>
      <w:i w:val="0"/>
      <w:smallCaps w:val="0"/>
      <w:strike w:val="0"/>
      <w:color w:val="000000"/>
      <w:sz w:val="20"/>
      <w:szCs w:val="20"/>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2160" w:right="0" w:hanging="720"/>
      <w:jc w:val="left"/>
    </w:pPr>
    <w:rPr>
      <w:rFonts w:ascii="Arial" w:cs="Arial" w:eastAsia="Arial" w:hAnsi="Arial"/>
      <w:b w:val="0"/>
      <w:i w:val="0"/>
      <w:smallCaps w:val="0"/>
      <w:strike w:val="0"/>
      <w:color w:val="000000"/>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2880" w:right="0" w:hanging="720"/>
      <w:jc w:val="left"/>
    </w:pPr>
    <w:rPr>
      <w:rFonts w:ascii="Arial" w:cs="Arial" w:eastAsia="Arial" w:hAnsi="Arial"/>
      <w:b w:val="0"/>
      <w:i w:val="0"/>
      <w:smallCaps w:val="0"/>
      <w:strike w:val="0"/>
      <w:color w:val="000000"/>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3600" w:right="0" w:hanging="720"/>
      <w:jc w:val="left"/>
    </w:pPr>
    <w:rPr>
      <w:rFonts w:ascii="Arial" w:cs="Arial" w:eastAsia="Arial" w:hAnsi="Arial"/>
      <w:b w:val="0"/>
      <w:i w:val="0"/>
      <w:smallCaps w:val="0"/>
      <w:strike w:val="0"/>
      <w:color w:val="000000"/>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pPr>
    <w:rPr>
      <w:rFonts w:ascii="Cambria" w:cs="Cambria" w:eastAsia="Cambria" w:hAnsi="Cambria"/>
      <w:b w:val="0"/>
      <w:i w:val="0"/>
      <w:smallCaps w:val="0"/>
      <w:strike w:val="0"/>
      <w:color w:val="000000"/>
      <w:sz w:val="58"/>
      <w:szCs w:val="58"/>
      <w:u w:val="none"/>
      <w:shd w:fill="auto" w:val="clear"/>
      <w:vertAlign w:val="baseline"/>
    </w:rPr>
  </w:style>
  <w:style w:type="paragraph" w:styleId="Heading7">
    <w:name w:val="heading 7"/>
    <w:basedOn w:val="HouseStyleBase"/>
    <w:link w:val="Heading7Char"/>
    <w:qFormat w:val="1"/>
    <w:rsid w:val="00E574FD"/>
    <w:pPr>
      <w:numPr>
        <w:ilvl w:val="6"/>
        <w:numId w:val="14"/>
      </w:numPr>
      <w:outlineLvl w:val="6"/>
    </w:pPr>
  </w:style>
  <w:style w:type="paragraph" w:styleId="Heading8">
    <w:name w:val="heading 8"/>
    <w:basedOn w:val="Normal"/>
    <w:next w:val="Normal"/>
    <w:link w:val="Heading8Char"/>
    <w:unhideWhenUsed w:val="1"/>
    <w:qFormat w:val="1"/>
    <w:rsid w:val="00687316"/>
    <w:pPr>
      <w:keepNext w:val="1"/>
      <w:keepLines w:val="1"/>
      <w:spacing w:after="0" w:before="40"/>
      <w:outlineLvl w:val="7"/>
    </w:pPr>
    <w:rPr>
      <w:rFonts w:asciiTheme="majorHAnsi" w:cstheme="majorBidi" w:eastAsiaTheme="majorEastAsia" w:hAnsiTheme="majorHAnsi"/>
      <w:color w:val="272727" w:themeColor="text1" w:themeTint="0000D8"/>
      <w:sz w:val="21"/>
      <w:szCs w:val="21"/>
    </w:rPr>
  </w:style>
  <w:style w:type="paragraph" w:styleId="Heading9">
    <w:name w:val="heading 9"/>
    <w:basedOn w:val="Normal"/>
    <w:next w:val="Normal"/>
    <w:link w:val="Heading9Char"/>
    <w:unhideWhenUsed w:val="1"/>
    <w:qFormat w:val="1"/>
    <w:rsid w:val="00687316"/>
    <w:pPr>
      <w:keepNext w:val="1"/>
      <w:keepLines w:val="1"/>
      <w:spacing w:after="0" w:before="40"/>
      <w:outlineLvl w:val="8"/>
    </w:pPr>
    <w:rPr>
      <w:rFonts w:asciiTheme="majorHAnsi" w:cstheme="majorBidi" w:eastAsiaTheme="majorEastAsia" w:hAnsiTheme="majorHAnsi"/>
      <w:i w:val="1"/>
      <w:iCs w:val="1"/>
      <w:color w:val="272727" w:themeColor="text1" w:themeTint="0000D8"/>
      <w:sz w:val="21"/>
      <w:szCs w:val="2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AppHead" w:customStyle="1">
    <w:name w:val="AppHead"/>
    <w:basedOn w:val="HouseStyleBase"/>
    <w:next w:val="AppPart"/>
    <w:qFormat w:val="1"/>
    <w:rsid w:val="00E54038"/>
    <w:pPr>
      <w:keepNext w:val="1"/>
      <w:pageBreakBefore w:val="1"/>
      <w:numPr>
        <w:numId w:val="1"/>
      </w:numPr>
      <w:outlineLvl w:val="0"/>
    </w:pPr>
    <w:rPr>
      <w:sz w:val="28"/>
    </w:rPr>
  </w:style>
  <w:style w:type="paragraph" w:styleId="AppPart" w:customStyle="1">
    <w:name w:val="AppPart"/>
    <w:basedOn w:val="HouseStyleBase"/>
    <w:next w:val="MarginText"/>
    <w:qFormat w:val="1"/>
    <w:rsid w:val="00E574FD"/>
    <w:pPr>
      <w:keepNext w:val="1"/>
      <w:numPr>
        <w:ilvl w:val="1"/>
        <w:numId w:val="1"/>
      </w:numPr>
      <w:outlineLvl w:val="1"/>
    </w:pPr>
    <w:rPr>
      <w:sz w:val="24"/>
    </w:rPr>
  </w:style>
  <w:style w:type="paragraph" w:styleId="BodyTextIndent">
    <w:name w:val="Body Text Indent"/>
    <w:basedOn w:val="HouseStyleBase"/>
    <w:link w:val="BodyTextIndentChar"/>
    <w:uiPriority w:val="99"/>
    <w:qFormat w:val="1"/>
    <w:rsid w:val="00E574FD"/>
    <w:pPr>
      <w:numPr>
        <w:numId w:val="2"/>
      </w:numPr>
    </w:pPr>
  </w:style>
  <w:style w:type="character" w:styleId="BodyTextIndentChar" w:customStyle="1">
    <w:name w:val="Body Text Indent Char"/>
    <w:link w:val="BodyTextIndent"/>
    <w:uiPriority w:val="99"/>
    <w:rsid w:val="00E574FD"/>
    <w:rPr>
      <w:rFonts w:cs="Times New Roman" w:eastAsia="STZhongsong"/>
      <w:sz w:val="20"/>
      <w:szCs w:val="20"/>
      <w:lang w:eastAsia="zh-CN" w:val="en-GB"/>
    </w:rPr>
  </w:style>
  <w:style w:type="paragraph" w:styleId="BodyTextIndent2">
    <w:name w:val="Body Text Indent 2"/>
    <w:basedOn w:val="HouseStyleBase"/>
    <w:link w:val="BodyTextIndent2Char"/>
    <w:uiPriority w:val="99"/>
    <w:qFormat w:val="1"/>
    <w:rsid w:val="00E574FD"/>
    <w:pPr>
      <w:numPr>
        <w:ilvl w:val="1"/>
        <w:numId w:val="2"/>
      </w:numPr>
    </w:pPr>
  </w:style>
  <w:style w:type="character" w:styleId="BodyTextIndent2Char" w:customStyle="1">
    <w:name w:val="Body Text Indent 2 Char"/>
    <w:basedOn w:val="DefaultParagraphFont"/>
    <w:link w:val="BodyTextIndent2"/>
    <w:uiPriority w:val="99"/>
    <w:rsid w:val="00CD5057"/>
    <w:rPr>
      <w:rFonts w:cs="Times New Roman" w:eastAsia="STZhongsong"/>
      <w:sz w:val="20"/>
      <w:szCs w:val="20"/>
      <w:lang w:eastAsia="zh-CN" w:val="en-GB"/>
    </w:rPr>
  </w:style>
  <w:style w:type="paragraph" w:styleId="BodyTextIndent3">
    <w:name w:val="Body Text Indent 3"/>
    <w:basedOn w:val="HouseStyleBase"/>
    <w:link w:val="BodyTextIndent3Char"/>
    <w:qFormat w:val="1"/>
    <w:rsid w:val="00E574FD"/>
    <w:pPr>
      <w:ind w:left="1440"/>
    </w:pPr>
  </w:style>
  <w:style w:type="character" w:styleId="BodyTextIndent3Char" w:customStyle="1">
    <w:name w:val="Body Text Indent 3 Char"/>
    <w:basedOn w:val="DefaultParagraphFont"/>
    <w:link w:val="BodyTextIndent3"/>
    <w:rsid w:val="00CD5057"/>
    <w:rPr>
      <w:rFonts w:ascii="Arial" w:cs="Times New Roman" w:eastAsia="STZhongsong" w:hAnsi="Arial"/>
      <w:sz w:val="20"/>
      <w:szCs w:val="20"/>
      <w:lang w:eastAsia="zh-CN" w:val="en-GB"/>
    </w:rPr>
  </w:style>
  <w:style w:type="paragraph" w:styleId="BodyTextIndent4" w:customStyle="1">
    <w:name w:val="Body Text Indent 4"/>
    <w:basedOn w:val="HouseStyleBase"/>
    <w:qFormat w:val="1"/>
    <w:rsid w:val="00E574FD"/>
    <w:pPr>
      <w:ind w:left="2160"/>
    </w:pPr>
  </w:style>
  <w:style w:type="paragraph" w:styleId="BodyTextIndent5" w:customStyle="1">
    <w:name w:val="Body Text Indent 5"/>
    <w:basedOn w:val="HouseStyleBase"/>
    <w:qFormat w:val="1"/>
    <w:rsid w:val="00E574FD"/>
    <w:pPr>
      <w:ind w:left="2880"/>
    </w:pPr>
  </w:style>
  <w:style w:type="paragraph" w:styleId="BodyTextIndent6" w:customStyle="1">
    <w:name w:val="Body Text Indent 6"/>
    <w:basedOn w:val="HouseStyleBase"/>
    <w:link w:val="BodyTextIndent6Char"/>
    <w:qFormat w:val="1"/>
    <w:rsid w:val="00E574FD"/>
    <w:pPr>
      <w:ind w:left="3600"/>
    </w:pPr>
  </w:style>
  <w:style w:type="paragraph" w:styleId="BodyTextIndent7" w:customStyle="1">
    <w:name w:val="Body Text Indent 7"/>
    <w:basedOn w:val="HouseStyleBase"/>
    <w:qFormat w:val="1"/>
    <w:rsid w:val="00E574FD"/>
    <w:pPr>
      <w:ind w:left="4320"/>
    </w:pPr>
  </w:style>
  <w:style w:type="paragraph" w:styleId="DefinitionNumbering1" w:customStyle="1">
    <w:name w:val="Definition Numbering 1"/>
    <w:basedOn w:val="HouseStyleBase"/>
    <w:qFormat w:val="1"/>
    <w:rsid w:val="00E574FD"/>
    <w:pPr>
      <w:numPr>
        <w:ilvl w:val="2"/>
        <w:numId w:val="2"/>
      </w:numPr>
      <w:outlineLvl w:val="0"/>
    </w:pPr>
  </w:style>
  <w:style w:type="paragraph" w:styleId="DefinitionNumbering2" w:customStyle="1">
    <w:name w:val="Definition Numbering 2"/>
    <w:basedOn w:val="HouseStyleBase"/>
    <w:qFormat w:val="1"/>
    <w:rsid w:val="00E574FD"/>
    <w:pPr>
      <w:numPr>
        <w:ilvl w:val="3"/>
        <w:numId w:val="2"/>
      </w:numPr>
      <w:outlineLvl w:val="1"/>
    </w:pPr>
  </w:style>
  <w:style w:type="paragraph" w:styleId="DefinitionNumbering3" w:customStyle="1">
    <w:name w:val="Definition Numbering 3"/>
    <w:basedOn w:val="HouseStyleBase"/>
    <w:qFormat w:val="1"/>
    <w:rsid w:val="00E574FD"/>
    <w:pPr>
      <w:numPr>
        <w:ilvl w:val="4"/>
        <w:numId w:val="2"/>
      </w:numPr>
      <w:outlineLvl w:val="2"/>
    </w:pPr>
  </w:style>
  <w:style w:type="character" w:styleId="EndnoteReference">
    <w:name w:val="endnote reference"/>
    <w:semiHidden w:val="1"/>
    <w:rsid w:val="00E574FD"/>
    <w:rPr>
      <w:rFonts w:ascii="Arial" w:cs="Times New Roman" w:eastAsia="STZhongsong" w:hAnsi="Arial"/>
      <w:b w:val="0"/>
      <w:bCs w:val="0"/>
      <w:i w:val="0"/>
      <w:iCs w:val="0"/>
      <w:caps w:val="0"/>
      <w:smallCaps w:val="0"/>
      <w:strike w:val="0"/>
      <w:dstrike w:val="0"/>
      <w:snapToGrid w:val="0"/>
      <w:vanish w:val="0"/>
      <w:color w:val="auto"/>
      <w:w w:val="100"/>
      <w:kern w:val="0"/>
      <w:sz w:val="20"/>
      <w:szCs w:val="20"/>
      <w:u w:val="none"/>
      <w:effect w:val="none"/>
      <w:vertAlign w:val="superscript"/>
      <w:em w:val="none"/>
      <w:lang w:val="en-GB"/>
      <w14:shadow w14:algn="none">
        <w14:srgbClr w14:val="000000"/>
      </w14:shadow>
      <w14:textOutline w14:cap="rnd" w14:cmpd="sng" w14:algn="ctr">
        <w14:noFill/>
        <w14:prstDash w14:val="solid"/>
        <w14:bevel/>
      </w14:textOutline>
    </w:rPr>
  </w:style>
  <w:style w:type="paragraph" w:styleId="EndnoteText">
    <w:name w:val="endnote text"/>
    <w:basedOn w:val="HouseStyleBase"/>
    <w:link w:val="EndnoteTextChar"/>
    <w:semiHidden w:val="1"/>
    <w:rsid w:val="00E574FD"/>
    <w:pPr>
      <w:ind w:left="720" w:hanging="720"/>
    </w:pPr>
    <w:rPr>
      <w:sz w:val="16"/>
    </w:rPr>
  </w:style>
  <w:style w:type="character" w:styleId="EndnoteTextChar" w:customStyle="1">
    <w:name w:val="Endnote Text Char"/>
    <w:basedOn w:val="DefaultParagraphFont"/>
    <w:link w:val="EndnoteText"/>
    <w:semiHidden w:val="1"/>
    <w:rsid w:val="00CD5057"/>
    <w:rPr>
      <w:rFonts w:ascii="Arial" w:cs="Times New Roman" w:eastAsia="STZhongsong" w:hAnsi="Arial"/>
      <w:sz w:val="16"/>
      <w:szCs w:val="20"/>
      <w:lang w:eastAsia="zh-CN" w:val="en-GB"/>
    </w:rPr>
  </w:style>
  <w:style w:type="paragraph" w:styleId="Footer">
    <w:name w:val="footer"/>
    <w:basedOn w:val="Normal"/>
    <w:link w:val="FooterChar"/>
    <w:uiPriority w:val="99"/>
    <w:rsid w:val="00E574FD"/>
    <w:pPr>
      <w:tabs>
        <w:tab w:val="center" w:pos="4153"/>
        <w:tab w:val="right" w:pos="8306"/>
      </w:tabs>
      <w:overflowPunct w:val="0"/>
      <w:autoSpaceDE w:val="0"/>
      <w:autoSpaceDN w:val="0"/>
      <w:adjustRightInd w:val="0"/>
      <w:spacing w:after="0"/>
      <w:jc w:val="both"/>
      <w:textAlignment w:val="baseline"/>
    </w:pPr>
    <w:rPr>
      <w:rFonts w:cs="Times New Roman" w:eastAsia="Times New Roman"/>
      <w:sz w:val="16"/>
      <w:szCs w:val="20"/>
    </w:rPr>
  </w:style>
  <w:style w:type="character" w:styleId="FooterChar" w:customStyle="1">
    <w:name w:val="Footer Char"/>
    <w:basedOn w:val="DefaultParagraphFont"/>
    <w:link w:val="Footer"/>
    <w:uiPriority w:val="99"/>
    <w:rsid w:val="004A6B13"/>
    <w:rPr>
      <w:rFonts w:ascii="Arial" w:cs="Times New Roman" w:eastAsia="Times New Roman" w:hAnsi="Arial"/>
      <w:sz w:val="16"/>
      <w:szCs w:val="20"/>
      <w:lang w:val="en-GB"/>
    </w:rPr>
  </w:style>
  <w:style w:type="character" w:styleId="FootnoteReference">
    <w:name w:val="footnote reference"/>
    <w:semiHidden w:val="1"/>
    <w:rsid w:val="00E574FD"/>
    <w:rPr>
      <w:rFonts w:ascii="Arial" w:cs="Times New Roman" w:eastAsia="STZhongsong" w:hAnsi="Arial"/>
      <w:b w:val="0"/>
      <w:bCs w:val="0"/>
      <w:i w:val="0"/>
      <w:iCs w:val="0"/>
      <w:caps w:val="0"/>
      <w:smallCaps w:val="0"/>
      <w:strike w:val="0"/>
      <w:dstrike w:val="0"/>
      <w:snapToGrid w:val="0"/>
      <w:vanish w:val="0"/>
      <w:color w:val="auto"/>
      <w:w w:val="100"/>
      <w:kern w:val="0"/>
      <w:sz w:val="20"/>
      <w:szCs w:val="20"/>
      <w:u w:val="none"/>
      <w:effect w:val="none"/>
      <w:vertAlign w:val="superscript"/>
      <w:em w:val="none"/>
      <w:lang w:val="en-GB"/>
      <w14:shadow w14:algn="none">
        <w14:srgbClr w14:val="000000"/>
      </w14:shadow>
      <w14:textOutline w14:cap="rnd" w14:cmpd="sng" w14:algn="ctr">
        <w14:noFill/>
        <w14:prstDash w14:val="solid"/>
        <w14:bevel/>
      </w14:textOutline>
    </w:rPr>
  </w:style>
  <w:style w:type="paragraph" w:styleId="FootnoteText">
    <w:name w:val="footnote text"/>
    <w:basedOn w:val="HouseStyleBase"/>
    <w:link w:val="FootnoteTextChar"/>
    <w:semiHidden w:val="1"/>
    <w:rsid w:val="00E574FD"/>
    <w:pPr>
      <w:spacing w:after="60"/>
      <w:ind w:left="720" w:hanging="720"/>
    </w:pPr>
    <w:rPr>
      <w:sz w:val="14"/>
    </w:rPr>
  </w:style>
  <w:style w:type="character" w:styleId="FootnoteTextChar" w:customStyle="1">
    <w:name w:val="Footnote Text Char"/>
    <w:basedOn w:val="DefaultParagraphFont"/>
    <w:link w:val="FootnoteText"/>
    <w:semiHidden w:val="1"/>
    <w:rsid w:val="00CD5057"/>
    <w:rPr>
      <w:rFonts w:ascii="Arial" w:cs="Times New Roman" w:eastAsia="STZhongsong" w:hAnsi="Arial"/>
      <w:sz w:val="14"/>
      <w:szCs w:val="20"/>
      <w:lang w:eastAsia="zh-CN" w:val="en-GB"/>
    </w:rPr>
  </w:style>
  <w:style w:type="paragraph" w:styleId="Heading" w:customStyle="1">
    <w:name w:val="Heading"/>
    <w:basedOn w:val="HouseStyleBaseCentred"/>
    <w:next w:val="MarginText"/>
    <w:qFormat w:val="1"/>
    <w:rsid w:val="00E574FD"/>
    <w:pPr>
      <w:keepNext w:val="1"/>
      <w:spacing w:after="360" w:before="360"/>
    </w:pPr>
    <w:rPr>
      <w:rFonts w:ascii="Cambria" w:hAnsi="Cambria"/>
      <w:sz w:val="44"/>
    </w:rPr>
  </w:style>
  <w:style w:type="character" w:styleId="Heading1Char" w:customStyle="1">
    <w:name w:val="Heading 1 Char"/>
    <w:basedOn w:val="DefaultParagraphFont"/>
    <w:link w:val="Heading1"/>
    <w:rsid w:val="00CD5057"/>
    <w:rPr>
      <w:rFonts w:cs="Times New Roman" w:eastAsia="STZhongsong"/>
      <w:b w:val="1"/>
      <w:szCs w:val="20"/>
      <w:lang w:eastAsia="zh-CN" w:val="en-GB"/>
    </w:rPr>
  </w:style>
  <w:style w:type="character" w:styleId="Heading2Char" w:customStyle="1">
    <w:name w:val="Heading 2 Char"/>
    <w:basedOn w:val="DefaultParagraphFont"/>
    <w:link w:val="Heading2"/>
    <w:rsid w:val="00CD5057"/>
    <w:rPr>
      <w:rFonts w:cs="Times New Roman" w:eastAsia="STZhongsong"/>
      <w:sz w:val="20"/>
      <w:szCs w:val="20"/>
      <w:lang w:eastAsia="zh-CN" w:val="en-GB"/>
    </w:rPr>
  </w:style>
  <w:style w:type="character" w:styleId="Heading3Char" w:customStyle="1">
    <w:name w:val="Heading 3 Char"/>
    <w:basedOn w:val="DefaultParagraphFont"/>
    <w:link w:val="Heading3"/>
    <w:rsid w:val="00CD5057"/>
    <w:rPr>
      <w:rFonts w:cs="Times New Roman" w:eastAsia="STZhongsong"/>
      <w:sz w:val="20"/>
      <w:szCs w:val="20"/>
      <w:lang w:eastAsia="zh-CN" w:val="en-GB"/>
    </w:rPr>
  </w:style>
  <w:style w:type="character" w:styleId="Heading4Char" w:customStyle="1">
    <w:name w:val="Heading 4 Char"/>
    <w:basedOn w:val="DefaultParagraphFont"/>
    <w:link w:val="Heading4"/>
    <w:rsid w:val="00CD5057"/>
    <w:rPr>
      <w:rFonts w:cs="Times New Roman" w:eastAsia="STZhongsong"/>
      <w:sz w:val="20"/>
      <w:szCs w:val="20"/>
      <w:lang w:eastAsia="zh-CN" w:val="en-GB"/>
    </w:rPr>
  </w:style>
  <w:style w:type="character" w:styleId="Heading5Char" w:customStyle="1">
    <w:name w:val="Heading 5 Char"/>
    <w:basedOn w:val="DefaultParagraphFont"/>
    <w:link w:val="Heading5"/>
    <w:rsid w:val="00CD5057"/>
    <w:rPr>
      <w:rFonts w:cs="Times New Roman" w:eastAsia="STZhongsong"/>
      <w:sz w:val="20"/>
      <w:szCs w:val="20"/>
      <w:lang w:eastAsia="zh-CN" w:val="en-GB"/>
    </w:rPr>
  </w:style>
  <w:style w:type="character" w:styleId="Heading6Char" w:customStyle="1">
    <w:name w:val="Heading 6 Char"/>
    <w:basedOn w:val="DefaultParagraphFont"/>
    <w:link w:val="Heading6"/>
    <w:rsid w:val="00CD5057"/>
    <w:rPr>
      <w:rFonts w:cs="Times New Roman" w:eastAsia="STZhongsong"/>
      <w:sz w:val="20"/>
      <w:szCs w:val="20"/>
      <w:lang w:eastAsia="zh-CN" w:val="en-GB"/>
    </w:rPr>
  </w:style>
  <w:style w:type="character" w:styleId="Heading7Char" w:customStyle="1">
    <w:name w:val="Heading 7 Char"/>
    <w:basedOn w:val="DefaultParagraphFont"/>
    <w:link w:val="Heading7"/>
    <w:rsid w:val="00CD5057"/>
    <w:rPr>
      <w:rFonts w:cs="Times New Roman" w:eastAsia="STZhongsong"/>
      <w:sz w:val="20"/>
      <w:szCs w:val="20"/>
      <w:lang w:eastAsia="zh-CN" w:val="en-GB"/>
    </w:rPr>
  </w:style>
  <w:style w:type="paragraph" w:styleId="HouseStyleBase" w:customStyle="1">
    <w:name w:val="House Style Base"/>
    <w:link w:val="HouseStyleBaseChar"/>
    <w:rsid w:val="00CD5057"/>
    <w:pPr>
      <w:adjustRightInd w:val="0"/>
      <w:spacing w:after="240" w:line="240" w:lineRule="auto"/>
    </w:pPr>
    <w:rPr>
      <w:rFonts w:cs="Times New Roman" w:eastAsia="STZhongsong"/>
      <w:sz w:val="20"/>
      <w:szCs w:val="20"/>
      <w:lang w:eastAsia="zh-CN" w:val="en-GB"/>
    </w:rPr>
  </w:style>
  <w:style w:type="character" w:styleId="HouseStyleBaseChar" w:customStyle="1">
    <w:name w:val="House Style Base Char"/>
    <w:link w:val="HouseStyleBase"/>
    <w:rsid w:val="00CD5057"/>
    <w:rPr>
      <w:rFonts w:ascii="Arial" w:cs="Times New Roman" w:eastAsia="STZhongsong" w:hAnsi="Arial"/>
      <w:sz w:val="20"/>
      <w:szCs w:val="20"/>
      <w:lang w:eastAsia="zh-CN" w:val="en-GB"/>
    </w:rPr>
  </w:style>
  <w:style w:type="paragraph" w:styleId="HouseStyleBaseCentred" w:customStyle="1">
    <w:name w:val="House Style Base Centred"/>
    <w:rsid w:val="00CD5057"/>
    <w:pPr>
      <w:adjustRightInd w:val="0"/>
      <w:spacing w:after="240" w:line="240" w:lineRule="auto"/>
    </w:pPr>
    <w:rPr>
      <w:rFonts w:cs="Times New Roman" w:eastAsia="STZhongsong"/>
      <w:sz w:val="20"/>
      <w:szCs w:val="20"/>
      <w:lang w:eastAsia="zh-CN" w:val="en-GB"/>
    </w:rPr>
  </w:style>
  <w:style w:type="paragraph" w:styleId="ListBullet1" w:customStyle="1">
    <w:name w:val="List Bullet 1"/>
    <w:basedOn w:val="HouseStyleBase"/>
    <w:rsid w:val="006E20CA"/>
    <w:pPr>
      <w:numPr>
        <w:numId w:val="3"/>
      </w:numPr>
      <w:tabs>
        <w:tab w:val="clear" w:pos="720"/>
        <w:tab w:val="left" w:pos="288"/>
      </w:tabs>
      <w:spacing w:after="120" w:before="120"/>
      <w:ind w:left="288" w:hanging="288"/>
    </w:pPr>
  </w:style>
  <w:style w:type="paragraph" w:styleId="ListBullet2">
    <w:name w:val="List Bullet 2"/>
    <w:basedOn w:val="HouseStyleBase"/>
    <w:rsid w:val="00E574FD"/>
    <w:pPr>
      <w:numPr>
        <w:ilvl w:val="1"/>
        <w:numId w:val="3"/>
      </w:numPr>
    </w:pPr>
  </w:style>
  <w:style w:type="paragraph" w:styleId="ListBullet3">
    <w:name w:val="List Bullet 3"/>
    <w:basedOn w:val="HouseStyleBase"/>
    <w:rsid w:val="00E574FD"/>
    <w:pPr>
      <w:numPr>
        <w:ilvl w:val="2"/>
        <w:numId w:val="3"/>
      </w:numPr>
    </w:pPr>
  </w:style>
  <w:style w:type="paragraph" w:styleId="ListBullet4">
    <w:name w:val="List Bullet 4"/>
    <w:basedOn w:val="HouseStyleBase"/>
    <w:rsid w:val="00E574FD"/>
    <w:pPr>
      <w:numPr>
        <w:ilvl w:val="3"/>
        <w:numId w:val="3"/>
      </w:numPr>
      <w:ind w:hanging="1080"/>
    </w:pPr>
  </w:style>
  <w:style w:type="paragraph" w:styleId="ListBullet5">
    <w:name w:val="List Bullet 5"/>
    <w:basedOn w:val="HouseStyleBase"/>
    <w:rsid w:val="00E574FD"/>
    <w:pPr>
      <w:numPr>
        <w:ilvl w:val="4"/>
        <w:numId w:val="3"/>
      </w:numPr>
    </w:pPr>
  </w:style>
  <w:style w:type="paragraph" w:styleId="ListBullet6" w:customStyle="1">
    <w:name w:val="List Bullet 6"/>
    <w:basedOn w:val="HouseStyleBase"/>
    <w:rsid w:val="00E574FD"/>
    <w:pPr>
      <w:numPr>
        <w:ilvl w:val="5"/>
        <w:numId w:val="3"/>
      </w:numPr>
    </w:pPr>
  </w:style>
  <w:style w:type="paragraph" w:styleId="ListBullet7" w:customStyle="1">
    <w:name w:val="List Bullet 7"/>
    <w:basedOn w:val="HouseStyleBase"/>
    <w:rsid w:val="00E574FD"/>
    <w:pPr>
      <w:numPr>
        <w:ilvl w:val="6"/>
        <w:numId w:val="3"/>
      </w:numPr>
    </w:pPr>
  </w:style>
  <w:style w:type="paragraph" w:styleId="MarginText" w:customStyle="1">
    <w:name w:val="Margin Text"/>
    <w:basedOn w:val="HouseStyleBase"/>
    <w:link w:val="MarginTextChar"/>
    <w:qFormat w:val="1"/>
    <w:rsid w:val="00E574FD"/>
  </w:style>
  <w:style w:type="character" w:styleId="MarginTextChar" w:customStyle="1">
    <w:name w:val="Margin Text Char"/>
    <w:basedOn w:val="HouseStyleBaseChar"/>
    <w:link w:val="MarginText"/>
    <w:rsid w:val="00E574FD"/>
    <w:rPr>
      <w:rFonts w:ascii="Arial" w:cs="Times New Roman" w:eastAsia="STZhongsong" w:hAnsi="Arial"/>
      <w:sz w:val="20"/>
      <w:szCs w:val="20"/>
      <w:lang w:eastAsia="zh-CN" w:val="en-GB"/>
    </w:rPr>
  </w:style>
  <w:style w:type="character" w:styleId="PageNumber">
    <w:name w:val="page number"/>
    <w:basedOn w:val="DefaultParagraphFont"/>
    <w:rsid w:val="00E574FD"/>
    <w:rPr>
      <w:rFonts w:ascii="Arial" w:hAnsi="Arial"/>
      <w:sz w:val="16"/>
      <w:lang w:val="en-GB"/>
    </w:rPr>
  </w:style>
  <w:style w:type="paragraph" w:styleId="RecitalNumbering2" w:customStyle="1">
    <w:name w:val="Recital Numbering 2"/>
    <w:basedOn w:val="HouseStyleBase"/>
    <w:qFormat w:val="1"/>
    <w:rsid w:val="00E574FD"/>
    <w:pPr>
      <w:numPr>
        <w:ilvl w:val="1"/>
        <w:numId w:val="4"/>
      </w:numPr>
      <w:outlineLvl w:val="1"/>
    </w:pPr>
  </w:style>
  <w:style w:type="paragraph" w:styleId="RecitalNumbering3" w:customStyle="1">
    <w:name w:val="Recital Numbering 3"/>
    <w:basedOn w:val="HouseStyleBase"/>
    <w:qFormat w:val="1"/>
    <w:rsid w:val="00E574FD"/>
    <w:pPr>
      <w:numPr>
        <w:ilvl w:val="2"/>
        <w:numId w:val="4"/>
      </w:numPr>
      <w:outlineLvl w:val="2"/>
    </w:pPr>
  </w:style>
  <w:style w:type="paragraph" w:styleId="ScheduleL1" w:customStyle="1">
    <w:name w:val="Schedule L1"/>
    <w:basedOn w:val="HouseStyleBase"/>
    <w:next w:val="ScheduleL2A"/>
    <w:qFormat w:val="1"/>
    <w:rsid w:val="00F12531"/>
    <w:pPr>
      <w:keepNext w:val="1"/>
      <w:numPr>
        <w:numId w:val="29"/>
      </w:numPr>
      <w:spacing w:before="360"/>
      <w:outlineLvl w:val="0"/>
    </w:pPr>
    <w:rPr>
      <w:b w:val="1"/>
      <w:sz w:val="24"/>
    </w:rPr>
  </w:style>
  <w:style w:type="paragraph" w:styleId="ScheduleL2" w:customStyle="1">
    <w:name w:val="Schedule L2"/>
    <w:basedOn w:val="HouseStyleBase"/>
    <w:qFormat w:val="1"/>
    <w:rsid w:val="00E574FD"/>
    <w:pPr>
      <w:numPr>
        <w:ilvl w:val="1"/>
        <w:numId w:val="29"/>
      </w:numPr>
      <w:outlineLvl w:val="1"/>
    </w:pPr>
  </w:style>
  <w:style w:type="paragraph" w:styleId="ScheduleL3" w:customStyle="1">
    <w:name w:val="Schedule L3"/>
    <w:basedOn w:val="HouseStyleBase"/>
    <w:qFormat w:val="1"/>
    <w:rsid w:val="00E574FD"/>
    <w:pPr>
      <w:numPr>
        <w:ilvl w:val="2"/>
        <w:numId w:val="29"/>
      </w:numPr>
      <w:outlineLvl w:val="2"/>
    </w:pPr>
  </w:style>
  <w:style w:type="paragraph" w:styleId="ScheduleL4" w:customStyle="1">
    <w:name w:val="Schedule L4"/>
    <w:basedOn w:val="HouseStyleBase"/>
    <w:qFormat w:val="1"/>
    <w:rsid w:val="00E574FD"/>
    <w:pPr>
      <w:numPr>
        <w:ilvl w:val="3"/>
        <w:numId w:val="29"/>
      </w:numPr>
      <w:outlineLvl w:val="3"/>
    </w:pPr>
  </w:style>
  <w:style w:type="paragraph" w:styleId="ScheduleL5" w:customStyle="1">
    <w:name w:val="Schedule L5"/>
    <w:basedOn w:val="HouseStyleBase"/>
    <w:qFormat w:val="1"/>
    <w:rsid w:val="00E574FD"/>
    <w:pPr>
      <w:numPr>
        <w:ilvl w:val="4"/>
        <w:numId w:val="29"/>
      </w:numPr>
      <w:outlineLvl w:val="4"/>
    </w:pPr>
  </w:style>
  <w:style w:type="paragraph" w:styleId="ScheduleL6" w:customStyle="1">
    <w:name w:val="Schedule L6"/>
    <w:basedOn w:val="HouseStyleBase"/>
    <w:qFormat w:val="1"/>
    <w:rsid w:val="00E574FD"/>
    <w:pPr>
      <w:numPr>
        <w:ilvl w:val="5"/>
        <w:numId w:val="29"/>
      </w:numPr>
      <w:outlineLvl w:val="5"/>
    </w:pPr>
  </w:style>
  <w:style w:type="paragraph" w:styleId="ScheduleL7" w:customStyle="1">
    <w:name w:val="Schedule L7"/>
    <w:basedOn w:val="HouseStyleBase"/>
    <w:qFormat w:val="1"/>
    <w:rsid w:val="00E574FD"/>
    <w:pPr>
      <w:numPr>
        <w:ilvl w:val="6"/>
        <w:numId w:val="29"/>
      </w:numPr>
      <w:outlineLvl w:val="6"/>
    </w:pPr>
  </w:style>
  <w:style w:type="paragraph" w:styleId="SchHead" w:customStyle="1">
    <w:name w:val="SchHead"/>
    <w:basedOn w:val="HouseStyleBase"/>
    <w:next w:val="SchPart"/>
    <w:qFormat w:val="1"/>
    <w:rsid w:val="00E574FD"/>
    <w:pPr>
      <w:keepNext w:val="1"/>
      <w:pageBreakBefore w:val="1"/>
      <w:numPr>
        <w:numId w:val="6"/>
      </w:numPr>
      <w:outlineLvl w:val="0"/>
    </w:pPr>
    <w:rPr>
      <w:sz w:val="28"/>
    </w:rPr>
  </w:style>
  <w:style w:type="paragraph" w:styleId="SchPart" w:customStyle="1">
    <w:name w:val="SchPart"/>
    <w:basedOn w:val="HouseStyleBase"/>
    <w:next w:val="MarginText"/>
    <w:qFormat w:val="1"/>
    <w:rsid w:val="00E574FD"/>
    <w:pPr>
      <w:keepNext w:val="1"/>
      <w:numPr>
        <w:ilvl w:val="1"/>
        <w:numId w:val="6"/>
      </w:numPr>
      <w:outlineLvl w:val="1"/>
    </w:pPr>
    <w:rPr>
      <w:sz w:val="24"/>
    </w:rPr>
  </w:style>
  <w:style w:type="paragraph" w:styleId="SchSection" w:customStyle="1">
    <w:name w:val="SchSection"/>
    <w:basedOn w:val="HouseStyleBase"/>
    <w:next w:val="MarginText"/>
    <w:qFormat w:val="1"/>
    <w:rsid w:val="00E574FD"/>
    <w:pPr>
      <w:keepNext w:val="1"/>
      <w:numPr>
        <w:ilvl w:val="2"/>
        <w:numId w:val="6"/>
      </w:numPr>
      <w:outlineLvl w:val="2"/>
    </w:pPr>
    <w:rPr>
      <w:b w:val="1"/>
    </w:rPr>
  </w:style>
  <w:style w:type="paragraph" w:styleId="Table-followingparagraph" w:customStyle="1">
    <w:name w:val="Table - following paragraph"/>
    <w:basedOn w:val="HouseStyleBase"/>
    <w:next w:val="MarginText"/>
    <w:qFormat w:val="1"/>
    <w:rsid w:val="00E574FD"/>
    <w:pPr>
      <w:spacing w:after="0"/>
    </w:pPr>
  </w:style>
  <w:style w:type="paragraph" w:styleId="Table-Text" w:customStyle="1">
    <w:name w:val="Table - Text"/>
    <w:basedOn w:val="HouseStyleBase"/>
    <w:qFormat w:val="1"/>
    <w:rsid w:val="00E574FD"/>
    <w:pPr>
      <w:spacing w:after="120" w:before="120"/>
    </w:pPr>
  </w:style>
  <w:style w:type="paragraph" w:styleId="TOC1">
    <w:name w:val="toc 1"/>
    <w:uiPriority w:val="39"/>
    <w:rsid w:val="00A862CC"/>
    <w:pPr>
      <w:tabs>
        <w:tab w:val="left" w:pos="288"/>
        <w:tab w:val="right" w:leader="dot" w:pos="9360"/>
      </w:tabs>
      <w:adjustRightInd w:val="0"/>
      <w:spacing w:after="120" w:line="240" w:lineRule="auto"/>
    </w:pPr>
    <w:rPr>
      <w:rFonts w:cs="Times New Roman" w:eastAsia="STZhongsong"/>
      <w:caps w:val="1"/>
      <w:sz w:val="20"/>
      <w:szCs w:val="20"/>
      <w:lang w:eastAsia="zh-CN" w:val="en-GB"/>
    </w:rPr>
  </w:style>
  <w:style w:type="paragraph" w:styleId="TOC2">
    <w:name w:val="toc 2"/>
    <w:rsid w:val="00E574FD"/>
    <w:pPr>
      <w:tabs>
        <w:tab w:val="left" w:pos="720"/>
        <w:tab w:val="right" w:leader="dot" w:pos="9029"/>
      </w:tabs>
      <w:adjustRightInd w:val="0"/>
      <w:spacing w:after="120" w:line="240" w:lineRule="auto"/>
      <w:ind w:left="720" w:hanging="720"/>
    </w:pPr>
    <w:rPr>
      <w:rFonts w:cs="Times New Roman" w:eastAsia="STZhongsong"/>
      <w:sz w:val="20"/>
      <w:szCs w:val="20"/>
      <w:lang w:eastAsia="zh-CN" w:val="en-GB"/>
    </w:rPr>
  </w:style>
  <w:style w:type="paragraph" w:styleId="TOC8">
    <w:name w:val="toc 8"/>
    <w:uiPriority w:val="39"/>
    <w:rsid w:val="00E574FD"/>
    <w:pPr>
      <w:tabs>
        <w:tab w:val="right" w:leader="dot" w:pos="9029"/>
      </w:tabs>
      <w:adjustRightInd w:val="0"/>
      <w:spacing w:after="120" w:line="240" w:lineRule="auto"/>
    </w:pPr>
    <w:rPr>
      <w:rFonts w:cs="Times New Roman" w:eastAsia="STZhongsong"/>
      <w:caps w:val="1"/>
      <w:sz w:val="20"/>
      <w:szCs w:val="20"/>
      <w:lang w:eastAsia="zh-CN" w:val="en-GB"/>
    </w:rPr>
  </w:style>
  <w:style w:type="paragraph" w:styleId="TOC9">
    <w:name w:val="toc 9"/>
    <w:uiPriority w:val="39"/>
    <w:rsid w:val="00E574FD"/>
    <w:pPr>
      <w:tabs>
        <w:tab w:val="right" w:leader="dot" w:pos="9029"/>
      </w:tabs>
      <w:adjustRightInd w:val="0"/>
      <w:spacing w:after="120" w:line="240" w:lineRule="auto"/>
    </w:pPr>
    <w:rPr>
      <w:rFonts w:cs="Times New Roman" w:eastAsia="STZhongsong"/>
      <w:sz w:val="20"/>
      <w:szCs w:val="20"/>
      <w:lang w:eastAsia="zh-CN" w:val="en-GB"/>
    </w:rPr>
  </w:style>
  <w:style w:type="character" w:styleId="BodyTextIndent6Char" w:customStyle="1">
    <w:name w:val="Body Text Indent 6 Char"/>
    <w:basedOn w:val="HouseStyleBaseChar"/>
    <w:link w:val="BodyTextIndent6"/>
    <w:rsid w:val="00CD5057"/>
    <w:rPr>
      <w:rFonts w:ascii="Arial" w:cs="Times New Roman" w:eastAsia="STZhongsong" w:hAnsi="Arial"/>
      <w:sz w:val="20"/>
      <w:szCs w:val="20"/>
      <w:lang w:eastAsia="zh-CN" w:val="en-GB"/>
    </w:rPr>
  </w:style>
  <w:style w:type="paragraph" w:styleId="Header">
    <w:name w:val="header"/>
    <w:basedOn w:val="Normal"/>
    <w:link w:val="HeaderChar"/>
    <w:uiPriority w:val="99"/>
    <w:unhideWhenUsed w:val="1"/>
    <w:rsid w:val="00B91EFC"/>
    <w:pPr>
      <w:tabs>
        <w:tab w:val="center" w:pos="4513"/>
        <w:tab w:val="right" w:pos="9026"/>
      </w:tabs>
      <w:spacing w:after="0"/>
    </w:pPr>
  </w:style>
  <w:style w:type="character" w:styleId="HeaderChar" w:customStyle="1">
    <w:name w:val="Header Char"/>
    <w:basedOn w:val="DefaultParagraphFont"/>
    <w:link w:val="Header"/>
    <w:uiPriority w:val="99"/>
    <w:rsid w:val="00B91EFC"/>
    <w:rPr>
      <w:rFonts w:ascii="Arial" w:hAnsi="Arial"/>
      <w:sz w:val="20"/>
      <w:lang w:val="en-GB"/>
    </w:rPr>
  </w:style>
  <w:style w:type="paragraph" w:styleId="Sectionheader-noTOC" w:customStyle="1">
    <w:name w:val="Section header - no TOC"/>
    <w:basedOn w:val="HouseStyleBase"/>
    <w:next w:val="MarginText"/>
    <w:qFormat w:val="1"/>
    <w:rsid w:val="00E574FD"/>
    <w:pPr>
      <w:keepNext w:val="1"/>
    </w:pPr>
    <w:rPr>
      <w:rFonts w:ascii="Cambria" w:hAnsi="Cambria"/>
      <w:sz w:val="44"/>
    </w:rPr>
  </w:style>
  <w:style w:type="table" w:styleId="TableGrid">
    <w:name w:val="Table Grid"/>
    <w:basedOn w:val="TableNormal"/>
    <w:rsid w:val="00B91EFC"/>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ingA" w:customStyle="1">
    <w:name w:val="Heading A"/>
    <w:basedOn w:val="HouseStyleBase"/>
    <w:next w:val="MarginText"/>
    <w:qFormat w:val="1"/>
    <w:rsid w:val="00E574FD"/>
    <w:pPr>
      <w:keepNext w:val="1"/>
      <w:spacing w:after="360" w:before="360"/>
    </w:pPr>
    <w:rPr>
      <w:rFonts w:ascii="Cambria" w:hAnsi="Cambria"/>
      <w:sz w:val="44"/>
    </w:rPr>
  </w:style>
  <w:style w:type="character" w:styleId="TitleChar" w:customStyle="1">
    <w:name w:val="Title Char"/>
    <w:basedOn w:val="DefaultParagraphFont"/>
    <w:link w:val="Title"/>
    <w:rsid w:val="00757DFA"/>
    <w:rPr>
      <w:rFonts w:ascii="Cambria" w:cs="Times New Roman" w:eastAsia="STZhongsong" w:hAnsi="Cambria"/>
      <w:kern w:val="28"/>
      <w:sz w:val="58"/>
      <w:szCs w:val="20"/>
      <w:lang w:eastAsia="zh-CN" w:val="en-GB"/>
    </w:rPr>
  </w:style>
  <w:style w:type="paragraph" w:styleId="TOC3">
    <w:name w:val="toc 3"/>
    <w:uiPriority w:val="39"/>
    <w:rsid w:val="00C671B1"/>
    <w:pPr>
      <w:tabs>
        <w:tab w:val="right" w:leader="dot" w:pos="9029"/>
      </w:tabs>
      <w:spacing w:after="120"/>
      <w:ind w:left="720"/>
    </w:pPr>
    <w:rPr>
      <w:rFonts w:cs="Times New Roman" w:eastAsia="STZhongsong"/>
      <w:sz w:val="20"/>
      <w:szCs w:val="20"/>
      <w:lang w:eastAsia="zh-CN" w:val="en-GB"/>
    </w:rPr>
  </w:style>
  <w:style w:type="paragraph" w:styleId="Disclaimer" w:customStyle="1">
    <w:name w:val="~Disclaimer"/>
    <w:basedOn w:val="Normal"/>
    <w:uiPriority w:val="19"/>
    <w:rsid w:val="007D349D"/>
    <w:pPr>
      <w:spacing w:after="0" w:before="60"/>
    </w:pPr>
    <w:rPr>
      <w:color w:val="7d7d7d"/>
      <w:sz w:val="14"/>
      <w:szCs w:val="20"/>
    </w:rPr>
  </w:style>
  <w:style w:type="paragraph" w:styleId="BalloonText">
    <w:name w:val="Balloon Text"/>
    <w:basedOn w:val="Normal"/>
    <w:link w:val="BalloonTextChar"/>
    <w:uiPriority w:val="99"/>
    <w:semiHidden w:val="1"/>
    <w:unhideWhenUsed w:val="1"/>
    <w:rsid w:val="005A7E51"/>
    <w:pPr>
      <w:spacing w:after="0"/>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5A7E51"/>
    <w:rPr>
      <w:rFonts w:ascii="Segoe UI" w:cs="Segoe UI" w:hAnsi="Segoe UI"/>
      <w:sz w:val="18"/>
      <w:szCs w:val="18"/>
      <w:lang w:val="en-GB"/>
    </w:rPr>
  </w:style>
  <w:style w:type="character" w:styleId="Hyperlink">
    <w:name w:val="Hyperlink"/>
    <w:basedOn w:val="DefaultParagraphFont"/>
    <w:uiPriority w:val="99"/>
    <w:unhideWhenUsed w:val="1"/>
    <w:rsid w:val="00E574FD"/>
    <w:rPr>
      <w:color w:val="0563c1" w:themeColor="hyperlink"/>
      <w:u w:val="single"/>
      <w:lang w:val="en-GB"/>
    </w:rPr>
  </w:style>
  <w:style w:type="character" w:styleId="SubtitleChar" w:customStyle="1">
    <w:name w:val="Subtitle Char"/>
    <w:basedOn w:val="DefaultParagraphFont"/>
    <w:link w:val="Subtitle"/>
    <w:rsid w:val="00653A55"/>
    <w:rPr>
      <w:rFonts w:ascii="Arial" w:hAnsi="Arial" w:eastAsiaTheme="minorEastAsia"/>
      <w:color w:val="7d7d7d"/>
      <w:sz w:val="32"/>
      <w:lang w:eastAsia="zh-CN" w:val="en-GB"/>
    </w:rPr>
  </w:style>
  <w:style w:type="paragraph" w:styleId="Heading2A" w:customStyle="1">
    <w:name w:val="Heading 2A"/>
    <w:basedOn w:val="HouseStyleBase"/>
    <w:next w:val="Heading2"/>
    <w:link w:val="Heading2AChar"/>
    <w:qFormat w:val="1"/>
    <w:rsid w:val="005B28AA"/>
    <w:pPr>
      <w:keepNext w:val="1"/>
      <w:ind w:left="720"/>
    </w:pPr>
    <w:rPr>
      <w:b w:val="1"/>
    </w:rPr>
  </w:style>
  <w:style w:type="paragraph" w:styleId="ScheduleL2A" w:customStyle="1">
    <w:name w:val="Schedule L2A"/>
    <w:basedOn w:val="HouseStyleBase"/>
    <w:next w:val="ScheduleL2"/>
    <w:qFormat w:val="1"/>
    <w:rsid w:val="00E574FD"/>
    <w:pPr>
      <w:keepNext w:val="1"/>
      <w:ind w:left="720"/>
    </w:pPr>
    <w:rPr>
      <w:b w:val="1"/>
    </w:rPr>
  </w:style>
  <w:style w:type="paragraph" w:styleId="SchGeneralL1" w:customStyle="1">
    <w:name w:val="SchGeneral L1"/>
    <w:basedOn w:val="HouseStyleBase"/>
    <w:qFormat w:val="1"/>
    <w:rsid w:val="00E574FD"/>
    <w:pPr>
      <w:numPr>
        <w:numId w:val="5"/>
      </w:numPr>
    </w:pPr>
  </w:style>
  <w:style w:type="paragraph" w:styleId="SchGeneralL2" w:customStyle="1">
    <w:name w:val="SchGeneral L2"/>
    <w:basedOn w:val="HouseStyleBase"/>
    <w:qFormat w:val="1"/>
    <w:rsid w:val="00E574FD"/>
    <w:pPr>
      <w:numPr>
        <w:ilvl w:val="1"/>
        <w:numId w:val="5"/>
      </w:numPr>
    </w:pPr>
  </w:style>
  <w:style w:type="paragraph" w:styleId="SchGeneralL3" w:customStyle="1">
    <w:name w:val="SchGeneral L3"/>
    <w:basedOn w:val="HouseStyleBase"/>
    <w:qFormat w:val="1"/>
    <w:rsid w:val="00E574FD"/>
    <w:pPr>
      <w:numPr>
        <w:ilvl w:val="2"/>
        <w:numId w:val="5"/>
      </w:numPr>
    </w:pPr>
  </w:style>
  <w:style w:type="paragraph" w:styleId="SchGeneralL4" w:customStyle="1">
    <w:name w:val="SchGeneral L4"/>
    <w:basedOn w:val="HouseStyleBase"/>
    <w:qFormat w:val="1"/>
    <w:rsid w:val="00E574FD"/>
    <w:pPr>
      <w:numPr>
        <w:ilvl w:val="3"/>
        <w:numId w:val="5"/>
      </w:numPr>
    </w:pPr>
  </w:style>
  <w:style w:type="paragraph" w:styleId="SchGeneralL5" w:customStyle="1">
    <w:name w:val="SchGeneral L5"/>
    <w:basedOn w:val="HouseStyleBase"/>
    <w:qFormat w:val="1"/>
    <w:rsid w:val="00E574FD"/>
    <w:pPr>
      <w:numPr>
        <w:ilvl w:val="4"/>
        <w:numId w:val="5"/>
      </w:numPr>
    </w:pPr>
  </w:style>
  <w:style w:type="paragraph" w:styleId="CommentText">
    <w:name w:val="annotation text"/>
    <w:basedOn w:val="Normal"/>
    <w:link w:val="CommentTextChar"/>
    <w:unhideWhenUsed w:val="1"/>
    <w:rsid w:val="008D08F3"/>
    <w:pPr>
      <w:overflowPunct w:val="0"/>
      <w:autoSpaceDE w:val="0"/>
      <w:autoSpaceDN w:val="0"/>
      <w:adjustRightInd w:val="0"/>
      <w:textAlignment w:val="baseline"/>
    </w:pPr>
    <w:rPr>
      <w:rFonts w:cs="Times New Roman" w:eastAsia="Times New Roman"/>
      <w:szCs w:val="20"/>
    </w:rPr>
  </w:style>
  <w:style w:type="character" w:styleId="CommentTextChar" w:customStyle="1">
    <w:name w:val="Comment Text Char"/>
    <w:basedOn w:val="DefaultParagraphFont"/>
    <w:link w:val="CommentText"/>
    <w:rsid w:val="008D08F3"/>
    <w:rPr>
      <w:rFonts w:ascii="Arial" w:cs="Times New Roman" w:eastAsia="Times New Roman" w:hAnsi="Arial"/>
      <w:sz w:val="20"/>
      <w:szCs w:val="20"/>
      <w:lang w:val="en-GB"/>
    </w:rPr>
  </w:style>
  <w:style w:type="paragraph" w:styleId="Executionclause" w:customStyle="1">
    <w:name w:val="Execution clause"/>
    <w:basedOn w:val="HouseStyleBase"/>
    <w:qFormat w:val="1"/>
    <w:rsid w:val="00E574FD"/>
    <w:pPr>
      <w:spacing w:after="0"/>
    </w:pPr>
    <w:rPr>
      <w:rFonts w:cs="Arial"/>
    </w:rPr>
  </w:style>
  <w:style w:type="paragraph" w:styleId="GeneralHeading2A" w:customStyle="1">
    <w:name w:val="General Heading 2A"/>
    <w:basedOn w:val="HouseStyleBase"/>
    <w:next w:val="Normal"/>
    <w:semiHidden w:val="1"/>
    <w:qFormat w:val="1"/>
    <w:rsid w:val="00E574FD"/>
    <w:pPr>
      <w:keepNext w:val="1"/>
    </w:pPr>
    <w:rPr>
      <w:b w:val="1"/>
    </w:rPr>
  </w:style>
  <w:style w:type="paragraph" w:styleId="GeneralHeadingA" w:customStyle="1">
    <w:name w:val="General Heading A"/>
    <w:basedOn w:val="HouseStyleBase"/>
    <w:next w:val="GeneralHeading2A"/>
    <w:semiHidden w:val="1"/>
    <w:qFormat w:val="1"/>
    <w:rsid w:val="00E574FD"/>
    <w:pPr>
      <w:keepNext w:val="1"/>
      <w:spacing w:before="360"/>
    </w:pPr>
    <w:rPr>
      <w:b w:val="1"/>
      <w:sz w:val="24"/>
    </w:rPr>
  </w:style>
  <w:style w:type="paragraph" w:styleId="GeneralL1" w:customStyle="1">
    <w:name w:val="General L1"/>
    <w:basedOn w:val="HouseStyleBase"/>
    <w:semiHidden w:val="1"/>
    <w:qFormat w:val="1"/>
    <w:rsid w:val="00E574FD"/>
    <w:pPr>
      <w:numPr>
        <w:numId w:val="7"/>
      </w:numPr>
    </w:pPr>
  </w:style>
  <w:style w:type="paragraph" w:styleId="GeneralL2" w:customStyle="1">
    <w:name w:val="General L2"/>
    <w:basedOn w:val="HouseStyleBase"/>
    <w:semiHidden w:val="1"/>
    <w:qFormat w:val="1"/>
    <w:rsid w:val="00E574FD"/>
    <w:pPr>
      <w:numPr>
        <w:ilvl w:val="1"/>
        <w:numId w:val="7"/>
      </w:numPr>
    </w:pPr>
  </w:style>
  <w:style w:type="paragraph" w:styleId="GeneralL3" w:customStyle="1">
    <w:name w:val="General L3"/>
    <w:basedOn w:val="HouseStyleBase"/>
    <w:semiHidden w:val="1"/>
    <w:qFormat w:val="1"/>
    <w:rsid w:val="00E574FD"/>
    <w:pPr>
      <w:numPr>
        <w:ilvl w:val="2"/>
        <w:numId w:val="7"/>
      </w:numPr>
    </w:pPr>
  </w:style>
  <w:style w:type="paragraph" w:styleId="GeneralL4" w:customStyle="1">
    <w:name w:val="General L4"/>
    <w:basedOn w:val="HouseStyleBase"/>
    <w:semiHidden w:val="1"/>
    <w:qFormat w:val="1"/>
    <w:rsid w:val="00E574FD"/>
    <w:pPr>
      <w:numPr>
        <w:ilvl w:val="3"/>
        <w:numId w:val="7"/>
      </w:numPr>
    </w:pPr>
  </w:style>
  <w:style w:type="paragraph" w:styleId="GeneralL5" w:customStyle="1">
    <w:name w:val="General L5"/>
    <w:basedOn w:val="HouseStyleBase"/>
    <w:semiHidden w:val="1"/>
    <w:qFormat w:val="1"/>
    <w:rsid w:val="00E574FD"/>
    <w:pPr>
      <w:numPr>
        <w:ilvl w:val="4"/>
        <w:numId w:val="7"/>
      </w:numPr>
    </w:pPr>
  </w:style>
  <w:style w:type="paragraph" w:styleId="RecitalNumbering1" w:customStyle="1">
    <w:name w:val="Recital Numbering 1"/>
    <w:basedOn w:val="HouseStyleBase"/>
    <w:qFormat w:val="1"/>
    <w:rsid w:val="00E574FD"/>
    <w:pPr>
      <w:numPr>
        <w:numId w:val="4"/>
      </w:numPr>
      <w:outlineLvl w:val="0"/>
    </w:pPr>
  </w:style>
  <w:style w:type="paragraph" w:styleId="TOCHeading">
    <w:name w:val="TOC Heading"/>
    <w:basedOn w:val="Heading1"/>
    <w:next w:val="Normal"/>
    <w:uiPriority w:val="39"/>
    <w:semiHidden w:val="1"/>
    <w:unhideWhenUsed w:val="1"/>
    <w:qFormat w:val="1"/>
    <w:rsid w:val="00E574FD"/>
    <w:pPr>
      <w:keepLines w:val="1"/>
      <w:numPr>
        <w:numId w:val="0"/>
      </w:numPr>
      <w:overflowPunct w:val="0"/>
      <w:autoSpaceDE w:val="0"/>
      <w:autoSpaceDN w:val="0"/>
      <w:spacing w:after="0" w:before="240" w:line="360" w:lineRule="auto"/>
      <w:textAlignment w:val="baseline"/>
      <w:outlineLvl w:val="9"/>
    </w:pPr>
    <w:rPr>
      <w:rFonts w:asciiTheme="majorHAnsi" w:cstheme="majorBidi" w:eastAsiaTheme="majorEastAsia" w:hAnsiTheme="majorHAnsi"/>
      <w:color w:val="2f5496" w:themeColor="accent1" w:themeShade="0000BF"/>
      <w:sz w:val="32"/>
      <w:szCs w:val="32"/>
      <w:lang w:eastAsia="en-US"/>
    </w:rPr>
  </w:style>
  <w:style w:type="character" w:styleId="Heading2AChar" w:customStyle="1">
    <w:name w:val="Heading 2A Char"/>
    <w:link w:val="Heading2A"/>
    <w:locked w:val="1"/>
    <w:rsid w:val="005B28AA"/>
    <w:rPr>
      <w:rFonts w:ascii="Arial" w:cs="Times New Roman" w:eastAsia="STZhongsong" w:hAnsi="Arial"/>
      <w:b w:val="1"/>
      <w:sz w:val="20"/>
      <w:szCs w:val="20"/>
      <w:lang w:eastAsia="zh-CN" w:val="en-GB"/>
    </w:rPr>
  </w:style>
  <w:style w:type="character" w:styleId="bodypartyheadchar" w:customStyle="1">
    <w:name w:val="_body party head char"/>
    <w:uiPriority w:val="99"/>
    <w:semiHidden w:val="1"/>
    <w:rsid w:val="000930B5"/>
    <w:rPr>
      <w:rFonts w:ascii="Arial" w:hAnsi="Arial"/>
      <w:b w:val="1"/>
      <w:i w:val="0"/>
      <w:caps w:val="0"/>
      <w:sz w:val="20"/>
      <w:szCs w:val="22"/>
      <w:lang w:bidi="ar-SA" w:eastAsia="en-GB" w:val="en-GB"/>
    </w:rPr>
  </w:style>
  <w:style w:type="paragraph" w:styleId="MarginTextHang" w:customStyle="1">
    <w:name w:val="Margin Text Hang"/>
    <w:basedOn w:val="HouseStyleBase"/>
    <w:rsid w:val="000B3CF9"/>
    <w:pPr>
      <w:overflowPunct w:val="0"/>
      <w:autoSpaceDE w:val="0"/>
      <w:autoSpaceDN w:val="0"/>
      <w:ind w:left="720" w:hanging="720"/>
      <w:textAlignment w:val="baseline"/>
    </w:pPr>
  </w:style>
  <w:style w:type="character" w:styleId="bodystrongchar" w:customStyle="1">
    <w:name w:val="_body strong char"/>
    <w:basedOn w:val="DefaultParagraphFont"/>
    <w:uiPriority w:val="99"/>
    <w:semiHidden w:val="1"/>
    <w:qFormat w:val="1"/>
    <w:rsid w:val="000B3CF9"/>
    <w:rPr>
      <w:rFonts w:ascii="Arial" w:eastAsia="SimSun" w:hAnsi="Arial"/>
      <w:b w:val="1"/>
      <w:sz w:val="20"/>
      <w:szCs w:val="24"/>
      <w:lang w:val="en-GB"/>
    </w:rPr>
  </w:style>
  <w:style w:type="paragraph" w:styleId="partytable" w:customStyle="1">
    <w:name w:val="_party table"/>
    <w:basedOn w:val="MarginText"/>
    <w:link w:val="partytableChar"/>
    <w:autoRedefine w:val="1"/>
    <w:uiPriority w:val="99"/>
    <w:semiHidden w:val="1"/>
    <w:qFormat w:val="1"/>
    <w:rsid w:val="001F7BA2"/>
    <w:pPr>
      <w:spacing w:after="0"/>
      <w:ind w:left="1438" w:hanging="1438"/>
    </w:pPr>
    <w:rPr>
      <w:bCs w:val="1"/>
    </w:rPr>
  </w:style>
  <w:style w:type="character" w:styleId="partytableChar" w:customStyle="1">
    <w:name w:val="_party table Char"/>
    <w:link w:val="partytable"/>
    <w:uiPriority w:val="99"/>
    <w:semiHidden w:val="1"/>
    <w:rsid w:val="001F7BA2"/>
    <w:rPr>
      <w:rFonts w:ascii="Arial" w:cs="Times New Roman" w:eastAsia="STZhongsong" w:hAnsi="Arial"/>
      <w:bCs w:val="1"/>
      <w:sz w:val="20"/>
      <w:szCs w:val="20"/>
      <w:lang w:eastAsia="zh-CN" w:val="en-GB"/>
    </w:rPr>
  </w:style>
  <w:style w:type="character" w:styleId="footersmallstrongchar" w:customStyle="1">
    <w:name w:val="_footer small strong char"/>
    <w:basedOn w:val="DefaultParagraphFont"/>
    <w:uiPriority w:val="99"/>
    <w:semiHidden w:val="1"/>
    <w:rsid w:val="00944EF7"/>
    <w:rPr>
      <w:rFonts w:ascii="Arial" w:hAnsi="Arial"/>
      <w:b w:val="1"/>
      <w:sz w:val="14"/>
      <w:szCs w:val="24"/>
      <w:lang w:bidi="ar-SA" w:eastAsia="en-GB" w:val="en-GB"/>
    </w:rPr>
  </w:style>
  <w:style w:type="paragraph" w:styleId="body" w:customStyle="1">
    <w:name w:val="_body"/>
    <w:basedOn w:val="HouseStyleBase"/>
    <w:link w:val="bodyChar"/>
    <w:uiPriority w:val="99"/>
    <w:semiHidden w:val="1"/>
    <w:rsid w:val="008C524C"/>
    <w:pPr>
      <w:spacing w:after="0"/>
    </w:pPr>
    <w:rPr>
      <w:rFonts w:eastAsia="Times New Roman"/>
      <w:szCs w:val="24"/>
      <w:lang w:eastAsia="en-GB"/>
    </w:rPr>
  </w:style>
  <w:style w:type="character" w:styleId="bodyChar" w:customStyle="1">
    <w:name w:val="_body Char"/>
    <w:link w:val="body"/>
    <w:uiPriority w:val="99"/>
    <w:semiHidden w:val="1"/>
    <w:rsid w:val="008C524C"/>
    <w:rPr>
      <w:rFonts w:ascii="Arial" w:cs="Times New Roman" w:eastAsia="Times New Roman" w:hAnsi="Arial"/>
      <w:sz w:val="20"/>
      <w:szCs w:val="24"/>
      <w:lang w:eastAsia="en-GB" w:val="en-GB"/>
    </w:rPr>
  </w:style>
  <w:style w:type="paragraph" w:styleId="draft" w:customStyle="1">
    <w:name w:val="_draft"/>
    <w:basedOn w:val="Header"/>
    <w:qFormat w:val="1"/>
    <w:rsid w:val="00BF2FB8"/>
    <w:rPr>
      <w:color w:val="ffffff" w:themeColor="background1"/>
    </w:rPr>
  </w:style>
  <w:style w:type="paragraph" w:styleId="footerafter" w:customStyle="1">
    <w:name w:val="_footer after"/>
    <w:basedOn w:val="Normal"/>
    <w:uiPriority w:val="99"/>
    <w:semiHidden w:val="1"/>
    <w:rsid w:val="00C4503B"/>
    <w:pPr>
      <w:tabs>
        <w:tab w:val="center" w:pos="4153"/>
        <w:tab w:val="right" w:pos="8306"/>
      </w:tabs>
      <w:spacing w:after="60" w:before="60"/>
    </w:pPr>
    <w:rPr>
      <w:rFonts w:cs="Times New Roman" w:eastAsia="SimSun"/>
      <w:sz w:val="16"/>
      <w:lang w:eastAsia="zh-CN"/>
    </w:rPr>
  </w:style>
  <w:style w:type="paragraph" w:styleId="Bibliography">
    <w:name w:val="Bibliography"/>
    <w:basedOn w:val="Normal"/>
    <w:next w:val="Normal"/>
    <w:uiPriority w:val="37"/>
    <w:semiHidden w:val="1"/>
    <w:unhideWhenUsed w:val="1"/>
    <w:rsid w:val="00687316"/>
  </w:style>
  <w:style w:type="paragraph" w:styleId="BlockText">
    <w:name w:val="Block Text"/>
    <w:basedOn w:val="Normal"/>
    <w:uiPriority w:val="99"/>
    <w:semiHidden w:val="1"/>
    <w:unhideWhenUsed w:val="1"/>
    <w:rsid w:val="00687316"/>
    <w:pPr>
      <w:pBdr>
        <w:top w:color="4472c4" w:space="10" w:sz="2" w:themeColor="accent1" w:val="single"/>
        <w:left w:color="4472c4" w:space="10" w:sz="2" w:themeColor="accent1" w:val="single"/>
        <w:bottom w:color="4472c4" w:space="10" w:sz="2" w:themeColor="accent1" w:val="single"/>
        <w:right w:color="4472c4" w:space="10" w:sz="2" w:themeColor="accent1" w:val="single"/>
      </w:pBdr>
      <w:ind w:left="1152" w:right="1152"/>
    </w:pPr>
    <w:rPr>
      <w:rFonts w:asciiTheme="minorHAnsi" w:eastAsiaTheme="minorEastAsia" w:hAnsiTheme="minorHAnsi"/>
      <w:i w:val="1"/>
      <w:iCs w:val="1"/>
      <w:color w:val="4472c4" w:themeColor="accent1"/>
    </w:rPr>
  </w:style>
  <w:style w:type="paragraph" w:styleId="BodyText">
    <w:name w:val="Body Text"/>
    <w:basedOn w:val="Normal"/>
    <w:link w:val="BodyTextChar"/>
    <w:unhideWhenUsed w:val="1"/>
    <w:rsid w:val="00687316"/>
    <w:pPr>
      <w:spacing w:after="120"/>
    </w:pPr>
  </w:style>
  <w:style w:type="character" w:styleId="BodyTextChar" w:customStyle="1">
    <w:name w:val="Body Text Char"/>
    <w:basedOn w:val="DefaultParagraphFont"/>
    <w:link w:val="BodyText"/>
    <w:rsid w:val="00687316"/>
    <w:rPr>
      <w:rFonts w:ascii="Arial" w:hAnsi="Arial"/>
      <w:sz w:val="20"/>
      <w:lang w:val="en-GB"/>
    </w:rPr>
  </w:style>
  <w:style w:type="paragraph" w:styleId="BodyText2">
    <w:name w:val="Body Text 2"/>
    <w:basedOn w:val="Normal"/>
    <w:link w:val="BodyText2Char"/>
    <w:uiPriority w:val="99"/>
    <w:semiHidden w:val="1"/>
    <w:unhideWhenUsed w:val="1"/>
    <w:rsid w:val="00687316"/>
    <w:pPr>
      <w:spacing w:after="120" w:line="480" w:lineRule="auto"/>
    </w:pPr>
  </w:style>
  <w:style w:type="character" w:styleId="BodyText2Char" w:customStyle="1">
    <w:name w:val="Body Text 2 Char"/>
    <w:basedOn w:val="DefaultParagraphFont"/>
    <w:link w:val="BodyText2"/>
    <w:uiPriority w:val="99"/>
    <w:semiHidden w:val="1"/>
    <w:rsid w:val="00687316"/>
    <w:rPr>
      <w:rFonts w:ascii="Arial" w:hAnsi="Arial"/>
      <w:sz w:val="20"/>
      <w:lang w:val="en-GB"/>
    </w:rPr>
  </w:style>
  <w:style w:type="paragraph" w:styleId="BodyText3">
    <w:name w:val="Body Text 3"/>
    <w:basedOn w:val="Normal"/>
    <w:link w:val="BodyText3Char"/>
    <w:uiPriority w:val="99"/>
    <w:semiHidden w:val="1"/>
    <w:unhideWhenUsed w:val="1"/>
    <w:rsid w:val="00687316"/>
    <w:pPr>
      <w:spacing w:after="120"/>
    </w:pPr>
    <w:rPr>
      <w:sz w:val="16"/>
      <w:szCs w:val="16"/>
    </w:rPr>
  </w:style>
  <w:style w:type="character" w:styleId="BodyText3Char" w:customStyle="1">
    <w:name w:val="Body Text 3 Char"/>
    <w:basedOn w:val="DefaultParagraphFont"/>
    <w:link w:val="BodyText3"/>
    <w:uiPriority w:val="99"/>
    <w:semiHidden w:val="1"/>
    <w:rsid w:val="00687316"/>
    <w:rPr>
      <w:rFonts w:ascii="Arial" w:hAnsi="Arial"/>
      <w:sz w:val="16"/>
      <w:szCs w:val="16"/>
      <w:lang w:val="en-GB"/>
    </w:rPr>
  </w:style>
  <w:style w:type="paragraph" w:styleId="BodyTextFirstIndent">
    <w:name w:val="Body Text First Indent"/>
    <w:basedOn w:val="BodyText"/>
    <w:link w:val="BodyTextFirstIndentChar"/>
    <w:uiPriority w:val="99"/>
    <w:semiHidden w:val="1"/>
    <w:unhideWhenUsed w:val="1"/>
    <w:rsid w:val="00687316"/>
    <w:pPr>
      <w:spacing w:after="240"/>
      <w:ind w:firstLine="360"/>
    </w:pPr>
  </w:style>
  <w:style w:type="character" w:styleId="BodyTextFirstIndentChar" w:customStyle="1">
    <w:name w:val="Body Text First Indent Char"/>
    <w:basedOn w:val="BodyTextChar"/>
    <w:link w:val="BodyTextFirstIndent"/>
    <w:uiPriority w:val="99"/>
    <w:semiHidden w:val="1"/>
    <w:rsid w:val="00687316"/>
    <w:rPr>
      <w:rFonts w:ascii="Arial" w:hAnsi="Arial"/>
      <w:sz w:val="20"/>
      <w:lang w:val="en-GB"/>
    </w:rPr>
  </w:style>
  <w:style w:type="paragraph" w:styleId="BodyTextFirstIndent2">
    <w:name w:val="Body Text First Indent 2"/>
    <w:basedOn w:val="BodyTextIndent"/>
    <w:link w:val="BodyTextFirstIndent2Char"/>
    <w:uiPriority w:val="99"/>
    <w:semiHidden w:val="1"/>
    <w:unhideWhenUsed w:val="1"/>
    <w:rsid w:val="00687316"/>
    <w:pPr>
      <w:numPr>
        <w:numId w:val="0"/>
      </w:numPr>
      <w:adjustRightInd w:val="1"/>
      <w:ind w:left="360" w:firstLine="360"/>
    </w:pPr>
    <w:rPr>
      <w:rFonts w:cstheme="minorBidi" w:eastAsiaTheme="minorHAnsi"/>
      <w:szCs w:val="22"/>
      <w:lang w:eastAsia="en-US"/>
    </w:rPr>
  </w:style>
  <w:style w:type="character" w:styleId="BodyTextFirstIndent2Char" w:customStyle="1">
    <w:name w:val="Body Text First Indent 2 Char"/>
    <w:basedOn w:val="BodyTextIndentChar"/>
    <w:link w:val="BodyTextFirstIndent2"/>
    <w:uiPriority w:val="99"/>
    <w:semiHidden w:val="1"/>
    <w:rsid w:val="00687316"/>
    <w:rPr>
      <w:rFonts w:ascii="Arial" w:cs="Times New Roman" w:eastAsia="STZhongsong" w:hAnsi="Arial"/>
      <w:sz w:val="20"/>
      <w:szCs w:val="20"/>
      <w:lang w:eastAsia="zh-CN" w:val="en-GB"/>
    </w:rPr>
  </w:style>
  <w:style w:type="character" w:styleId="BookTitle">
    <w:name w:val="Book Title"/>
    <w:basedOn w:val="DefaultParagraphFont"/>
    <w:uiPriority w:val="33"/>
    <w:qFormat w:val="1"/>
    <w:rsid w:val="00687316"/>
    <w:rPr>
      <w:b w:val="1"/>
      <w:bCs w:val="1"/>
      <w:i w:val="1"/>
      <w:iCs w:val="1"/>
      <w:spacing w:val="5"/>
      <w:lang w:val="en-GB"/>
    </w:rPr>
  </w:style>
  <w:style w:type="paragraph" w:styleId="Caption">
    <w:name w:val="caption"/>
    <w:basedOn w:val="Normal"/>
    <w:next w:val="Normal"/>
    <w:uiPriority w:val="35"/>
    <w:semiHidden w:val="1"/>
    <w:unhideWhenUsed w:val="1"/>
    <w:qFormat w:val="1"/>
    <w:rsid w:val="00687316"/>
    <w:pPr>
      <w:spacing w:after="200"/>
    </w:pPr>
    <w:rPr>
      <w:i w:val="1"/>
      <w:iCs w:val="1"/>
      <w:color w:val="44546a" w:themeColor="text2"/>
      <w:sz w:val="18"/>
      <w:szCs w:val="18"/>
    </w:rPr>
  </w:style>
  <w:style w:type="paragraph" w:styleId="Closing">
    <w:name w:val="Closing"/>
    <w:basedOn w:val="Normal"/>
    <w:link w:val="ClosingChar"/>
    <w:uiPriority w:val="99"/>
    <w:semiHidden w:val="1"/>
    <w:unhideWhenUsed w:val="1"/>
    <w:rsid w:val="00687316"/>
    <w:pPr>
      <w:spacing w:after="0"/>
      <w:ind w:left="4252"/>
    </w:pPr>
  </w:style>
  <w:style w:type="character" w:styleId="ClosingChar" w:customStyle="1">
    <w:name w:val="Closing Char"/>
    <w:basedOn w:val="DefaultParagraphFont"/>
    <w:link w:val="Closing"/>
    <w:uiPriority w:val="99"/>
    <w:semiHidden w:val="1"/>
    <w:rsid w:val="00687316"/>
    <w:rPr>
      <w:rFonts w:ascii="Arial" w:hAnsi="Arial"/>
      <w:sz w:val="20"/>
      <w:lang w:val="en-GB"/>
    </w:rPr>
  </w:style>
  <w:style w:type="table" w:styleId="ColorfulGrid">
    <w:name w:val="Colorful Grid"/>
    <w:basedOn w:val="TableNormal"/>
    <w:uiPriority w:val="73"/>
    <w:semiHidden w:val="1"/>
    <w:unhideWhenUsed w:val="1"/>
    <w:rsid w:val="00687316"/>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semiHidden w:val="1"/>
    <w:unhideWhenUsed w:val="1"/>
    <w:rsid w:val="00687316"/>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9e2f3" w:themeFill="accent1" w:themeFillTint="000033" w:val="clear"/>
    </w:tcPr>
    <w:tblStylePr w:type="firstRow">
      <w:rPr>
        <w:b w:val="1"/>
        <w:bCs w:val="1"/>
      </w:rPr>
      <w:tblPr/>
      <w:tcPr>
        <w:shd w:color="auto" w:fill="b4c6e7" w:themeFill="accent1" w:themeFillTint="000066" w:val="clear"/>
      </w:tcPr>
    </w:tblStylePr>
    <w:tblStylePr w:type="lastRow">
      <w:rPr>
        <w:b w:val="1"/>
        <w:bCs w:val="1"/>
        <w:color w:val="000000" w:themeColor="text1"/>
      </w:rPr>
      <w:tblPr/>
      <w:tcPr>
        <w:shd w:color="auto" w:fill="b4c6e7" w:themeFill="accent1" w:themeFillTint="000066" w:val="clear"/>
      </w:tcPr>
    </w:tblStylePr>
    <w:tblStylePr w:type="firstCol">
      <w:rPr>
        <w:color w:val="ffffff" w:themeColor="background1"/>
      </w:rPr>
      <w:tblPr/>
      <w:tcPr>
        <w:shd w:color="auto" w:fill="2f5496" w:themeFill="accent1" w:themeFillShade="0000BF" w:val="clear"/>
      </w:tcPr>
    </w:tblStylePr>
    <w:tblStylePr w:type="lastCol">
      <w:rPr>
        <w:color w:val="ffffff" w:themeColor="background1"/>
      </w:rPr>
      <w:tblPr/>
      <w:tcPr>
        <w:shd w:color="auto" w:fill="2f5496" w:themeFill="accent1" w:themeFillShade="0000BF" w:val="clear"/>
      </w:tcPr>
    </w:tblStylePr>
    <w:tblStylePr w:type="band1Vert">
      <w:tblPr/>
      <w:tcPr>
        <w:shd w:color="auto" w:fill="a1b8e1" w:themeFill="accent1" w:themeFillTint="00007F" w:val="clear"/>
      </w:tcPr>
    </w:tblStylePr>
    <w:tblStylePr w:type="band1Horz">
      <w:tblPr/>
      <w:tcPr>
        <w:shd w:color="auto" w:fill="a1b8e1" w:themeFill="accent1" w:themeFillTint="00007F" w:val="clear"/>
      </w:tcPr>
    </w:tblStylePr>
  </w:style>
  <w:style w:type="table" w:styleId="ColorfulGrid-Accent2">
    <w:name w:val="Colorful Grid Accent 2"/>
    <w:basedOn w:val="TableNormal"/>
    <w:uiPriority w:val="73"/>
    <w:semiHidden w:val="1"/>
    <w:unhideWhenUsed w:val="1"/>
    <w:rsid w:val="00687316"/>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be4d5" w:themeFill="accent2" w:themeFillTint="000033" w:val="clear"/>
    </w:tcPr>
    <w:tblStylePr w:type="firstRow">
      <w:rPr>
        <w:b w:val="1"/>
        <w:bCs w:val="1"/>
      </w:rPr>
      <w:tblPr/>
      <w:tcPr>
        <w:shd w:color="auto" w:fill="f7caac" w:themeFill="accent2" w:themeFillTint="000066" w:val="clear"/>
      </w:tcPr>
    </w:tblStylePr>
    <w:tblStylePr w:type="lastRow">
      <w:rPr>
        <w:b w:val="1"/>
        <w:bCs w:val="1"/>
        <w:color w:val="000000" w:themeColor="text1"/>
      </w:rPr>
      <w:tblPr/>
      <w:tcPr>
        <w:shd w:color="auto" w:fill="f7caac" w:themeFill="accent2" w:themeFillTint="000066" w:val="clear"/>
      </w:tcPr>
    </w:tblStylePr>
    <w:tblStylePr w:type="firstCol">
      <w:rPr>
        <w:color w:val="ffffff" w:themeColor="background1"/>
      </w:rPr>
      <w:tblPr/>
      <w:tcPr>
        <w:shd w:color="auto" w:fill="c45911" w:themeFill="accent2" w:themeFillShade="0000BF" w:val="clear"/>
      </w:tcPr>
    </w:tblStylePr>
    <w:tblStylePr w:type="lastCol">
      <w:rPr>
        <w:color w:val="ffffff" w:themeColor="background1"/>
      </w:rPr>
      <w:tblPr/>
      <w:tcPr>
        <w:shd w:color="auto" w:fill="c45911" w:themeFill="accent2" w:themeFillShade="0000BF" w:val="clear"/>
      </w:tcPr>
    </w:tblStylePr>
    <w:tblStylePr w:type="band1Vert">
      <w:tblPr/>
      <w:tcPr>
        <w:shd w:color="auto" w:fill="f6be98" w:themeFill="accent2" w:themeFillTint="00007F" w:val="clear"/>
      </w:tcPr>
    </w:tblStylePr>
    <w:tblStylePr w:type="band1Horz">
      <w:tblPr/>
      <w:tcPr>
        <w:shd w:color="auto" w:fill="f6be98" w:themeFill="accent2" w:themeFillTint="00007F" w:val="clear"/>
      </w:tcPr>
    </w:tblStylePr>
  </w:style>
  <w:style w:type="table" w:styleId="ColorfulGrid-Accent3">
    <w:name w:val="Colorful Grid Accent 3"/>
    <w:basedOn w:val="TableNormal"/>
    <w:uiPriority w:val="73"/>
    <w:semiHidden w:val="1"/>
    <w:unhideWhenUsed w:val="1"/>
    <w:rsid w:val="00687316"/>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deded" w:themeFill="accent3" w:themeFillTint="000033" w:val="clear"/>
    </w:tcPr>
    <w:tblStylePr w:type="firstRow">
      <w:rPr>
        <w:b w:val="1"/>
        <w:bCs w:val="1"/>
      </w:rPr>
      <w:tblPr/>
      <w:tcPr>
        <w:shd w:color="auto" w:fill="dbdbdb" w:themeFill="accent3" w:themeFillTint="000066" w:val="clear"/>
      </w:tcPr>
    </w:tblStylePr>
    <w:tblStylePr w:type="lastRow">
      <w:rPr>
        <w:b w:val="1"/>
        <w:bCs w:val="1"/>
        <w:color w:val="000000" w:themeColor="text1"/>
      </w:rPr>
      <w:tblPr/>
      <w:tcPr>
        <w:shd w:color="auto" w:fill="dbdbdb" w:themeFill="accent3" w:themeFillTint="000066" w:val="clear"/>
      </w:tcPr>
    </w:tblStylePr>
    <w:tblStylePr w:type="firstCol">
      <w:rPr>
        <w:color w:val="ffffff" w:themeColor="background1"/>
      </w:rPr>
      <w:tblPr/>
      <w:tcPr>
        <w:shd w:color="auto" w:fill="7b7b7b" w:themeFill="accent3" w:themeFillShade="0000BF" w:val="clear"/>
      </w:tcPr>
    </w:tblStylePr>
    <w:tblStylePr w:type="lastCol">
      <w:rPr>
        <w:color w:val="ffffff" w:themeColor="background1"/>
      </w:rPr>
      <w:tblPr/>
      <w:tcPr>
        <w:shd w:color="auto" w:fill="7b7b7b" w:themeFill="accent3" w:themeFillShade="0000BF" w:val="clear"/>
      </w:tcPr>
    </w:tblStylePr>
    <w:tblStylePr w:type="band1Vert">
      <w:tblPr/>
      <w:tcPr>
        <w:shd w:color="auto" w:fill="d2d2d2" w:themeFill="accent3" w:themeFillTint="00007F" w:val="clear"/>
      </w:tcPr>
    </w:tblStylePr>
    <w:tblStylePr w:type="band1Horz">
      <w:tblPr/>
      <w:tcPr>
        <w:shd w:color="auto" w:fill="d2d2d2" w:themeFill="accent3" w:themeFillTint="00007F" w:val="clear"/>
      </w:tcPr>
    </w:tblStylePr>
  </w:style>
  <w:style w:type="table" w:styleId="ColorfulGrid-Accent4">
    <w:name w:val="Colorful Grid Accent 4"/>
    <w:basedOn w:val="TableNormal"/>
    <w:uiPriority w:val="73"/>
    <w:semiHidden w:val="1"/>
    <w:unhideWhenUsed w:val="1"/>
    <w:rsid w:val="00687316"/>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ff2cc" w:themeFill="accent4" w:themeFillTint="000033" w:val="clear"/>
    </w:tcPr>
    <w:tblStylePr w:type="firstRow">
      <w:rPr>
        <w:b w:val="1"/>
        <w:bCs w:val="1"/>
      </w:rPr>
      <w:tblPr/>
      <w:tcPr>
        <w:shd w:color="auto" w:fill="ffe599" w:themeFill="accent4" w:themeFillTint="000066" w:val="clear"/>
      </w:tcPr>
    </w:tblStylePr>
    <w:tblStylePr w:type="lastRow">
      <w:rPr>
        <w:b w:val="1"/>
        <w:bCs w:val="1"/>
        <w:color w:val="000000" w:themeColor="text1"/>
      </w:rPr>
      <w:tblPr/>
      <w:tcPr>
        <w:shd w:color="auto" w:fill="ffe599" w:themeFill="accent4" w:themeFillTint="000066" w:val="clear"/>
      </w:tcPr>
    </w:tblStylePr>
    <w:tblStylePr w:type="firstCol">
      <w:rPr>
        <w:color w:val="ffffff" w:themeColor="background1"/>
      </w:rPr>
      <w:tblPr/>
      <w:tcPr>
        <w:shd w:color="auto" w:fill="bf8f00" w:themeFill="accent4" w:themeFillShade="0000BF" w:val="clear"/>
      </w:tcPr>
    </w:tblStylePr>
    <w:tblStylePr w:type="lastCol">
      <w:rPr>
        <w:color w:val="ffffff" w:themeColor="background1"/>
      </w:rPr>
      <w:tblPr/>
      <w:tcPr>
        <w:shd w:color="auto" w:fill="bf8f00" w:themeFill="accent4" w:themeFillShade="0000BF" w:val="clear"/>
      </w:tcPr>
    </w:tblStylePr>
    <w:tblStylePr w:type="band1Vert">
      <w:tblPr/>
      <w:tcPr>
        <w:shd w:color="auto" w:fill="ffdf80" w:themeFill="accent4" w:themeFillTint="00007F" w:val="clear"/>
      </w:tcPr>
    </w:tblStylePr>
    <w:tblStylePr w:type="band1Horz">
      <w:tblPr/>
      <w:tcPr>
        <w:shd w:color="auto" w:fill="ffdf80" w:themeFill="accent4" w:themeFillTint="00007F" w:val="clear"/>
      </w:tcPr>
    </w:tblStylePr>
  </w:style>
  <w:style w:type="table" w:styleId="ColorfulGrid-Accent5">
    <w:name w:val="Colorful Grid Accent 5"/>
    <w:basedOn w:val="TableNormal"/>
    <w:uiPriority w:val="73"/>
    <w:semiHidden w:val="1"/>
    <w:unhideWhenUsed w:val="1"/>
    <w:rsid w:val="00687316"/>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eeaf6" w:themeFill="accent5" w:themeFillTint="000033" w:val="clear"/>
    </w:tcPr>
    <w:tblStylePr w:type="firstRow">
      <w:rPr>
        <w:b w:val="1"/>
        <w:bCs w:val="1"/>
      </w:rPr>
      <w:tblPr/>
      <w:tcPr>
        <w:shd w:color="auto" w:fill="bdd6ee" w:themeFill="accent5" w:themeFillTint="000066" w:val="clear"/>
      </w:tcPr>
    </w:tblStylePr>
    <w:tblStylePr w:type="lastRow">
      <w:rPr>
        <w:b w:val="1"/>
        <w:bCs w:val="1"/>
        <w:color w:val="000000" w:themeColor="text1"/>
      </w:rPr>
      <w:tblPr/>
      <w:tcPr>
        <w:shd w:color="auto" w:fill="bdd6ee" w:themeFill="accent5" w:themeFillTint="000066" w:val="clear"/>
      </w:tcPr>
    </w:tblStylePr>
    <w:tblStylePr w:type="firstCol">
      <w:rPr>
        <w:color w:val="ffffff" w:themeColor="background1"/>
      </w:rPr>
      <w:tblPr/>
      <w:tcPr>
        <w:shd w:color="auto" w:fill="2e74b5" w:themeFill="accent5" w:themeFillShade="0000BF" w:val="clear"/>
      </w:tcPr>
    </w:tblStylePr>
    <w:tblStylePr w:type="lastCol">
      <w:rPr>
        <w:color w:val="ffffff" w:themeColor="background1"/>
      </w:rPr>
      <w:tblPr/>
      <w:tcPr>
        <w:shd w:color="auto" w:fill="2e74b5" w:themeFill="accent5" w:themeFillShade="0000BF" w:val="clear"/>
      </w:tcPr>
    </w:tblStylePr>
    <w:tblStylePr w:type="band1Vert">
      <w:tblPr/>
      <w:tcPr>
        <w:shd w:color="auto" w:fill="adccea" w:themeFill="accent5" w:themeFillTint="00007F" w:val="clear"/>
      </w:tcPr>
    </w:tblStylePr>
    <w:tblStylePr w:type="band1Horz">
      <w:tblPr/>
      <w:tcPr>
        <w:shd w:color="auto" w:fill="adccea" w:themeFill="accent5" w:themeFillTint="00007F" w:val="clear"/>
      </w:tcPr>
    </w:tblStylePr>
  </w:style>
  <w:style w:type="table" w:styleId="ColorfulGrid-Accent6">
    <w:name w:val="Colorful Grid Accent 6"/>
    <w:basedOn w:val="TableNormal"/>
    <w:uiPriority w:val="73"/>
    <w:semiHidden w:val="1"/>
    <w:unhideWhenUsed w:val="1"/>
    <w:rsid w:val="00687316"/>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2efd9" w:themeFill="accent6" w:themeFillTint="000033" w:val="clear"/>
    </w:tcPr>
    <w:tblStylePr w:type="firstRow">
      <w:rPr>
        <w:b w:val="1"/>
        <w:bCs w:val="1"/>
      </w:rPr>
      <w:tblPr/>
      <w:tcPr>
        <w:shd w:color="auto" w:fill="c5e0b3" w:themeFill="accent6" w:themeFillTint="000066" w:val="clear"/>
      </w:tcPr>
    </w:tblStylePr>
    <w:tblStylePr w:type="lastRow">
      <w:rPr>
        <w:b w:val="1"/>
        <w:bCs w:val="1"/>
        <w:color w:val="000000" w:themeColor="text1"/>
      </w:rPr>
      <w:tblPr/>
      <w:tcPr>
        <w:shd w:color="auto" w:fill="c5e0b3" w:themeFill="accent6" w:themeFillTint="000066" w:val="clear"/>
      </w:tcPr>
    </w:tblStylePr>
    <w:tblStylePr w:type="firstCol">
      <w:rPr>
        <w:color w:val="ffffff" w:themeColor="background1"/>
      </w:rPr>
      <w:tblPr/>
      <w:tcPr>
        <w:shd w:color="auto" w:fill="538135" w:themeFill="accent6" w:themeFillShade="0000BF" w:val="clear"/>
      </w:tcPr>
    </w:tblStylePr>
    <w:tblStylePr w:type="lastCol">
      <w:rPr>
        <w:color w:val="ffffff" w:themeColor="background1"/>
      </w:rPr>
      <w:tblPr/>
      <w:tcPr>
        <w:shd w:color="auto" w:fill="538135" w:themeFill="accent6" w:themeFillShade="0000BF" w:val="clear"/>
      </w:tcPr>
    </w:tblStylePr>
    <w:tblStylePr w:type="band1Vert">
      <w:tblPr/>
      <w:tcPr>
        <w:shd w:color="auto" w:fill="b7d8a0" w:themeFill="accent6" w:themeFillTint="00007F" w:val="clear"/>
      </w:tcPr>
    </w:tblStylePr>
    <w:tblStylePr w:type="band1Horz">
      <w:tblPr/>
      <w:tcPr>
        <w:shd w:color="auto" w:fill="b7d8a0" w:themeFill="accent6" w:themeFillTint="00007F" w:val="clear"/>
      </w:tcPr>
    </w:tblStylePr>
  </w:style>
  <w:style w:type="table" w:styleId="ColorfulList">
    <w:name w:val="Colorful List"/>
    <w:basedOn w:val="TableNormal"/>
    <w:uiPriority w:val="72"/>
    <w:semiHidden w:val="1"/>
    <w:unhideWhenUsed w:val="1"/>
    <w:rsid w:val="00687316"/>
    <w:pPr>
      <w:spacing w:after="0" w:line="240" w:lineRule="auto"/>
    </w:pPr>
    <w:rPr>
      <w:color w:val="000000" w:themeColor="text1"/>
    </w:rPr>
    <w:tblPr>
      <w:tblStyleRowBandSize w:val="1"/>
      <w:tblStyleColBandSize w:val="1"/>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d25f12" w:themeFill="accent2" w:themeFillShade="0000CC" w:val="clear"/>
      </w:tcPr>
    </w:tblStylePr>
    <w:tblStylePr w:type="lastRow">
      <w:rPr>
        <w:b w:val="1"/>
        <w:bCs w:val="1"/>
        <w:color w:val="d25f12"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semiHidden w:val="1"/>
    <w:unhideWhenUsed w:val="1"/>
    <w:rsid w:val="00687316"/>
    <w:pPr>
      <w:spacing w:after="0" w:line="240" w:lineRule="auto"/>
    </w:pPr>
    <w:rPr>
      <w:color w:val="000000" w:themeColor="text1"/>
    </w:rPr>
    <w:tblPr>
      <w:tblStyleRowBandSize w:val="1"/>
      <w:tblStyleColBandSize w:val="1"/>
    </w:tblPr>
    <w:tcPr>
      <w:shd w:color="auto" w:fill="ecf1f9" w:themeFill="accent1" w:themeFillTint="000019" w:val="clear"/>
    </w:tcPr>
    <w:tblStylePr w:type="firstRow">
      <w:rPr>
        <w:b w:val="1"/>
        <w:bCs w:val="1"/>
        <w:color w:val="ffffff" w:themeColor="background1"/>
      </w:rPr>
      <w:tblPr/>
      <w:tcPr>
        <w:tcBorders>
          <w:bottom w:color="ffffff" w:space="0" w:sz="12" w:themeColor="background1" w:val="single"/>
        </w:tcBorders>
        <w:shd w:color="auto" w:fill="d25f12" w:themeFill="accent2" w:themeFillShade="0000CC" w:val="clear"/>
      </w:tcPr>
    </w:tblStylePr>
    <w:tblStylePr w:type="lastRow">
      <w:rPr>
        <w:b w:val="1"/>
        <w:bCs w:val="1"/>
        <w:color w:val="d25f12"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0dbf0" w:themeFill="accent1" w:themeFillTint="00003F" w:val="clear"/>
      </w:tcPr>
    </w:tblStylePr>
    <w:tblStylePr w:type="band1Horz">
      <w:tblPr/>
      <w:tcPr>
        <w:shd w:color="auto" w:fill="d9e2f3" w:themeFill="accent1" w:themeFillTint="000033" w:val="clear"/>
      </w:tcPr>
    </w:tblStylePr>
  </w:style>
  <w:style w:type="table" w:styleId="ColorfulList-Accent2">
    <w:name w:val="Colorful List Accent 2"/>
    <w:basedOn w:val="TableNormal"/>
    <w:uiPriority w:val="72"/>
    <w:semiHidden w:val="1"/>
    <w:unhideWhenUsed w:val="1"/>
    <w:rsid w:val="00687316"/>
    <w:pPr>
      <w:spacing w:after="0" w:line="240" w:lineRule="auto"/>
    </w:pPr>
    <w:rPr>
      <w:color w:val="000000" w:themeColor="text1"/>
    </w:rPr>
    <w:tblPr>
      <w:tblStyleRowBandSize w:val="1"/>
      <w:tblStyleColBandSize w:val="1"/>
    </w:tblPr>
    <w:tcPr>
      <w:shd w:color="auto" w:fill="fdf2ea" w:themeFill="accent2" w:themeFillTint="000019" w:val="clear"/>
    </w:tcPr>
    <w:tblStylePr w:type="firstRow">
      <w:rPr>
        <w:b w:val="1"/>
        <w:bCs w:val="1"/>
        <w:color w:val="ffffff" w:themeColor="background1"/>
      </w:rPr>
      <w:tblPr/>
      <w:tcPr>
        <w:tcBorders>
          <w:bottom w:color="ffffff" w:space="0" w:sz="12" w:themeColor="background1" w:val="single"/>
        </w:tcBorders>
        <w:shd w:color="auto" w:fill="d25f12" w:themeFill="accent2" w:themeFillShade="0000CC" w:val="clear"/>
      </w:tcPr>
    </w:tblStylePr>
    <w:tblStylePr w:type="lastRow">
      <w:rPr>
        <w:b w:val="1"/>
        <w:bCs w:val="1"/>
        <w:color w:val="d25f12"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adecb" w:themeFill="accent2" w:themeFillTint="00003F" w:val="clear"/>
      </w:tcPr>
    </w:tblStylePr>
    <w:tblStylePr w:type="band1Horz">
      <w:tblPr/>
      <w:tcPr>
        <w:shd w:color="auto" w:fill="fbe4d5" w:themeFill="accent2" w:themeFillTint="000033" w:val="clear"/>
      </w:tcPr>
    </w:tblStylePr>
  </w:style>
  <w:style w:type="table" w:styleId="ColorfulList-Accent3">
    <w:name w:val="Colorful List Accent 3"/>
    <w:basedOn w:val="TableNormal"/>
    <w:uiPriority w:val="72"/>
    <w:semiHidden w:val="1"/>
    <w:unhideWhenUsed w:val="1"/>
    <w:rsid w:val="00687316"/>
    <w:pPr>
      <w:spacing w:after="0" w:line="240" w:lineRule="auto"/>
    </w:pPr>
    <w:rPr>
      <w:color w:val="000000" w:themeColor="text1"/>
    </w:rPr>
    <w:tblPr>
      <w:tblStyleRowBandSize w:val="1"/>
      <w:tblStyleColBandSize w:val="1"/>
    </w:tblPr>
    <w:tcPr>
      <w:shd w:color="auto" w:fill="f6f6f6" w:themeFill="accent3" w:themeFillTint="000019" w:val="clear"/>
    </w:tcPr>
    <w:tblStylePr w:type="firstRow">
      <w:rPr>
        <w:b w:val="1"/>
        <w:bCs w:val="1"/>
        <w:color w:val="ffffff" w:themeColor="background1"/>
      </w:rPr>
      <w:tblPr/>
      <w:tcPr>
        <w:tcBorders>
          <w:bottom w:color="ffffff" w:space="0" w:sz="12" w:themeColor="background1" w:val="single"/>
        </w:tcBorders>
        <w:shd w:color="auto" w:fill="cc9900" w:themeFill="accent4" w:themeFillShade="0000CC" w:val="clear"/>
      </w:tcPr>
    </w:tblStylePr>
    <w:tblStylePr w:type="lastRow">
      <w:rPr>
        <w:b w:val="1"/>
        <w:bCs w:val="1"/>
        <w:color w:val="cc9900"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8e8e8" w:themeFill="accent3" w:themeFillTint="00003F" w:val="clear"/>
      </w:tcPr>
    </w:tblStylePr>
    <w:tblStylePr w:type="band1Horz">
      <w:tblPr/>
      <w:tcPr>
        <w:shd w:color="auto" w:fill="ededed" w:themeFill="accent3" w:themeFillTint="000033" w:val="clear"/>
      </w:tcPr>
    </w:tblStylePr>
  </w:style>
  <w:style w:type="table" w:styleId="ColorfulList-Accent4">
    <w:name w:val="Colorful List Accent 4"/>
    <w:basedOn w:val="TableNormal"/>
    <w:uiPriority w:val="72"/>
    <w:semiHidden w:val="1"/>
    <w:unhideWhenUsed w:val="1"/>
    <w:rsid w:val="00687316"/>
    <w:pPr>
      <w:spacing w:after="0" w:line="240" w:lineRule="auto"/>
    </w:pPr>
    <w:rPr>
      <w:color w:val="000000" w:themeColor="text1"/>
    </w:rPr>
    <w:tblPr>
      <w:tblStyleRowBandSize w:val="1"/>
      <w:tblStyleColBandSize w:val="1"/>
    </w:tblPr>
    <w:tcPr>
      <w:shd w:color="auto" w:fill="fff8e6" w:themeFill="accent4" w:themeFillTint="000019" w:val="clear"/>
    </w:tcPr>
    <w:tblStylePr w:type="firstRow">
      <w:rPr>
        <w:b w:val="1"/>
        <w:bCs w:val="1"/>
        <w:color w:val="ffffff" w:themeColor="background1"/>
      </w:rPr>
      <w:tblPr/>
      <w:tcPr>
        <w:tcBorders>
          <w:bottom w:color="ffffff" w:space="0" w:sz="12" w:themeColor="background1" w:val="single"/>
        </w:tcBorders>
        <w:shd w:color="auto" w:fill="848484" w:themeFill="accent3" w:themeFillShade="0000CC" w:val="clear"/>
      </w:tcPr>
    </w:tblStylePr>
    <w:tblStylePr w:type="lastRow">
      <w:rPr>
        <w:b w:val="1"/>
        <w:bCs w:val="1"/>
        <w:color w:val="848484"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fefc0" w:themeFill="accent4" w:themeFillTint="00003F" w:val="clear"/>
      </w:tcPr>
    </w:tblStylePr>
    <w:tblStylePr w:type="band1Horz">
      <w:tblPr/>
      <w:tcPr>
        <w:shd w:color="auto" w:fill="fff2cc" w:themeFill="accent4" w:themeFillTint="000033" w:val="clear"/>
      </w:tcPr>
    </w:tblStylePr>
  </w:style>
  <w:style w:type="table" w:styleId="ColorfulList-Accent5">
    <w:name w:val="Colorful List Accent 5"/>
    <w:basedOn w:val="TableNormal"/>
    <w:uiPriority w:val="72"/>
    <w:semiHidden w:val="1"/>
    <w:unhideWhenUsed w:val="1"/>
    <w:rsid w:val="00687316"/>
    <w:pPr>
      <w:spacing w:after="0" w:line="240" w:lineRule="auto"/>
    </w:pPr>
    <w:rPr>
      <w:color w:val="000000" w:themeColor="text1"/>
    </w:rPr>
    <w:tblPr>
      <w:tblStyleRowBandSize w:val="1"/>
      <w:tblStyleColBandSize w:val="1"/>
    </w:tblPr>
    <w:tcPr>
      <w:shd w:color="auto" w:fill="eef5fb" w:themeFill="accent5" w:themeFillTint="000019" w:val="clear"/>
    </w:tcPr>
    <w:tblStylePr w:type="firstRow">
      <w:rPr>
        <w:b w:val="1"/>
        <w:bCs w:val="1"/>
        <w:color w:val="ffffff" w:themeColor="background1"/>
      </w:rPr>
      <w:tblPr/>
      <w:tcPr>
        <w:tcBorders>
          <w:bottom w:color="ffffff" w:space="0" w:sz="12" w:themeColor="background1" w:val="single"/>
        </w:tcBorders>
        <w:shd w:color="auto" w:fill="598a38" w:themeFill="accent6" w:themeFillShade="0000CC" w:val="clear"/>
      </w:tcPr>
    </w:tblStylePr>
    <w:tblStylePr w:type="lastRow">
      <w:rPr>
        <w:b w:val="1"/>
        <w:bCs w:val="1"/>
        <w:color w:val="598a38"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6e6f4" w:themeFill="accent5" w:themeFillTint="00003F" w:val="clear"/>
      </w:tcPr>
    </w:tblStylePr>
    <w:tblStylePr w:type="band1Horz">
      <w:tblPr/>
      <w:tcPr>
        <w:shd w:color="auto" w:fill="deeaf6" w:themeFill="accent5" w:themeFillTint="000033" w:val="clear"/>
      </w:tcPr>
    </w:tblStylePr>
  </w:style>
  <w:style w:type="table" w:styleId="ColorfulList-Accent6">
    <w:name w:val="Colorful List Accent 6"/>
    <w:basedOn w:val="TableNormal"/>
    <w:uiPriority w:val="72"/>
    <w:semiHidden w:val="1"/>
    <w:unhideWhenUsed w:val="1"/>
    <w:rsid w:val="00687316"/>
    <w:pPr>
      <w:spacing w:after="0" w:line="240" w:lineRule="auto"/>
    </w:pPr>
    <w:rPr>
      <w:color w:val="000000" w:themeColor="text1"/>
    </w:rPr>
    <w:tblPr>
      <w:tblStyleRowBandSize w:val="1"/>
      <w:tblStyleColBandSize w:val="1"/>
    </w:tblPr>
    <w:tcPr>
      <w:shd w:color="auto" w:fill="f0f7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17cc1" w:themeFill="accent5" w:themeFillShade="0000CC" w:val="clear"/>
      </w:tcPr>
    </w:tblStylePr>
    <w:tblStylePr w:type="lastRow">
      <w:rPr>
        <w:b w:val="1"/>
        <w:bCs w:val="1"/>
        <w:color w:val="317cc1"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bebd0" w:themeFill="accent6" w:themeFillTint="00003F" w:val="clear"/>
      </w:tcPr>
    </w:tblStylePr>
    <w:tblStylePr w:type="band1Horz">
      <w:tblPr/>
      <w:tcPr>
        <w:shd w:color="auto" w:fill="e2efd9" w:themeFill="accent6" w:themeFillTint="000033" w:val="clear"/>
      </w:tcPr>
    </w:tblStylePr>
  </w:style>
  <w:style w:type="table" w:styleId="ColorfulShading">
    <w:name w:val="Colorful Shading"/>
    <w:basedOn w:val="TableNormal"/>
    <w:uiPriority w:val="71"/>
    <w:semiHidden w:val="1"/>
    <w:unhideWhenUsed w:val="1"/>
    <w:rsid w:val="00687316"/>
    <w:pPr>
      <w:spacing w:after="0" w:line="240" w:lineRule="auto"/>
    </w:pPr>
    <w:rPr>
      <w:color w:val="000000" w:themeColor="text1"/>
    </w:rPr>
    <w:tblPr>
      <w:tblStyleRowBandSize w:val="1"/>
      <w:tblStyleColBandSize w:val="1"/>
      <w:tblBorders>
        <w:top w:color="ed7d31"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Pr>
    <w:tcPr>
      <w:shd w:color="auto" w:fill="e6e6e6" w:themeFill="text1" w:themeFillTint="000019" w:val="clear"/>
    </w:tcPr>
    <w:tblStylePr w:type="firstRow">
      <w:rPr>
        <w:b w:val="1"/>
        <w:bCs w:val="1"/>
      </w:rPr>
      <w:tblPr/>
      <w:tcPr>
        <w:tcBorders>
          <w:top w:space="0" w:sz="0" w:val="nil"/>
          <w:left w:space="0" w:sz="0" w:val="nil"/>
          <w:bottom w:color="ed7d31"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val="1"/>
    <w:unhideWhenUsed w:val="1"/>
    <w:rsid w:val="00687316"/>
    <w:pPr>
      <w:spacing w:after="0" w:line="240" w:lineRule="auto"/>
    </w:pPr>
    <w:rPr>
      <w:color w:val="000000" w:themeColor="text1"/>
    </w:rPr>
    <w:tblPr>
      <w:tblStyleRowBandSize w:val="1"/>
      <w:tblStyleColBandSize w:val="1"/>
      <w:tblBorders>
        <w:top w:color="ed7d31" w:space="0" w:sz="24" w:themeColor="accent2" w:val="single"/>
        <w:left w:color="4472c4" w:space="0" w:sz="4" w:themeColor="accent1" w:val="single"/>
        <w:bottom w:color="4472c4" w:space="0" w:sz="4" w:themeColor="accent1" w:val="single"/>
        <w:right w:color="4472c4" w:space="0" w:sz="4" w:themeColor="accent1" w:val="single"/>
        <w:insideH w:color="ffffff" w:space="0" w:sz="4" w:themeColor="background1" w:val="single"/>
        <w:insideV w:color="ffffff" w:space="0" w:sz="4" w:themeColor="background1" w:val="single"/>
      </w:tblBorders>
    </w:tblPr>
    <w:tcPr>
      <w:shd w:color="auto" w:fill="ecf1f9" w:themeFill="accent1" w:themeFillTint="000019" w:val="clear"/>
    </w:tcPr>
    <w:tblStylePr w:type="firstRow">
      <w:rPr>
        <w:b w:val="1"/>
        <w:bCs w:val="1"/>
      </w:rPr>
      <w:tblPr/>
      <w:tcPr>
        <w:tcBorders>
          <w:top w:space="0" w:sz="0" w:val="nil"/>
          <w:left w:space="0" w:sz="0" w:val="nil"/>
          <w:bottom w:color="ed7d31"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64378"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64378" w:space="0" w:sz="4" w:themeColor="accent1" w:themeShade="000099" w:val="single"/>
          <w:insideV w:space="0" w:sz="0" w:val="nil"/>
        </w:tcBorders>
        <w:shd w:color="auto" w:fill="264378"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64378" w:themeFill="accent1" w:themeFillShade="000099" w:val="clear"/>
      </w:tcPr>
    </w:tblStylePr>
    <w:tblStylePr w:type="band1Vert">
      <w:tblPr/>
      <w:tcPr>
        <w:shd w:color="auto" w:fill="b4c6e7" w:themeFill="accent1" w:themeFillTint="000066" w:val="clear"/>
      </w:tcPr>
    </w:tblStylePr>
    <w:tblStylePr w:type="band1Horz">
      <w:tblPr/>
      <w:tcPr>
        <w:shd w:color="auto" w:fill="a1b8e1"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val="1"/>
    <w:unhideWhenUsed w:val="1"/>
    <w:rsid w:val="00687316"/>
    <w:pPr>
      <w:spacing w:after="0" w:line="240" w:lineRule="auto"/>
    </w:pPr>
    <w:rPr>
      <w:color w:val="000000" w:themeColor="text1"/>
    </w:rPr>
    <w:tblPr>
      <w:tblStyleRowBandSize w:val="1"/>
      <w:tblStyleColBandSize w:val="1"/>
      <w:tblBorders>
        <w:top w:color="ed7d31" w:space="0" w:sz="24" w:themeColor="accent2" w:val="single"/>
        <w:left w:color="ed7d31" w:space="0" w:sz="4" w:themeColor="accent2" w:val="single"/>
        <w:bottom w:color="ed7d31" w:space="0" w:sz="4" w:themeColor="accent2" w:val="single"/>
        <w:right w:color="ed7d31" w:space="0" w:sz="4" w:themeColor="accent2" w:val="single"/>
        <w:insideH w:color="ffffff" w:space="0" w:sz="4" w:themeColor="background1" w:val="single"/>
        <w:insideV w:color="ffffff" w:space="0" w:sz="4" w:themeColor="background1" w:val="single"/>
      </w:tblBorders>
    </w:tblPr>
    <w:tcPr>
      <w:shd w:color="auto" w:fill="fdf2ea" w:themeFill="accent2" w:themeFillTint="000019" w:val="clear"/>
    </w:tcPr>
    <w:tblStylePr w:type="firstRow">
      <w:rPr>
        <w:b w:val="1"/>
        <w:bCs w:val="1"/>
      </w:rPr>
      <w:tblPr/>
      <w:tcPr>
        <w:tcBorders>
          <w:top w:space="0" w:sz="0" w:val="nil"/>
          <w:left w:space="0" w:sz="0" w:val="nil"/>
          <w:bottom w:color="ed7d31"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9d470d"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9d470d" w:space="0" w:sz="4" w:themeColor="accent2" w:themeShade="000099" w:val="single"/>
          <w:insideV w:space="0" w:sz="0" w:val="nil"/>
        </w:tcBorders>
        <w:shd w:color="auto" w:fill="9d470d"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9d470d" w:themeFill="accent2" w:themeFillShade="000099" w:val="clear"/>
      </w:tcPr>
    </w:tblStylePr>
    <w:tblStylePr w:type="band1Vert">
      <w:tblPr/>
      <w:tcPr>
        <w:shd w:color="auto" w:fill="f7caac" w:themeFill="accent2" w:themeFillTint="000066" w:val="clear"/>
      </w:tcPr>
    </w:tblStylePr>
    <w:tblStylePr w:type="band1Horz">
      <w:tblPr/>
      <w:tcPr>
        <w:shd w:color="auto" w:fill="f6be98"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val="1"/>
    <w:unhideWhenUsed w:val="1"/>
    <w:rsid w:val="00687316"/>
    <w:pPr>
      <w:spacing w:after="0" w:line="240" w:lineRule="auto"/>
    </w:pPr>
    <w:rPr>
      <w:color w:val="000000" w:themeColor="text1"/>
    </w:rPr>
    <w:tblPr>
      <w:tblStyleRowBandSize w:val="1"/>
      <w:tblStyleColBandSize w:val="1"/>
      <w:tblBorders>
        <w:top w:color="ffc000" w:space="0" w:sz="24" w:themeColor="accent4" w:val="single"/>
        <w:left w:color="a5a5a5" w:space="0" w:sz="4" w:themeColor="accent3" w:val="single"/>
        <w:bottom w:color="a5a5a5" w:space="0" w:sz="4" w:themeColor="accent3" w:val="single"/>
        <w:right w:color="a5a5a5" w:space="0" w:sz="4" w:themeColor="accent3" w:val="single"/>
        <w:insideH w:color="ffffff" w:space="0" w:sz="4" w:themeColor="background1" w:val="single"/>
        <w:insideV w:color="ffffff" w:space="0" w:sz="4" w:themeColor="background1" w:val="single"/>
      </w:tblBorders>
    </w:tblPr>
    <w:tcPr>
      <w:shd w:color="auto" w:fill="f6f6f6" w:themeFill="accent3" w:themeFillTint="000019" w:val="clear"/>
    </w:tcPr>
    <w:tblStylePr w:type="firstRow">
      <w:rPr>
        <w:b w:val="1"/>
        <w:bCs w:val="1"/>
      </w:rPr>
      <w:tblPr/>
      <w:tcPr>
        <w:tcBorders>
          <w:top w:space="0" w:sz="0" w:val="nil"/>
          <w:left w:space="0" w:sz="0" w:val="nil"/>
          <w:bottom w:color="ffc000"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636363"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636363" w:space="0" w:sz="4" w:themeColor="accent3" w:themeShade="000099" w:val="single"/>
          <w:insideV w:space="0" w:sz="0" w:val="nil"/>
        </w:tcBorders>
        <w:shd w:color="auto" w:fill="636363"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636363" w:themeFill="accent3" w:themeFillShade="000099" w:val="clear"/>
      </w:tcPr>
    </w:tblStylePr>
    <w:tblStylePr w:type="band1Vert">
      <w:tblPr/>
      <w:tcPr>
        <w:shd w:color="auto" w:fill="dbdbdb" w:themeFill="accent3" w:themeFillTint="000066" w:val="clear"/>
      </w:tcPr>
    </w:tblStylePr>
    <w:tblStylePr w:type="band1Horz">
      <w:tblPr/>
      <w:tcPr>
        <w:shd w:color="auto" w:fill="d2d2d2" w:themeFill="accent3" w:themeFillTint="00007F" w:val="clear"/>
      </w:tcPr>
    </w:tblStylePr>
  </w:style>
  <w:style w:type="table" w:styleId="ColorfulShading-Accent4">
    <w:name w:val="Colorful Shading Accent 4"/>
    <w:basedOn w:val="TableNormal"/>
    <w:uiPriority w:val="71"/>
    <w:semiHidden w:val="1"/>
    <w:unhideWhenUsed w:val="1"/>
    <w:rsid w:val="00687316"/>
    <w:pPr>
      <w:spacing w:after="0" w:line="240" w:lineRule="auto"/>
    </w:pPr>
    <w:rPr>
      <w:color w:val="000000" w:themeColor="text1"/>
    </w:rPr>
    <w:tblPr>
      <w:tblStyleRowBandSize w:val="1"/>
      <w:tblStyleColBandSize w:val="1"/>
      <w:tblBorders>
        <w:top w:color="a5a5a5" w:space="0" w:sz="24" w:themeColor="accent3" w:val="single"/>
        <w:left w:color="ffc000" w:space="0" w:sz="4" w:themeColor="accent4" w:val="single"/>
        <w:bottom w:color="ffc000" w:space="0" w:sz="4" w:themeColor="accent4" w:val="single"/>
        <w:right w:color="ffc000" w:space="0" w:sz="4" w:themeColor="accent4" w:val="single"/>
        <w:insideH w:color="ffffff" w:space="0" w:sz="4" w:themeColor="background1" w:val="single"/>
        <w:insideV w:color="ffffff" w:space="0" w:sz="4" w:themeColor="background1" w:val="single"/>
      </w:tblBorders>
    </w:tblPr>
    <w:tcPr>
      <w:shd w:color="auto" w:fill="fff8e6" w:themeFill="accent4" w:themeFillTint="000019" w:val="clear"/>
    </w:tcPr>
    <w:tblStylePr w:type="firstRow">
      <w:rPr>
        <w:b w:val="1"/>
        <w:bCs w:val="1"/>
      </w:rPr>
      <w:tblPr/>
      <w:tcPr>
        <w:tcBorders>
          <w:top w:space="0" w:sz="0" w:val="nil"/>
          <w:left w:space="0" w:sz="0" w:val="nil"/>
          <w:bottom w:color="a5a5a5"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997300"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997300" w:space="0" w:sz="4" w:themeColor="accent4" w:themeShade="000099" w:val="single"/>
          <w:insideV w:space="0" w:sz="0" w:val="nil"/>
        </w:tcBorders>
        <w:shd w:color="auto" w:fill="997300"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997300" w:themeFill="accent4" w:themeFillShade="000099" w:val="clear"/>
      </w:tcPr>
    </w:tblStylePr>
    <w:tblStylePr w:type="band1Vert">
      <w:tblPr/>
      <w:tcPr>
        <w:shd w:color="auto" w:fill="ffe599" w:themeFill="accent4" w:themeFillTint="000066" w:val="clear"/>
      </w:tcPr>
    </w:tblStylePr>
    <w:tblStylePr w:type="band1Horz">
      <w:tblPr/>
      <w:tcPr>
        <w:shd w:color="auto" w:fill="ffdf8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val="1"/>
    <w:unhideWhenUsed w:val="1"/>
    <w:rsid w:val="00687316"/>
    <w:pPr>
      <w:spacing w:after="0" w:line="240" w:lineRule="auto"/>
    </w:pPr>
    <w:rPr>
      <w:color w:val="000000" w:themeColor="text1"/>
    </w:rPr>
    <w:tblPr>
      <w:tblStyleRowBandSize w:val="1"/>
      <w:tblStyleColBandSize w:val="1"/>
      <w:tblBorders>
        <w:top w:color="70ad47" w:space="0" w:sz="24" w:themeColor="accent6" w:val="single"/>
        <w:left w:color="5b9bd5" w:space="0" w:sz="4" w:themeColor="accent5" w:val="single"/>
        <w:bottom w:color="5b9bd5" w:space="0" w:sz="4" w:themeColor="accent5" w:val="single"/>
        <w:right w:color="5b9bd5" w:space="0" w:sz="4" w:themeColor="accent5" w:val="single"/>
        <w:insideH w:color="ffffff" w:space="0" w:sz="4" w:themeColor="background1" w:val="single"/>
        <w:insideV w:color="ffffff" w:space="0" w:sz="4" w:themeColor="background1" w:val="single"/>
      </w:tblBorders>
    </w:tblPr>
    <w:tcPr>
      <w:shd w:color="auto" w:fill="eef5fb" w:themeFill="accent5" w:themeFillTint="000019" w:val="clear"/>
    </w:tcPr>
    <w:tblStylePr w:type="firstRow">
      <w:rPr>
        <w:b w:val="1"/>
        <w:bCs w:val="1"/>
      </w:rPr>
      <w:tblPr/>
      <w:tcPr>
        <w:tcBorders>
          <w:top w:space="0" w:sz="0" w:val="nil"/>
          <w:left w:space="0" w:sz="0" w:val="nil"/>
          <w:bottom w:color="70ad47"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55d91"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55d91" w:space="0" w:sz="4" w:themeColor="accent5" w:themeShade="000099" w:val="single"/>
          <w:insideV w:space="0" w:sz="0" w:val="nil"/>
        </w:tcBorders>
        <w:shd w:color="auto" w:fill="255d91"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55d91" w:themeFill="accent5" w:themeFillShade="000099" w:val="clear"/>
      </w:tcPr>
    </w:tblStylePr>
    <w:tblStylePr w:type="band1Vert">
      <w:tblPr/>
      <w:tcPr>
        <w:shd w:color="auto" w:fill="bdd6ee" w:themeFill="accent5" w:themeFillTint="000066" w:val="clear"/>
      </w:tcPr>
    </w:tblStylePr>
    <w:tblStylePr w:type="band1Horz">
      <w:tblPr/>
      <w:tcPr>
        <w:shd w:color="auto" w:fill="adccea"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val="1"/>
    <w:unhideWhenUsed w:val="1"/>
    <w:rsid w:val="00687316"/>
    <w:pPr>
      <w:spacing w:after="0" w:line="240" w:lineRule="auto"/>
    </w:pPr>
    <w:rPr>
      <w:color w:val="000000" w:themeColor="text1"/>
    </w:rPr>
    <w:tblPr>
      <w:tblStyleRowBandSize w:val="1"/>
      <w:tblStyleColBandSize w:val="1"/>
      <w:tblBorders>
        <w:top w:color="5b9bd5" w:space="0" w:sz="24" w:themeColor="accent5" w:val="single"/>
        <w:left w:color="70ad47" w:space="0" w:sz="4" w:themeColor="accent6" w:val="single"/>
        <w:bottom w:color="70ad47" w:space="0" w:sz="4" w:themeColor="accent6" w:val="single"/>
        <w:right w:color="70ad47" w:space="0" w:sz="4" w:themeColor="accent6" w:val="single"/>
        <w:insideH w:color="ffffff" w:space="0" w:sz="4" w:themeColor="background1" w:val="single"/>
        <w:insideV w:color="ffffff" w:space="0" w:sz="4" w:themeColor="background1" w:val="single"/>
      </w:tblBorders>
    </w:tblPr>
    <w:tcPr>
      <w:shd w:color="auto" w:fill="f0f7ec" w:themeFill="accent6" w:themeFillTint="000019" w:val="clear"/>
    </w:tcPr>
    <w:tblStylePr w:type="firstRow">
      <w:rPr>
        <w:b w:val="1"/>
        <w:bCs w:val="1"/>
      </w:rPr>
      <w:tblPr/>
      <w:tcPr>
        <w:tcBorders>
          <w:top w:space="0" w:sz="0" w:val="nil"/>
          <w:left w:space="0" w:sz="0" w:val="nil"/>
          <w:bottom w:color="5b9bd5"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3672a"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43672a" w:space="0" w:sz="4" w:themeColor="accent6" w:themeShade="000099" w:val="single"/>
          <w:insideV w:space="0" w:sz="0" w:val="nil"/>
        </w:tcBorders>
        <w:shd w:color="auto" w:fill="43672a"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3672a" w:themeFill="accent6" w:themeFillShade="000099" w:val="clear"/>
      </w:tcPr>
    </w:tblStylePr>
    <w:tblStylePr w:type="band1Vert">
      <w:tblPr/>
      <w:tcPr>
        <w:shd w:color="auto" w:fill="c5e0b3" w:themeFill="accent6" w:themeFillTint="000066" w:val="clear"/>
      </w:tcPr>
    </w:tblStylePr>
    <w:tblStylePr w:type="band1Horz">
      <w:tblPr/>
      <w:tcPr>
        <w:shd w:color="auto" w:fill="b7d8a0" w:themeFill="accent6" w:themeFillTint="00007F" w:val="clear"/>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val="1"/>
    <w:unhideWhenUsed w:val="1"/>
    <w:rsid w:val="00687316"/>
    <w:rPr>
      <w:sz w:val="16"/>
      <w:szCs w:val="16"/>
      <w:lang w:val="en-GB"/>
    </w:rPr>
  </w:style>
  <w:style w:type="paragraph" w:styleId="CommentSubject">
    <w:name w:val="annotation subject"/>
    <w:basedOn w:val="CommentText"/>
    <w:next w:val="CommentText"/>
    <w:link w:val="CommentSubjectChar"/>
    <w:uiPriority w:val="99"/>
    <w:semiHidden w:val="1"/>
    <w:unhideWhenUsed w:val="1"/>
    <w:rsid w:val="00687316"/>
    <w:pPr>
      <w:overflowPunct w:val="1"/>
      <w:autoSpaceDE w:val="1"/>
      <w:autoSpaceDN w:val="1"/>
      <w:adjustRightInd w:val="1"/>
      <w:textAlignment w:val="auto"/>
    </w:pPr>
    <w:rPr>
      <w:rFonts w:cstheme="minorBidi" w:eastAsiaTheme="minorHAnsi"/>
      <w:b w:val="1"/>
      <w:bCs w:val="1"/>
    </w:rPr>
  </w:style>
  <w:style w:type="character" w:styleId="CommentSubjectChar" w:customStyle="1">
    <w:name w:val="Comment Subject Char"/>
    <w:basedOn w:val="CommentTextChar"/>
    <w:link w:val="CommentSubject"/>
    <w:uiPriority w:val="99"/>
    <w:semiHidden w:val="1"/>
    <w:rsid w:val="00687316"/>
    <w:rPr>
      <w:rFonts w:ascii="Arial" w:cs="Times New Roman" w:eastAsia="Times New Roman" w:hAnsi="Arial"/>
      <w:b w:val="1"/>
      <w:bCs w:val="1"/>
      <w:sz w:val="20"/>
      <w:szCs w:val="20"/>
      <w:lang w:val="en-GB"/>
    </w:rPr>
  </w:style>
  <w:style w:type="table" w:styleId="DarkList">
    <w:name w:val="Dark List"/>
    <w:basedOn w:val="TableNormal"/>
    <w:uiPriority w:val="70"/>
    <w:semiHidden w:val="1"/>
    <w:unhideWhenUsed w:val="1"/>
    <w:rsid w:val="00687316"/>
    <w:pPr>
      <w:spacing w:after="0" w:line="240" w:lineRule="auto"/>
    </w:pPr>
    <w:rPr>
      <w:color w:val="ffffff" w:themeColor="background1"/>
    </w:rPr>
    <w:tblPr>
      <w:tblStyleRowBandSize w:val="1"/>
      <w:tblStyleColBandSize w:val="1"/>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semiHidden w:val="1"/>
    <w:unhideWhenUsed w:val="1"/>
    <w:rsid w:val="00687316"/>
    <w:pPr>
      <w:spacing w:after="0" w:line="240" w:lineRule="auto"/>
    </w:pPr>
    <w:rPr>
      <w:color w:val="ffffff" w:themeColor="background1"/>
    </w:rPr>
    <w:tblPr>
      <w:tblStyleRowBandSize w:val="1"/>
      <w:tblStyleColBandSize w:val="1"/>
    </w:tblPr>
    <w:tcPr>
      <w:shd w:color="auto" w:fill="4472c4"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1f3763"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2f5496"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2f5496"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2f5496"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2f5496" w:themeFill="accent1" w:themeFillShade="0000BF" w:val="clear"/>
      </w:tcPr>
    </w:tblStylePr>
  </w:style>
  <w:style w:type="table" w:styleId="DarkList-Accent2">
    <w:name w:val="Dark List Accent 2"/>
    <w:basedOn w:val="TableNormal"/>
    <w:uiPriority w:val="70"/>
    <w:semiHidden w:val="1"/>
    <w:unhideWhenUsed w:val="1"/>
    <w:rsid w:val="00687316"/>
    <w:pPr>
      <w:spacing w:after="0" w:line="240" w:lineRule="auto"/>
    </w:pPr>
    <w:rPr>
      <w:color w:val="ffffff" w:themeColor="background1"/>
    </w:rPr>
    <w:tblPr>
      <w:tblStyleRowBandSize w:val="1"/>
      <w:tblStyleColBandSize w:val="1"/>
    </w:tblPr>
    <w:tcPr>
      <w:shd w:color="auto" w:fill="ed7d31"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823b0b"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c45911"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c45911"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c45911"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c45911" w:themeFill="accent2" w:themeFillShade="0000BF" w:val="clear"/>
      </w:tcPr>
    </w:tblStylePr>
  </w:style>
  <w:style w:type="table" w:styleId="DarkList-Accent3">
    <w:name w:val="Dark List Accent 3"/>
    <w:basedOn w:val="TableNormal"/>
    <w:uiPriority w:val="70"/>
    <w:semiHidden w:val="1"/>
    <w:unhideWhenUsed w:val="1"/>
    <w:rsid w:val="00687316"/>
    <w:pPr>
      <w:spacing w:after="0" w:line="240" w:lineRule="auto"/>
    </w:pPr>
    <w:rPr>
      <w:color w:val="ffffff" w:themeColor="background1"/>
    </w:rPr>
    <w:tblPr>
      <w:tblStyleRowBandSize w:val="1"/>
      <w:tblStyleColBandSize w:val="1"/>
    </w:tblPr>
    <w:tcPr>
      <w:shd w:color="auto" w:fill="a5a5a5"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525252"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b7b7b"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b7b7b"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b7b7b"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b7b7b" w:themeFill="accent3" w:themeFillShade="0000BF" w:val="clear"/>
      </w:tcPr>
    </w:tblStylePr>
  </w:style>
  <w:style w:type="table" w:styleId="DarkList-Accent4">
    <w:name w:val="Dark List Accent 4"/>
    <w:basedOn w:val="TableNormal"/>
    <w:uiPriority w:val="70"/>
    <w:semiHidden w:val="1"/>
    <w:unhideWhenUsed w:val="1"/>
    <w:rsid w:val="00687316"/>
    <w:pPr>
      <w:spacing w:after="0" w:line="240" w:lineRule="auto"/>
    </w:pPr>
    <w:rPr>
      <w:color w:val="ffffff" w:themeColor="background1"/>
    </w:rPr>
    <w:tblPr>
      <w:tblStyleRowBandSize w:val="1"/>
      <w:tblStyleColBandSize w:val="1"/>
    </w:tblPr>
    <w:tcPr>
      <w:shd w:color="auto" w:fill="ffc000"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7f5f00"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bf8f00"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bf8f00"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bf8f00"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bf8f00" w:themeFill="accent4" w:themeFillShade="0000BF" w:val="clear"/>
      </w:tcPr>
    </w:tblStylePr>
  </w:style>
  <w:style w:type="table" w:styleId="DarkList-Accent5">
    <w:name w:val="Dark List Accent 5"/>
    <w:basedOn w:val="TableNormal"/>
    <w:uiPriority w:val="70"/>
    <w:semiHidden w:val="1"/>
    <w:unhideWhenUsed w:val="1"/>
    <w:rsid w:val="00687316"/>
    <w:pPr>
      <w:spacing w:after="0" w:line="240" w:lineRule="auto"/>
    </w:pPr>
    <w:rPr>
      <w:color w:val="ffffff" w:themeColor="background1"/>
    </w:rPr>
    <w:tblPr>
      <w:tblStyleRowBandSize w:val="1"/>
      <w:tblStyleColBandSize w:val="1"/>
    </w:tblPr>
    <w:tcPr>
      <w:shd w:color="auto" w:fill="5b9bd5"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1f4d78"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2e74b5"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2e74b5"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2e74b5"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2e74b5" w:themeFill="accent5" w:themeFillShade="0000BF" w:val="clear"/>
      </w:tcPr>
    </w:tblStylePr>
  </w:style>
  <w:style w:type="table" w:styleId="DarkList-Accent6">
    <w:name w:val="Dark List Accent 6"/>
    <w:basedOn w:val="TableNormal"/>
    <w:uiPriority w:val="70"/>
    <w:semiHidden w:val="1"/>
    <w:unhideWhenUsed w:val="1"/>
    <w:rsid w:val="00687316"/>
    <w:pPr>
      <w:spacing w:after="0" w:line="240" w:lineRule="auto"/>
    </w:pPr>
    <w:rPr>
      <w:color w:val="ffffff" w:themeColor="background1"/>
    </w:rPr>
    <w:tblPr>
      <w:tblStyleRowBandSize w:val="1"/>
      <w:tblStyleColBandSize w:val="1"/>
    </w:tblPr>
    <w:tcPr>
      <w:shd w:color="auto" w:fill="70ad47"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75623"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38135"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38135"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38135"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38135" w:themeFill="accent6" w:themeFillShade="0000BF" w:val="clear"/>
      </w:tcPr>
    </w:tblStylePr>
  </w:style>
  <w:style w:type="paragraph" w:styleId="Date">
    <w:name w:val="Date"/>
    <w:basedOn w:val="Normal"/>
    <w:next w:val="Normal"/>
    <w:link w:val="DateChar"/>
    <w:uiPriority w:val="99"/>
    <w:semiHidden w:val="1"/>
    <w:unhideWhenUsed w:val="1"/>
    <w:rsid w:val="00687316"/>
  </w:style>
  <w:style w:type="character" w:styleId="DateChar" w:customStyle="1">
    <w:name w:val="Date Char"/>
    <w:basedOn w:val="DefaultParagraphFont"/>
    <w:link w:val="Date"/>
    <w:uiPriority w:val="99"/>
    <w:semiHidden w:val="1"/>
    <w:rsid w:val="00687316"/>
    <w:rPr>
      <w:rFonts w:ascii="Arial" w:hAnsi="Arial"/>
      <w:sz w:val="20"/>
      <w:lang w:val="en-GB"/>
    </w:rPr>
  </w:style>
  <w:style w:type="paragraph" w:styleId="DocumentMap">
    <w:name w:val="Document Map"/>
    <w:basedOn w:val="Normal"/>
    <w:link w:val="DocumentMapChar"/>
    <w:uiPriority w:val="99"/>
    <w:semiHidden w:val="1"/>
    <w:unhideWhenUsed w:val="1"/>
    <w:rsid w:val="00687316"/>
    <w:pPr>
      <w:spacing w:after="0"/>
    </w:pPr>
    <w:rPr>
      <w:rFonts w:ascii="Segoe UI" w:cs="Segoe UI" w:hAnsi="Segoe UI"/>
      <w:sz w:val="16"/>
      <w:szCs w:val="16"/>
    </w:rPr>
  </w:style>
  <w:style w:type="character" w:styleId="DocumentMapChar" w:customStyle="1">
    <w:name w:val="Document Map Char"/>
    <w:basedOn w:val="DefaultParagraphFont"/>
    <w:link w:val="DocumentMap"/>
    <w:uiPriority w:val="99"/>
    <w:semiHidden w:val="1"/>
    <w:rsid w:val="00687316"/>
    <w:rPr>
      <w:rFonts w:ascii="Segoe UI" w:cs="Segoe UI" w:hAnsi="Segoe UI"/>
      <w:sz w:val="16"/>
      <w:szCs w:val="16"/>
      <w:lang w:val="en-GB"/>
    </w:rPr>
  </w:style>
  <w:style w:type="paragraph" w:styleId="E-mailSignature">
    <w:name w:val="E-mail Signature"/>
    <w:basedOn w:val="Normal"/>
    <w:link w:val="E-mailSignatureChar"/>
    <w:uiPriority w:val="99"/>
    <w:semiHidden w:val="1"/>
    <w:unhideWhenUsed w:val="1"/>
    <w:rsid w:val="00687316"/>
    <w:pPr>
      <w:spacing w:after="0"/>
    </w:pPr>
  </w:style>
  <w:style w:type="character" w:styleId="E-mailSignatureChar" w:customStyle="1">
    <w:name w:val="E-mail Signature Char"/>
    <w:basedOn w:val="DefaultParagraphFont"/>
    <w:link w:val="E-mailSignature"/>
    <w:uiPriority w:val="99"/>
    <w:semiHidden w:val="1"/>
    <w:rsid w:val="00687316"/>
    <w:rPr>
      <w:rFonts w:ascii="Arial" w:hAnsi="Arial"/>
      <w:sz w:val="20"/>
      <w:lang w:val="en-GB"/>
    </w:rPr>
  </w:style>
  <w:style w:type="character" w:styleId="Emphasis">
    <w:name w:val="Emphasis"/>
    <w:basedOn w:val="DefaultParagraphFont"/>
    <w:uiPriority w:val="20"/>
    <w:rsid w:val="00687316"/>
    <w:rPr>
      <w:i w:val="1"/>
      <w:iCs w:val="1"/>
      <w:lang w:val="en-GB"/>
    </w:rPr>
  </w:style>
  <w:style w:type="paragraph" w:styleId="EnvelopeAddress">
    <w:name w:val="envelope address"/>
    <w:basedOn w:val="Normal"/>
    <w:uiPriority w:val="99"/>
    <w:semiHidden w:val="1"/>
    <w:unhideWhenUsed w:val="1"/>
    <w:rsid w:val="00687316"/>
    <w:pPr>
      <w:framePr w:lines="0" w:w="7920" w:h="1980" w:hSpace="180" w:wrap="auto" w:hAnchor="page" w:xAlign="center" w:yAlign="bottom" w:hRule="exact"/>
      <w:spacing w:after="0"/>
      <w:ind w:left="2880"/>
    </w:pPr>
    <w:rPr>
      <w:rFonts w:asciiTheme="majorHAnsi" w:cstheme="majorBidi" w:eastAsiaTheme="majorEastAsia" w:hAnsiTheme="majorHAnsi"/>
    </w:rPr>
  </w:style>
  <w:style w:type="paragraph" w:styleId="EnvelopeReturn">
    <w:name w:val="envelope return"/>
    <w:basedOn w:val="Normal"/>
    <w:uiPriority w:val="99"/>
    <w:semiHidden w:val="1"/>
    <w:unhideWhenUsed w:val="1"/>
    <w:rsid w:val="00687316"/>
    <w:pPr>
      <w:spacing w:after="0"/>
    </w:pPr>
    <w:rPr>
      <w:rFonts w:asciiTheme="majorHAnsi" w:cstheme="majorBidi" w:eastAsiaTheme="majorEastAsia" w:hAnsiTheme="majorHAnsi"/>
      <w:szCs w:val="20"/>
    </w:rPr>
  </w:style>
  <w:style w:type="character" w:styleId="FollowedHyperlink">
    <w:name w:val="FollowedHyperlink"/>
    <w:basedOn w:val="DefaultParagraphFont"/>
    <w:uiPriority w:val="99"/>
    <w:semiHidden w:val="1"/>
    <w:unhideWhenUsed w:val="1"/>
    <w:rsid w:val="00687316"/>
    <w:rPr>
      <w:color w:val="954f72" w:themeColor="followedHyperlink"/>
      <w:u w:val="single"/>
      <w:lang w:val="en-GB"/>
    </w:rPr>
  </w:style>
  <w:style w:type="table" w:styleId="GridTable1Light">
    <w:name w:val="Grid Table 1 Light"/>
    <w:basedOn w:val="TableNormal"/>
    <w:uiPriority w:val="46"/>
    <w:rsid w:val="00687316"/>
    <w:pPr>
      <w:spacing w:after="0" w:line="240" w:lineRule="auto"/>
    </w:pPr>
    <w:tblPr>
      <w:tblStyleRowBandSize w:val="1"/>
      <w:tblStyleColBandSize w:val="1"/>
      <w:tblBorders>
        <w:top w:color="999999" w:space="0" w:sz="4" w:themeColor="text1" w:themeTint="000066" w:val="single"/>
        <w:left w:color="999999" w:space="0" w:sz="4" w:themeColor="text1" w:themeTint="000066" w:val="single"/>
        <w:bottom w:color="999999" w:space="0" w:sz="4" w:themeColor="text1" w:themeTint="000066" w:val="single"/>
        <w:right w:color="999999" w:space="0" w:sz="4" w:themeColor="text1" w:themeTint="000066" w:val="single"/>
        <w:insideH w:color="999999" w:space="0" w:sz="4" w:themeColor="text1" w:themeTint="000066" w:val="single"/>
        <w:insideV w:color="999999" w:space="0" w:sz="4" w:themeColor="text1" w:themeTint="000066" w:val="single"/>
      </w:tblBorders>
    </w:tblPr>
    <w:tblStylePr w:type="firstRow">
      <w:rPr>
        <w:b w:val="1"/>
        <w:bCs w:val="1"/>
      </w:rPr>
      <w:tblPr/>
      <w:tcPr>
        <w:tcBorders>
          <w:bottom w:color="666666" w:space="0" w:sz="12" w:themeColor="text1" w:themeTint="000099" w:val="single"/>
        </w:tcBorders>
      </w:tcPr>
    </w:tblStylePr>
    <w:tblStylePr w:type="lastRow">
      <w:rPr>
        <w:b w:val="1"/>
        <w:bCs w:val="1"/>
      </w:rPr>
      <w:tblPr/>
      <w:tcPr>
        <w:tcBorders>
          <w:top w:color="666666" w:space="0" w:sz="2" w:themeColor="text1" w:themeTint="000099" w:val="double"/>
        </w:tcBorders>
      </w:tcPr>
    </w:tblStylePr>
    <w:tblStylePr w:type="firstCol">
      <w:rPr>
        <w:b w:val="1"/>
        <w:bCs w:val="1"/>
      </w:rPr>
    </w:tblStylePr>
    <w:tblStylePr w:type="lastCol">
      <w:rPr>
        <w:b w:val="1"/>
        <w:bCs w:val="1"/>
      </w:rPr>
    </w:tblStylePr>
  </w:style>
  <w:style w:type="table" w:styleId="GridTable1Light-Accent1">
    <w:name w:val="Grid Table 1 Light Accent 1"/>
    <w:basedOn w:val="TableNormal"/>
    <w:uiPriority w:val="46"/>
    <w:rsid w:val="00687316"/>
    <w:pPr>
      <w:spacing w:after="0" w:line="240" w:lineRule="auto"/>
    </w:pPr>
    <w:tblPr>
      <w:tblStyleRowBandSize w:val="1"/>
      <w:tblStyleColBandSize w:val="1"/>
      <w:tblBorders>
        <w:top w:color="b4c6e7" w:space="0" w:sz="4" w:themeColor="accent1" w:themeTint="000066" w:val="single"/>
        <w:left w:color="b4c6e7" w:space="0" w:sz="4" w:themeColor="accent1" w:themeTint="000066" w:val="single"/>
        <w:bottom w:color="b4c6e7" w:space="0" w:sz="4" w:themeColor="accent1" w:themeTint="000066" w:val="single"/>
        <w:right w:color="b4c6e7" w:space="0" w:sz="4" w:themeColor="accent1" w:themeTint="000066" w:val="single"/>
        <w:insideH w:color="b4c6e7" w:space="0" w:sz="4" w:themeColor="accent1" w:themeTint="000066" w:val="single"/>
        <w:insideV w:color="b4c6e7" w:space="0" w:sz="4" w:themeColor="accent1" w:themeTint="000066" w:val="single"/>
      </w:tblBorders>
    </w:tblPr>
    <w:tblStylePr w:type="firstRow">
      <w:rPr>
        <w:b w:val="1"/>
        <w:bCs w:val="1"/>
      </w:rPr>
      <w:tblPr/>
      <w:tcPr>
        <w:tcBorders>
          <w:bottom w:color="8eaadb" w:space="0" w:sz="12" w:themeColor="accent1" w:themeTint="000099" w:val="single"/>
        </w:tcBorders>
      </w:tcPr>
    </w:tblStylePr>
    <w:tblStylePr w:type="lastRow">
      <w:rPr>
        <w:b w:val="1"/>
        <w:bCs w:val="1"/>
      </w:rPr>
      <w:tblPr/>
      <w:tcPr>
        <w:tcBorders>
          <w:top w:color="8eaadb" w:space="0" w:sz="2" w:themeColor="accent1" w:themeTint="000099" w:val="double"/>
        </w:tcBorders>
      </w:tcPr>
    </w:tblStylePr>
    <w:tblStylePr w:type="firstCol">
      <w:rPr>
        <w:b w:val="1"/>
        <w:bCs w:val="1"/>
      </w:rPr>
    </w:tblStylePr>
    <w:tblStylePr w:type="lastCol">
      <w:rPr>
        <w:b w:val="1"/>
        <w:bCs w:val="1"/>
      </w:rPr>
    </w:tblStylePr>
  </w:style>
  <w:style w:type="table" w:styleId="GridTable1Light-Accent2">
    <w:name w:val="Grid Table 1 Light Accent 2"/>
    <w:basedOn w:val="TableNormal"/>
    <w:uiPriority w:val="46"/>
    <w:rsid w:val="00687316"/>
    <w:pPr>
      <w:spacing w:after="0" w:line="240" w:lineRule="auto"/>
    </w:pPr>
    <w:tblPr>
      <w:tblStyleRowBandSize w:val="1"/>
      <w:tblStyleColBandSize w:val="1"/>
      <w:tblBorders>
        <w:top w:color="f7caac" w:space="0" w:sz="4" w:themeColor="accent2" w:themeTint="000066" w:val="single"/>
        <w:left w:color="f7caac" w:space="0" w:sz="4" w:themeColor="accent2" w:themeTint="000066" w:val="single"/>
        <w:bottom w:color="f7caac" w:space="0" w:sz="4" w:themeColor="accent2" w:themeTint="000066" w:val="single"/>
        <w:right w:color="f7caac" w:space="0" w:sz="4" w:themeColor="accent2" w:themeTint="000066" w:val="single"/>
        <w:insideH w:color="f7caac" w:space="0" w:sz="4" w:themeColor="accent2" w:themeTint="000066" w:val="single"/>
        <w:insideV w:color="f7caac" w:space="0" w:sz="4" w:themeColor="accent2" w:themeTint="000066" w:val="single"/>
      </w:tblBorders>
    </w:tblPr>
    <w:tblStylePr w:type="firstRow">
      <w:rPr>
        <w:b w:val="1"/>
        <w:bCs w:val="1"/>
      </w:rPr>
      <w:tblPr/>
      <w:tcPr>
        <w:tcBorders>
          <w:bottom w:color="f4b083" w:space="0" w:sz="12" w:themeColor="accent2" w:themeTint="000099" w:val="single"/>
        </w:tcBorders>
      </w:tcPr>
    </w:tblStylePr>
    <w:tblStylePr w:type="lastRow">
      <w:rPr>
        <w:b w:val="1"/>
        <w:bCs w:val="1"/>
      </w:rPr>
      <w:tblPr/>
      <w:tcPr>
        <w:tcBorders>
          <w:top w:color="f4b083" w:space="0" w:sz="2" w:themeColor="accent2" w:themeTint="000099" w:val="double"/>
        </w:tcBorders>
      </w:tcPr>
    </w:tblStylePr>
    <w:tblStylePr w:type="firstCol">
      <w:rPr>
        <w:b w:val="1"/>
        <w:bCs w:val="1"/>
      </w:rPr>
    </w:tblStylePr>
    <w:tblStylePr w:type="lastCol">
      <w:rPr>
        <w:b w:val="1"/>
        <w:bCs w:val="1"/>
      </w:rPr>
    </w:tblStylePr>
  </w:style>
  <w:style w:type="table" w:styleId="GridTable1Light-Accent3">
    <w:name w:val="Grid Table 1 Light Accent 3"/>
    <w:basedOn w:val="TableNormal"/>
    <w:uiPriority w:val="46"/>
    <w:rsid w:val="00687316"/>
    <w:pPr>
      <w:spacing w:after="0" w:line="240" w:lineRule="auto"/>
    </w:pPr>
    <w:tblPr>
      <w:tblStyleRowBandSize w:val="1"/>
      <w:tblStyleColBandSize w:val="1"/>
      <w:tblBorders>
        <w:top w:color="dbdbdb" w:space="0" w:sz="4" w:themeColor="accent3" w:themeTint="000066" w:val="single"/>
        <w:left w:color="dbdbdb" w:space="0" w:sz="4" w:themeColor="accent3" w:themeTint="000066" w:val="single"/>
        <w:bottom w:color="dbdbdb" w:space="0" w:sz="4" w:themeColor="accent3" w:themeTint="000066" w:val="single"/>
        <w:right w:color="dbdbdb" w:space="0" w:sz="4" w:themeColor="accent3" w:themeTint="000066" w:val="single"/>
        <w:insideH w:color="dbdbdb" w:space="0" w:sz="4" w:themeColor="accent3" w:themeTint="000066" w:val="single"/>
        <w:insideV w:color="dbdbdb" w:space="0" w:sz="4" w:themeColor="accent3" w:themeTint="000066" w:val="single"/>
      </w:tblBorders>
    </w:tblPr>
    <w:tblStylePr w:type="firstRow">
      <w:rPr>
        <w:b w:val="1"/>
        <w:bCs w:val="1"/>
      </w:rPr>
      <w:tblPr/>
      <w:tcPr>
        <w:tcBorders>
          <w:bottom w:color="c9c9c9" w:space="0" w:sz="12" w:themeColor="accent3" w:themeTint="000099" w:val="single"/>
        </w:tcBorders>
      </w:tcPr>
    </w:tblStylePr>
    <w:tblStylePr w:type="lastRow">
      <w:rPr>
        <w:b w:val="1"/>
        <w:bCs w:val="1"/>
      </w:rPr>
      <w:tblPr/>
      <w:tcPr>
        <w:tcBorders>
          <w:top w:color="c9c9c9" w:space="0" w:sz="2" w:themeColor="accent3" w:themeTint="000099" w:val="double"/>
        </w:tcBorders>
      </w:tcPr>
    </w:tblStylePr>
    <w:tblStylePr w:type="firstCol">
      <w:rPr>
        <w:b w:val="1"/>
        <w:bCs w:val="1"/>
      </w:rPr>
    </w:tblStylePr>
    <w:tblStylePr w:type="lastCol">
      <w:rPr>
        <w:b w:val="1"/>
        <w:bCs w:val="1"/>
      </w:rPr>
    </w:tblStylePr>
  </w:style>
  <w:style w:type="table" w:styleId="GridTable1Light-Accent4">
    <w:name w:val="Grid Table 1 Light Accent 4"/>
    <w:basedOn w:val="TableNormal"/>
    <w:uiPriority w:val="46"/>
    <w:rsid w:val="00687316"/>
    <w:pPr>
      <w:spacing w:after="0" w:line="240" w:lineRule="auto"/>
    </w:pPr>
    <w:tblPr>
      <w:tblStyleRowBandSize w:val="1"/>
      <w:tblStyleColBandSize w:val="1"/>
      <w:tblBorders>
        <w:top w:color="ffe599" w:space="0" w:sz="4" w:themeColor="accent4" w:themeTint="000066" w:val="single"/>
        <w:left w:color="ffe599" w:space="0" w:sz="4" w:themeColor="accent4" w:themeTint="000066" w:val="single"/>
        <w:bottom w:color="ffe599" w:space="0" w:sz="4" w:themeColor="accent4" w:themeTint="000066" w:val="single"/>
        <w:right w:color="ffe599" w:space="0" w:sz="4" w:themeColor="accent4" w:themeTint="000066" w:val="single"/>
        <w:insideH w:color="ffe599" w:space="0" w:sz="4" w:themeColor="accent4" w:themeTint="000066" w:val="single"/>
        <w:insideV w:color="ffe599" w:space="0" w:sz="4" w:themeColor="accent4" w:themeTint="000066" w:val="single"/>
      </w:tblBorders>
    </w:tblPr>
    <w:tblStylePr w:type="firstRow">
      <w:rPr>
        <w:b w:val="1"/>
        <w:bCs w:val="1"/>
      </w:rPr>
      <w:tblPr/>
      <w:tcPr>
        <w:tcBorders>
          <w:bottom w:color="ffd966" w:space="0" w:sz="12" w:themeColor="accent4" w:themeTint="000099" w:val="single"/>
        </w:tcBorders>
      </w:tcPr>
    </w:tblStylePr>
    <w:tblStylePr w:type="lastRow">
      <w:rPr>
        <w:b w:val="1"/>
        <w:bCs w:val="1"/>
      </w:rPr>
      <w:tblPr/>
      <w:tcPr>
        <w:tcBorders>
          <w:top w:color="ffd966" w:space="0" w:sz="2" w:themeColor="accent4" w:themeTint="000099" w:val="double"/>
        </w:tcBorders>
      </w:tcPr>
    </w:tblStylePr>
    <w:tblStylePr w:type="firstCol">
      <w:rPr>
        <w:b w:val="1"/>
        <w:bCs w:val="1"/>
      </w:rPr>
    </w:tblStylePr>
    <w:tblStylePr w:type="lastCol">
      <w:rPr>
        <w:b w:val="1"/>
        <w:bCs w:val="1"/>
      </w:rPr>
    </w:tblStylePr>
  </w:style>
  <w:style w:type="table" w:styleId="GridTable1Light-Accent5">
    <w:name w:val="Grid Table 1 Light Accent 5"/>
    <w:basedOn w:val="TableNormal"/>
    <w:uiPriority w:val="46"/>
    <w:rsid w:val="00687316"/>
    <w:pPr>
      <w:spacing w:after="0" w:line="240" w:lineRule="auto"/>
    </w:pPr>
    <w:tblPr>
      <w:tblStyleRowBandSize w:val="1"/>
      <w:tblStyleColBandSize w:val="1"/>
      <w:tblBorders>
        <w:top w:color="bdd6ee" w:space="0" w:sz="4" w:themeColor="accent5" w:themeTint="000066" w:val="single"/>
        <w:left w:color="bdd6ee" w:space="0" w:sz="4" w:themeColor="accent5" w:themeTint="000066" w:val="single"/>
        <w:bottom w:color="bdd6ee" w:space="0" w:sz="4" w:themeColor="accent5" w:themeTint="000066" w:val="single"/>
        <w:right w:color="bdd6ee" w:space="0" w:sz="4" w:themeColor="accent5" w:themeTint="000066" w:val="single"/>
        <w:insideH w:color="bdd6ee" w:space="0" w:sz="4" w:themeColor="accent5" w:themeTint="000066" w:val="single"/>
        <w:insideV w:color="bdd6ee" w:space="0" w:sz="4" w:themeColor="accent5" w:themeTint="000066" w:val="single"/>
      </w:tblBorders>
    </w:tblPr>
    <w:tblStylePr w:type="firstRow">
      <w:rPr>
        <w:b w:val="1"/>
        <w:bCs w:val="1"/>
      </w:rPr>
      <w:tblPr/>
      <w:tcPr>
        <w:tcBorders>
          <w:bottom w:color="9cc2e5" w:space="0" w:sz="12" w:themeColor="accent5" w:themeTint="000099" w:val="single"/>
        </w:tcBorders>
      </w:tcPr>
    </w:tblStylePr>
    <w:tblStylePr w:type="lastRow">
      <w:rPr>
        <w:b w:val="1"/>
        <w:bCs w:val="1"/>
      </w:rPr>
      <w:tblPr/>
      <w:tcPr>
        <w:tcBorders>
          <w:top w:color="9cc2e5" w:space="0" w:sz="2" w:themeColor="accent5" w:themeTint="000099" w:val="double"/>
        </w:tcBorders>
      </w:tcPr>
    </w:tblStylePr>
    <w:tblStylePr w:type="firstCol">
      <w:rPr>
        <w:b w:val="1"/>
        <w:bCs w:val="1"/>
      </w:rPr>
    </w:tblStylePr>
    <w:tblStylePr w:type="lastCol">
      <w:rPr>
        <w:b w:val="1"/>
        <w:bCs w:val="1"/>
      </w:rPr>
    </w:tblStylePr>
  </w:style>
  <w:style w:type="table" w:styleId="GridTable1Light-Accent6">
    <w:name w:val="Grid Table 1 Light Accent 6"/>
    <w:basedOn w:val="TableNormal"/>
    <w:uiPriority w:val="46"/>
    <w:rsid w:val="00687316"/>
    <w:pPr>
      <w:spacing w:after="0" w:line="240" w:lineRule="auto"/>
    </w:pPr>
    <w:tblPr>
      <w:tblStyleRowBandSize w:val="1"/>
      <w:tblStyleColBandSize w:val="1"/>
      <w:tblBorders>
        <w:top w:color="c5e0b3" w:space="0" w:sz="4" w:themeColor="accent6" w:themeTint="000066" w:val="single"/>
        <w:left w:color="c5e0b3" w:space="0" w:sz="4" w:themeColor="accent6" w:themeTint="000066" w:val="single"/>
        <w:bottom w:color="c5e0b3" w:space="0" w:sz="4" w:themeColor="accent6" w:themeTint="000066" w:val="single"/>
        <w:right w:color="c5e0b3" w:space="0" w:sz="4" w:themeColor="accent6" w:themeTint="000066" w:val="single"/>
        <w:insideH w:color="c5e0b3" w:space="0" w:sz="4" w:themeColor="accent6" w:themeTint="000066" w:val="single"/>
        <w:insideV w:color="c5e0b3" w:space="0" w:sz="4" w:themeColor="accent6" w:themeTint="000066" w:val="single"/>
      </w:tblBorders>
    </w:tblPr>
    <w:tblStylePr w:type="firstRow">
      <w:rPr>
        <w:b w:val="1"/>
        <w:bCs w:val="1"/>
      </w:rPr>
      <w:tblPr/>
      <w:tcPr>
        <w:tcBorders>
          <w:bottom w:color="a8d08d" w:space="0" w:sz="12" w:themeColor="accent6" w:themeTint="000099" w:val="single"/>
        </w:tcBorders>
      </w:tcPr>
    </w:tblStylePr>
    <w:tblStylePr w:type="lastRow">
      <w:rPr>
        <w:b w:val="1"/>
        <w:bCs w:val="1"/>
      </w:rPr>
      <w:tblPr/>
      <w:tcPr>
        <w:tcBorders>
          <w:top w:color="a8d08d" w:space="0" w:sz="2" w:themeColor="accent6" w:themeTint="000099" w:val="double"/>
        </w:tcBorders>
      </w:tcPr>
    </w:tblStylePr>
    <w:tblStylePr w:type="firstCol">
      <w:rPr>
        <w:b w:val="1"/>
        <w:bCs w:val="1"/>
      </w:rPr>
    </w:tblStylePr>
    <w:tblStylePr w:type="lastCol">
      <w:rPr>
        <w:b w:val="1"/>
        <w:bCs w:val="1"/>
      </w:rPr>
    </w:tblStylePr>
  </w:style>
  <w:style w:type="table" w:styleId="GridTable2">
    <w:name w:val="Grid Table 2"/>
    <w:basedOn w:val="TableNormal"/>
    <w:uiPriority w:val="47"/>
    <w:rsid w:val="00687316"/>
    <w:pPr>
      <w:spacing w:after="0" w:line="240" w:lineRule="auto"/>
    </w:pPr>
    <w:tblPr>
      <w:tblStyleRowBandSize w:val="1"/>
      <w:tblStyleColBandSize w:val="1"/>
      <w:tblBorders>
        <w:top w:color="666666" w:space="0" w:sz="2" w:themeColor="text1" w:themeTint="000099" w:val="single"/>
        <w:bottom w:color="666666" w:space="0" w:sz="2" w:themeColor="text1" w:themeTint="000099" w:val="single"/>
        <w:insideH w:color="666666" w:space="0" w:sz="2" w:themeColor="text1" w:themeTint="000099" w:val="single"/>
        <w:insideV w:color="666666" w:space="0" w:sz="2" w:themeColor="text1" w:themeTint="000099" w:val="single"/>
      </w:tblBorders>
    </w:tblPr>
    <w:tblStylePr w:type="firstRow">
      <w:rPr>
        <w:b w:val="1"/>
        <w:bCs w:val="1"/>
      </w:rPr>
      <w:tblPr/>
      <w:tcPr>
        <w:tcBorders>
          <w:top w:space="0" w:sz="0" w:val="nil"/>
          <w:bottom w:color="666666" w:space="0" w:sz="12" w:themeColor="text1" w:themeTint="000099" w:val="single"/>
          <w:insideH w:space="0" w:sz="0" w:val="nil"/>
          <w:insideV w:space="0" w:sz="0" w:val="nil"/>
        </w:tcBorders>
        <w:shd w:color="auto" w:fill="ffffff" w:themeFill="background1" w:val="clear"/>
      </w:tcPr>
    </w:tblStylePr>
    <w:tblStylePr w:type="lastRow">
      <w:rPr>
        <w:b w:val="1"/>
        <w:bCs w:val="1"/>
      </w:rPr>
      <w:tblPr/>
      <w:tcPr>
        <w:tcBorders>
          <w:top w:color="666666" w:space="0" w:sz="2" w:themeColor="text1"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GridTable2-Accent1">
    <w:name w:val="Grid Table 2 Accent 1"/>
    <w:basedOn w:val="TableNormal"/>
    <w:uiPriority w:val="47"/>
    <w:rsid w:val="00687316"/>
    <w:pPr>
      <w:spacing w:after="0" w:line="240" w:lineRule="auto"/>
    </w:pPr>
    <w:tblPr>
      <w:tblStyleRowBandSize w:val="1"/>
      <w:tblStyleColBandSize w:val="1"/>
      <w:tblBorders>
        <w:top w:color="8eaadb" w:space="0" w:sz="2" w:themeColor="accent1" w:themeTint="000099" w:val="single"/>
        <w:bottom w:color="8eaadb" w:space="0" w:sz="2" w:themeColor="accent1" w:themeTint="000099" w:val="single"/>
        <w:insideH w:color="8eaadb" w:space="0" w:sz="2" w:themeColor="accent1" w:themeTint="000099" w:val="single"/>
        <w:insideV w:color="8eaadb" w:space="0" w:sz="2" w:themeColor="accent1" w:themeTint="000099" w:val="single"/>
      </w:tblBorders>
    </w:tblPr>
    <w:tblStylePr w:type="firstRow">
      <w:rPr>
        <w:b w:val="1"/>
        <w:bCs w:val="1"/>
      </w:rPr>
      <w:tblPr/>
      <w:tcPr>
        <w:tcBorders>
          <w:top w:space="0" w:sz="0" w:val="nil"/>
          <w:bottom w:color="8eaadb" w:space="0" w:sz="12" w:themeColor="accent1" w:themeTint="000099" w:val="single"/>
          <w:insideH w:space="0" w:sz="0" w:val="nil"/>
          <w:insideV w:space="0" w:sz="0" w:val="nil"/>
        </w:tcBorders>
        <w:shd w:color="auto" w:fill="ffffff" w:themeFill="background1" w:val="clear"/>
      </w:tcPr>
    </w:tblStylePr>
    <w:tblStylePr w:type="lastRow">
      <w:rPr>
        <w:b w:val="1"/>
        <w:bCs w:val="1"/>
      </w:rPr>
      <w:tblPr/>
      <w:tcPr>
        <w:tcBorders>
          <w:top w:color="8eaadb" w:space="0" w:sz="2" w:themeColor="accent1"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d9e2f3" w:themeFill="accent1" w:themeFillTint="000033" w:val="clear"/>
      </w:tcPr>
    </w:tblStylePr>
    <w:tblStylePr w:type="band1Horz">
      <w:tblPr/>
      <w:tcPr>
        <w:shd w:color="auto" w:fill="d9e2f3" w:themeFill="accent1" w:themeFillTint="000033" w:val="clear"/>
      </w:tcPr>
    </w:tblStylePr>
  </w:style>
  <w:style w:type="table" w:styleId="GridTable2-Accent2">
    <w:name w:val="Grid Table 2 Accent 2"/>
    <w:basedOn w:val="TableNormal"/>
    <w:uiPriority w:val="47"/>
    <w:rsid w:val="00687316"/>
    <w:pPr>
      <w:spacing w:after="0" w:line="240" w:lineRule="auto"/>
    </w:pPr>
    <w:tblPr>
      <w:tblStyleRowBandSize w:val="1"/>
      <w:tblStyleColBandSize w:val="1"/>
      <w:tblBorders>
        <w:top w:color="f4b083" w:space="0" w:sz="2" w:themeColor="accent2" w:themeTint="000099" w:val="single"/>
        <w:bottom w:color="f4b083" w:space="0" w:sz="2" w:themeColor="accent2" w:themeTint="000099" w:val="single"/>
        <w:insideH w:color="f4b083" w:space="0" w:sz="2" w:themeColor="accent2" w:themeTint="000099" w:val="single"/>
        <w:insideV w:color="f4b083" w:space="0" w:sz="2" w:themeColor="accent2" w:themeTint="000099" w:val="single"/>
      </w:tblBorders>
    </w:tblPr>
    <w:tblStylePr w:type="firstRow">
      <w:rPr>
        <w:b w:val="1"/>
        <w:bCs w:val="1"/>
      </w:rPr>
      <w:tblPr/>
      <w:tcPr>
        <w:tcBorders>
          <w:top w:space="0" w:sz="0" w:val="nil"/>
          <w:bottom w:color="f4b083" w:space="0" w:sz="12" w:themeColor="accent2" w:themeTint="000099" w:val="single"/>
          <w:insideH w:space="0" w:sz="0" w:val="nil"/>
          <w:insideV w:space="0" w:sz="0" w:val="nil"/>
        </w:tcBorders>
        <w:shd w:color="auto" w:fill="ffffff" w:themeFill="background1" w:val="clear"/>
      </w:tcPr>
    </w:tblStylePr>
    <w:tblStylePr w:type="lastRow">
      <w:rPr>
        <w:b w:val="1"/>
        <w:bCs w:val="1"/>
      </w:rPr>
      <w:tblPr/>
      <w:tcPr>
        <w:tcBorders>
          <w:top w:color="f4b083" w:space="0" w:sz="2" w:themeColor="accent2"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fbe4d5" w:themeFill="accent2" w:themeFillTint="000033" w:val="clear"/>
      </w:tcPr>
    </w:tblStylePr>
    <w:tblStylePr w:type="band1Horz">
      <w:tblPr/>
      <w:tcPr>
        <w:shd w:color="auto" w:fill="fbe4d5" w:themeFill="accent2" w:themeFillTint="000033" w:val="clear"/>
      </w:tcPr>
    </w:tblStylePr>
  </w:style>
  <w:style w:type="table" w:styleId="GridTable2-Accent3">
    <w:name w:val="Grid Table 2 Accent 3"/>
    <w:basedOn w:val="TableNormal"/>
    <w:uiPriority w:val="47"/>
    <w:rsid w:val="00687316"/>
    <w:pPr>
      <w:spacing w:after="0" w:line="240" w:lineRule="auto"/>
    </w:pPr>
    <w:tblPr>
      <w:tblStyleRowBandSize w:val="1"/>
      <w:tblStyleColBandSize w:val="1"/>
      <w:tblBorders>
        <w:top w:color="c9c9c9" w:space="0" w:sz="2" w:themeColor="accent3" w:themeTint="000099" w:val="single"/>
        <w:bottom w:color="c9c9c9" w:space="0" w:sz="2" w:themeColor="accent3" w:themeTint="000099" w:val="single"/>
        <w:insideH w:color="c9c9c9" w:space="0" w:sz="2" w:themeColor="accent3" w:themeTint="000099" w:val="single"/>
        <w:insideV w:color="c9c9c9" w:space="0" w:sz="2" w:themeColor="accent3" w:themeTint="000099" w:val="single"/>
      </w:tblBorders>
    </w:tblPr>
    <w:tblStylePr w:type="firstRow">
      <w:rPr>
        <w:b w:val="1"/>
        <w:bCs w:val="1"/>
      </w:rPr>
      <w:tblPr/>
      <w:tcPr>
        <w:tcBorders>
          <w:top w:space="0" w:sz="0" w:val="nil"/>
          <w:bottom w:color="c9c9c9" w:space="0" w:sz="12" w:themeColor="accent3" w:themeTint="000099" w:val="single"/>
          <w:insideH w:space="0" w:sz="0" w:val="nil"/>
          <w:insideV w:space="0" w:sz="0" w:val="nil"/>
        </w:tcBorders>
        <w:shd w:color="auto" w:fill="ffffff" w:themeFill="background1" w:val="clear"/>
      </w:tcPr>
    </w:tblStylePr>
    <w:tblStylePr w:type="lastRow">
      <w:rPr>
        <w:b w:val="1"/>
        <w:bCs w:val="1"/>
      </w:rPr>
      <w:tblPr/>
      <w:tcPr>
        <w:tcBorders>
          <w:top w:color="c9c9c9" w:space="0" w:sz="2" w:themeColor="accent3"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style>
  <w:style w:type="table" w:styleId="GridTable2-Accent4">
    <w:name w:val="Grid Table 2 Accent 4"/>
    <w:basedOn w:val="TableNormal"/>
    <w:uiPriority w:val="47"/>
    <w:rsid w:val="00687316"/>
    <w:pPr>
      <w:spacing w:after="0" w:line="240" w:lineRule="auto"/>
    </w:pPr>
    <w:tblPr>
      <w:tblStyleRowBandSize w:val="1"/>
      <w:tblStyleColBandSize w:val="1"/>
      <w:tblBorders>
        <w:top w:color="ffd966" w:space="0" w:sz="2" w:themeColor="accent4" w:themeTint="000099" w:val="single"/>
        <w:bottom w:color="ffd966" w:space="0" w:sz="2" w:themeColor="accent4" w:themeTint="000099" w:val="single"/>
        <w:insideH w:color="ffd966" w:space="0" w:sz="2" w:themeColor="accent4" w:themeTint="000099" w:val="single"/>
        <w:insideV w:color="ffd966" w:space="0" w:sz="2" w:themeColor="accent4" w:themeTint="000099" w:val="single"/>
      </w:tblBorders>
    </w:tblPr>
    <w:tblStylePr w:type="firstRow">
      <w:rPr>
        <w:b w:val="1"/>
        <w:bCs w:val="1"/>
      </w:rPr>
      <w:tblPr/>
      <w:tcPr>
        <w:tcBorders>
          <w:top w:space="0" w:sz="0" w:val="nil"/>
          <w:bottom w:color="ffd966" w:space="0" w:sz="12" w:themeColor="accent4" w:themeTint="000099" w:val="single"/>
          <w:insideH w:space="0" w:sz="0" w:val="nil"/>
          <w:insideV w:space="0" w:sz="0" w:val="nil"/>
        </w:tcBorders>
        <w:shd w:color="auto" w:fill="ffffff" w:themeFill="background1" w:val="clear"/>
      </w:tcPr>
    </w:tblStylePr>
    <w:tblStylePr w:type="lastRow">
      <w:rPr>
        <w:b w:val="1"/>
        <w:bCs w:val="1"/>
      </w:rPr>
      <w:tblPr/>
      <w:tcPr>
        <w:tcBorders>
          <w:top w:color="ffd966" w:space="0" w:sz="2" w:themeColor="accent4"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style>
  <w:style w:type="table" w:styleId="GridTable2-Accent5">
    <w:name w:val="Grid Table 2 Accent 5"/>
    <w:basedOn w:val="TableNormal"/>
    <w:uiPriority w:val="47"/>
    <w:rsid w:val="00687316"/>
    <w:pPr>
      <w:spacing w:after="0" w:line="240" w:lineRule="auto"/>
    </w:pPr>
    <w:tblPr>
      <w:tblStyleRowBandSize w:val="1"/>
      <w:tblStyleColBandSize w:val="1"/>
      <w:tblBorders>
        <w:top w:color="9cc2e5" w:space="0" w:sz="2" w:themeColor="accent5" w:themeTint="000099" w:val="single"/>
        <w:bottom w:color="9cc2e5" w:space="0" w:sz="2" w:themeColor="accent5" w:themeTint="000099" w:val="single"/>
        <w:insideH w:color="9cc2e5" w:space="0" w:sz="2" w:themeColor="accent5" w:themeTint="000099" w:val="single"/>
        <w:insideV w:color="9cc2e5" w:space="0" w:sz="2" w:themeColor="accent5" w:themeTint="000099" w:val="single"/>
      </w:tblBorders>
    </w:tblPr>
    <w:tblStylePr w:type="firstRow">
      <w:rPr>
        <w:b w:val="1"/>
        <w:bCs w:val="1"/>
      </w:rPr>
      <w:tblPr/>
      <w:tcPr>
        <w:tcBorders>
          <w:top w:space="0" w:sz="0" w:val="nil"/>
          <w:bottom w:color="9cc2e5" w:space="0" w:sz="12" w:themeColor="accent5" w:themeTint="000099" w:val="single"/>
          <w:insideH w:space="0" w:sz="0" w:val="nil"/>
          <w:insideV w:space="0" w:sz="0" w:val="nil"/>
        </w:tcBorders>
        <w:shd w:color="auto" w:fill="ffffff" w:themeFill="background1" w:val="clear"/>
      </w:tcPr>
    </w:tblStylePr>
    <w:tblStylePr w:type="lastRow">
      <w:rPr>
        <w:b w:val="1"/>
        <w:bCs w:val="1"/>
      </w:rPr>
      <w:tblPr/>
      <w:tcPr>
        <w:tcBorders>
          <w:top w:color="9cc2e5" w:space="0" w:sz="2" w:themeColor="accent5"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deeaf6" w:themeFill="accent5" w:themeFillTint="000033" w:val="clear"/>
      </w:tcPr>
    </w:tblStylePr>
    <w:tblStylePr w:type="band1Horz">
      <w:tblPr/>
      <w:tcPr>
        <w:shd w:color="auto" w:fill="deeaf6" w:themeFill="accent5" w:themeFillTint="000033" w:val="clear"/>
      </w:tcPr>
    </w:tblStylePr>
  </w:style>
  <w:style w:type="table" w:styleId="GridTable2-Accent6">
    <w:name w:val="Grid Table 2 Accent 6"/>
    <w:basedOn w:val="TableNormal"/>
    <w:uiPriority w:val="47"/>
    <w:rsid w:val="00687316"/>
    <w:pPr>
      <w:spacing w:after="0" w:line="240" w:lineRule="auto"/>
    </w:pPr>
    <w:tblPr>
      <w:tblStyleRowBandSize w:val="1"/>
      <w:tblStyleColBandSize w:val="1"/>
      <w:tblBorders>
        <w:top w:color="a8d08d" w:space="0" w:sz="2" w:themeColor="accent6" w:themeTint="000099" w:val="single"/>
        <w:bottom w:color="a8d08d" w:space="0" w:sz="2" w:themeColor="accent6" w:themeTint="000099" w:val="single"/>
        <w:insideH w:color="a8d08d" w:space="0" w:sz="2" w:themeColor="accent6" w:themeTint="000099" w:val="single"/>
        <w:insideV w:color="a8d08d" w:space="0" w:sz="2" w:themeColor="accent6" w:themeTint="000099" w:val="single"/>
      </w:tblBorders>
    </w:tblPr>
    <w:tblStylePr w:type="firstRow">
      <w:rPr>
        <w:b w:val="1"/>
        <w:bCs w:val="1"/>
      </w:rPr>
      <w:tblPr/>
      <w:tcPr>
        <w:tcBorders>
          <w:top w:space="0" w:sz="0" w:val="nil"/>
          <w:bottom w:color="a8d08d" w:space="0" w:sz="12" w:themeColor="accent6" w:themeTint="000099" w:val="single"/>
          <w:insideH w:space="0" w:sz="0" w:val="nil"/>
          <w:insideV w:space="0" w:sz="0" w:val="nil"/>
        </w:tcBorders>
        <w:shd w:color="auto" w:fill="ffffff" w:themeFill="background1" w:val="clear"/>
      </w:tcPr>
    </w:tblStylePr>
    <w:tblStylePr w:type="lastRow">
      <w:rPr>
        <w:b w:val="1"/>
        <w:bCs w:val="1"/>
      </w:rPr>
      <w:tblPr/>
      <w:tcPr>
        <w:tcBorders>
          <w:top w:color="a8d08d" w:space="0" w:sz="2" w:themeColor="accent6"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e2efd9" w:themeFill="accent6" w:themeFillTint="000033" w:val="clear"/>
      </w:tcPr>
    </w:tblStylePr>
    <w:tblStylePr w:type="band1Horz">
      <w:tblPr/>
      <w:tcPr>
        <w:shd w:color="auto" w:fill="e2efd9" w:themeFill="accent6" w:themeFillTint="000033" w:val="clear"/>
      </w:tcPr>
    </w:tblStylePr>
  </w:style>
  <w:style w:type="table" w:styleId="GridTable3">
    <w:name w:val="Grid Table 3"/>
    <w:basedOn w:val="TableNormal"/>
    <w:uiPriority w:val="48"/>
    <w:rsid w:val="00687316"/>
    <w:pPr>
      <w:spacing w:after="0" w:line="240" w:lineRule="auto"/>
    </w:pPr>
    <w:tblPr>
      <w:tblStyleRowBandSize w:val="1"/>
      <w:tblStyleColBandSize w:val="1"/>
      <w:tblBorders>
        <w:top w:color="666666" w:space="0" w:sz="4" w:themeColor="text1" w:themeTint="000099" w:val="single"/>
        <w:left w:color="666666" w:space="0" w:sz="4" w:themeColor="text1" w:themeTint="000099" w:val="single"/>
        <w:bottom w:color="666666" w:space="0" w:sz="4" w:themeColor="text1" w:themeTint="000099" w:val="single"/>
        <w:right w:color="666666" w:space="0" w:sz="4" w:themeColor="text1" w:themeTint="000099" w:val="single"/>
        <w:insideH w:color="666666" w:space="0" w:sz="4" w:themeColor="text1" w:themeTint="000099" w:val="single"/>
        <w:insideV w:color="666666" w:space="0" w:sz="4" w:themeColor="text1"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tblStylePr w:type="neCell">
      <w:tblPr/>
      <w:tcPr>
        <w:tcBorders>
          <w:bottom w:color="666666" w:space="0" w:sz="4" w:themeColor="text1" w:themeTint="000099" w:val="single"/>
        </w:tcBorders>
      </w:tcPr>
    </w:tblStylePr>
    <w:tblStylePr w:type="nwCell">
      <w:tblPr/>
      <w:tcPr>
        <w:tcBorders>
          <w:bottom w:color="666666" w:space="0" w:sz="4" w:themeColor="text1" w:themeTint="000099" w:val="single"/>
        </w:tcBorders>
      </w:tcPr>
    </w:tblStylePr>
    <w:tblStylePr w:type="seCell">
      <w:tblPr/>
      <w:tcPr>
        <w:tcBorders>
          <w:top w:color="666666" w:space="0" w:sz="4" w:themeColor="text1" w:themeTint="000099" w:val="single"/>
        </w:tcBorders>
      </w:tcPr>
    </w:tblStylePr>
    <w:tblStylePr w:type="swCell">
      <w:tblPr/>
      <w:tcPr>
        <w:tcBorders>
          <w:top w:color="666666" w:space="0" w:sz="4" w:themeColor="text1" w:themeTint="000099" w:val="single"/>
        </w:tcBorders>
      </w:tcPr>
    </w:tblStylePr>
  </w:style>
  <w:style w:type="table" w:styleId="GridTable3-Accent1">
    <w:name w:val="Grid Table 3 Accent 1"/>
    <w:basedOn w:val="TableNormal"/>
    <w:uiPriority w:val="48"/>
    <w:rsid w:val="00687316"/>
    <w:pPr>
      <w:spacing w:after="0" w:line="240" w:lineRule="auto"/>
    </w:pPr>
    <w:tblPr>
      <w:tblStyleRowBandSize w:val="1"/>
      <w:tblStyleColBandSize w:val="1"/>
      <w:tblBorders>
        <w:top w:color="8eaadb" w:space="0" w:sz="4" w:themeColor="accent1" w:themeTint="000099" w:val="single"/>
        <w:left w:color="8eaadb" w:space="0" w:sz="4" w:themeColor="accent1" w:themeTint="000099" w:val="single"/>
        <w:bottom w:color="8eaadb" w:space="0" w:sz="4" w:themeColor="accent1" w:themeTint="000099" w:val="single"/>
        <w:right w:color="8eaadb" w:space="0" w:sz="4" w:themeColor="accent1" w:themeTint="000099" w:val="single"/>
        <w:insideH w:color="8eaadb" w:space="0" w:sz="4" w:themeColor="accent1" w:themeTint="000099" w:val="single"/>
        <w:insideV w:color="8eaadb" w:space="0" w:sz="4" w:themeColor="accent1"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d9e2f3" w:themeFill="accent1" w:themeFillTint="000033" w:val="clear"/>
      </w:tcPr>
    </w:tblStylePr>
    <w:tblStylePr w:type="band1Horz">
      <w:tblPr/>
      <w:tcPr>
        <w:shd w:color="auto" w:fill="d9e2f3" w:themeFill="accent1" w:themeFillTint="000033" w:val="clear"/>
      </w:tcPr>
    </w:tblStylePr>
    <w:tblStylePr w:type="neCell">
      <w:tblPr/>
      <w:tcPr>
        <w:tcBorders>
          <w:bottom w:color="8eaadb" w:space="0" w:sz="4" w:themeColor="accent1" w:themeTint="000099" w:val="single"/>
        </w:tcBorders>
      </w:tcPr>
    </w:tblStylePr>
    <w:tblStylePr w:type="nwCell">
      <w:tblPr/>
      <w:tcPr>
        <w:tcBorders>
          <w:bottom w:color="8eaadb" w:space="0" w:sz="4" w:themeColor="accent1" w:themeTint="000099" w:val="single"/>
        </w:tcBorders>
      </w:tcPr>
    </w:tblStylePr>
    <w:tblStylePr w:type="seCell">
      <w:tblPr/>
      <w:tcPr>
        <w:tcBorders>
          <w:top w:color="8eaadb" w:space="0" w:sz="4" w:themeColor="accent1" w:themeTint="000099" w:val="single"/>
        </w:tcBorders>
      </w:tcPr>
    </w:tblStylePr>
    <w:tblStylePr w:type="swCell">
      <w:tblPr/>
      <w:tcPr>
        <w:tcBorders>
          <w:top w:color="8eaadb" w:space="0" w:sz="4" w:themeColor="accent1" w:themeTint="000099" w:val="single"/>
        </w:tcBorders>
      </w:tcPr>
    </w:tblStylePr>
  </w:style>
  <w:style w:type="table" w:styleId="GridTable3-Accent2">
    <w:name w:val="Grid Table 3 Accent 2"/>
    <w:basedOn w:val="TableNormal"/>
    <w:uiPriority w:val="48"/>
    <w:rsid w:val="00687316"/>
    <w:pPr>
      <w:spacing w:after="0" w:line="240" w:lineRule="auto"/>
    </w:pPr>
    <w:tblPr>
      <w:tblStyleRowBandSize w:val="1"/>
      <w:tblStyleColBandSize w:val="1"/>
      <w:tblBorders>
        <w:top w:color="f4b083" w:space="0" w:sz="4" w:themeColor="accent2" w:themeTint="000099" w:val="single"/>
        <w:left w:color="f4b083" w:space="0" w:sz="4" w:themeColor="accent2" w:themeTint="000099" w:val="single"/>
        <w:bottom w:color="f4b083" w:space="0" w:sz="4" w:themeColor="accent2" w:themeTint="000099" w:val="single"/>
        <w:right w:color="f4b083" w:space="0" w:sz="4" w:themeColor="accent2" w:themeTint="000099" w:val="single"/>
        <w:insideH w:color="f4b083" w:space="0" w:sz="4" w:themeColor="accent2" w:themeTint="000099" w:val="single"/>
        <w:insideV w:color="f4b083" w:space="0" w:sz="4" w:themeColor="accent2"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fbe4d5" w:themeFill="accent2" w:themeFillTint="000033" w:val="clear"/>
      </w:tcPr>
    </w:tblStylePr>
    <w:tblStylePr w:type="band1Horz">
      <w:tblPr/>
      <w:tcPr>
        <w:shd w:color="auto" w:fill="fbe4d5" w:themeFill="accent2" w:themeFillTint="000033" w:val="clear"/>
      </w:tcPr>
    </w:tblStylePr>
    <w:tblStylePr w:type="neCell">
      <w:tblPr/>
      <w:tcPr>
        <w:tcBorders>
          <w:bottom w:color="f4b083" w:space="0" w:sz="4" w:themeColor="accent2" w:themeTint="000099" w:val="single"/>
        </w:tcBorders>
      </w:tcPr>
    </w:tblStylePr>
    <w:tblStylePr w:type="nwCell">
      <w:tblPr/>
      <w:tcPr>
        <w:tcBorders>
          <w:bottom w:color="f4b083" w:space="0" w:sz="4" w:themeColor="accent2" w:themeTint="000099" w:val="single"/>
        </w:tcBorders>
      </w:tcPr>
    </w:tblStylePr>
    <w:tblStylePr w:type="seCell">
      <w:tblPr/>
      <w:tcPr>
        <w:tcBorders>
          <w:top w:color="f4b083" w:space="0" w:sz="4" w:themeColor="accent2" w:themeTint="000099" w:val="single"/>
        </w:tcBorders>
      </w:tcPr>
    </w:tblStylePr>
    <w:tblStylePr w:type="swCell">
      <w:tblPr/>
      <w:tcPr>
        <w:tcBorders>
          <w:top w:color="f4b083" w:space="0" w:sz="4" w:themeColor="accent2" w:themeTint="000099" w:val="single"/>
        </w:tcBorders>
      </w:tcPr>
    </w:tblStylePr>
  </w:style>
  <w:style w:type="table" w:styleId="GridTable3-Accent3">
    <w:name w:val="Grid Table 3 Accent 3"/>
    <w:basedOn w:val="TableNormal"/>
    <w:uiPriority w:val="48"/>
    <w:rsid w:val="00687316"/>
    <w:pPr>
      <w:spacing w:after="0" w:line="240" w:lineRule="auto"/>
    </w:pPr>
    <w:tblPr>
      <w:tblStyleRowBandSize w:val="1"/>
      <w:tblStyleColBandSize w:val="1"/>
      <w:tblBorders>
        <w:top w:color="c9c9c9" w:space="0" w:sz="4" w:themeColor="accent3" w:themeTint="000099" w:val="single"/>
        <w:left w:color="c9c9c9" w:space="0" w:sz="4" w:themeColor="accent3" w:themeTint="000099" w:val="single"/>
        <w:bottom w:color="c9c9c9" w:space="0" w:sz="4" w:themeColor="accent3" w:themeTint="000099" w:val="single"/>
        <w:right w:color="c9c9c9" w:space="0" w:sz="4" w:themeColor="accent3" w:themeTint="000099" w:val="single"/>
        <w:insideH w:color="c9c9c9" w:space="0" w:sz="4" w:themeColor="accent3" w:themeTint="000099" w:val="single"/>
        <w:insideV w:color="c9c9c9" w:space="0" w:sz="4" w:themeColor="accent3"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tblStylePr w:type="neCell">
      <w:tblPr/>
      <w:tcPr>
        <w:tcBorders>
          <w:bottom w:color="c9c9c9" w:space="0" w:sz="4" w:themeColor="accent3" w:themeTint="000099" w:val="single"/>
        </w:tcBorders>
      </w:tcPr>
    </w:tblStylePr>
    <w:tblStylePr w:type="nwCell">
      <w:tblPr/>
      <w:tcPr>
        <w:tcBorders>
          <w:bottom w:color="c9c9c9" w:space="0" w:sz="4" w:themeColor="accent3" w:themeTint="000099" w:val="single"/>
        </w:tcBorders>
      </w:tcPr>
    </w:tblStylePr>
    <w:tblStylePr w:type="seCell">
      <w:tblPr/>
      <w:tcPr>
        <w:tcBorders>
          <w:top w:color="c9c9c9" w:space="0" w:sz="4" w:themeColor="accent3" w:themeTint="000099" w:val="single"/>
        </w:tcBorders>
      </w:tcPr>
    </w:tblStylePr>
    <w:tblStylePr w:type="swCell">
      <w:tblPr/>
      <w:tcPr>
        <w:tcBorders>
          <w:top w:color="c9c9c9" w:space="0" w:sz="4" w:themeColor="accent3" w:themeTint="000099" w:val="single"/>
        </w:tcBorders>
      </w:tcPr>
    </w:tblStylePr>
  </w:style>
  <w:style w:type="table" w:styleId="GridTable3-Accent4">
    <w:name w:val="Grid Table 3 Accent 4"/>
    <w:basedOn w:val="TableNormal"/>
    <w:uiPriority w:val="48"/>
    <w:rsid w:val="00687316"/>
    <w:pPr>
      <w:spacing w:after="0" w:line="240" w:lineRule="auto"/>
    </w:pPr>
    <w:tblPr>
      <w:tblStyleRowBandSize w:val="1"/>
      <w:tblStyleColBandSize w:val="1"/>
      <w:tblBorders>
        <w:top w:color="ffd966" w:space="0" w:sz="4" w:themeColor="accent4" w:themeTint="000099" w:val="single"/>
        <w:left w:color="ffd966" w:space="0" w:sz="4" w:themeColor="accent4" w:themeTint="000099" w:val="single"/>
        <w:bottom w:color="ffd966" w:space="0" w:sz="4" w:themeColor="accent4" w:themeTint="000099" w:val="single"/>
        <w:right w:color="ffd966" w:space="0" w:sz="4" w:themeColor="accent4" w:themeTint="000099" w:val="single"/>
        <w:insideH w:color="ffd966" w:space="0" w:sz="4" w:themeColor="accent4" w:themeTint="000099" w:val="single"/>
        <w:insideV w:color="ffd966" w:space="0" w:sz="4" w:themeColor="accent4"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tblStylePr w:type="neCell">
      <w:tblPr/>
      <w:tcPr>
        <w:tcBorders>
          <w:bottom w:color="ffd966" w:space="0" w:sz="4" w:themeColor="accent4" w:themeTint="000099" w:val="single"/>
        </w:tcBorders>
      </w:tcPr>
    </w:tblStylePr>
    <w:tblStylePr w:type="nwCell">
      <w:tblPr/>
      <w:tcPr>
        <w:tcBorders>
          <w:bottom w:color="ffd966" w:space="0" w:sz="4" w:themeColor="accent4" w:themeTint="000099" w:val="single"/>
        </w:tcBorders>
      </w:tcPr>
    </w:tblStylePr>
    <w:tblStylePr w:type="seCell">
      <w:tblPr/>
      <w:tcPr>
        <w:tcBorders>
          <w:top w:color="ffd966" w:space="0" w:sz="4" w:themeColor="accent4" w:themeTint="000099" w:val="single"/>
        </w:tcBorders>
      </w:tcPr>
    </w:tblStylePr>
    <w:tblStylePr w:type="swCell">
      <w:tblPr/>
      <w:tcPr>
        <w:tcBorders>
          <w:top w:color="ffd966" w:space="0" w:sz="4" w:themeColor="accent4" w:themeTint="000099" w:val="single"/>
        </w:tcBorders>
      </w:tcPr>
    </w:tblStylePr>
  </w:style>
  <w:style w:type="table" w:styleId="GridTable3-Accent5">
    <w:name w:val="Grid Table 3 Accent 5"/>
    <w:basedOn w:val="TableNormal"/>
    <w:uiPriority w:val="48"/>
    <w:rsid w:val="00687316"/>
    <w:pPr>
      <w:spacing w:after="0" w:line="240" w:lineRule="auto"/>
    </w:pPr>
    <w:tblPr>
      <w:tblStyleRowBandSize w:val="1"/>
      <w:tblStyleColBandSize w:val="1"/>
      <w:tblBorders>
        <w:top w:color="9cc2e5" w:space="0" w:sz="4" w:themeColor="accent5" w:themeTint="000099" w:val="single"/>
        <w:left w:color="9cc2e5" w:space="0" w:sz="4" w:themeColor="accent5" w:themeTint="000099" w:val="single"/>
        <w:bottom w:color="9cc2e5" w:space="0" w:sz="4" w:themeColor="accent5" w:themeTint="000099" w:val="single"/>
        <w:right w:color="9cc2e5" w:space="0" w:sz="4" w:themeColor="accent5" w:themeTint="000099" w:val="single"/>
        <w:insideH w:color="9cc2e5" w:space="0" w:sz="4" w:themeColor="accent5" w:themeTint="000099" w:val="single"/>
        <w:insideV w:color="9cc2e5" w:space="0" w:sz="4" w:themeColor="accent5"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deeaf6" w:themeFill="accent5" w:themeFillTint="000033" w:val="clear"/>
      </w:tcPr>
    </w:tblStylePr>
    <w:tblStylePr w:type="band1Horz">
      <w:tblPr/>
      <w:tcPr>
        <w:shd w:color="auto" w:fill="deeaf6" w:themeFill="accent5" w:themeFillTint="000033" w:val="clear"/>
      </w:tcPr>
    </w:tblStylePr>
    <w:tblStylePr w:type="neCell">
      <w:tblPr/>
      <w:tcPr>
        <w:tcBorders>
          <w:bottom w:color="9cc2e5" w:space="0" w:sz="4" w:themeColor="accent5" w:themeTint="000099" w:val="single"/>
        </w:tcBorders>
      </w:tcPr>
    </w:tblStylePr>
    <w:tblStylePr w:type="nwCell">
      <w:tblPr/>
      <w:tcPr>
        <w:tcBorders>
          <w:bottom w:color="9cc2e5" w:space="0" w:sz="4" w:themeColor="accent5" w:themeTint="000099" w:val="single"/>
        </w:tcBorders>
      </w:tcPr>
    </w:tblStylePr>
    <w:tblStylePr w:type="seCell">
      <w:tblPr/>
      <w:tcPr>
        <w:tcBorders>
          <w:top w:color="9cc2e5" w:space="0" w:sz="4" w:themeColor="accent5" w:themeTint="000099" w:val="single"/>
        </w:tcBorders>
      </w:tcPr>
    </w:tblStylePr>
    <w:tblStylePr w:type="swCell">
      <w:tblPr/>
      <w:tcPr>
        <w:tcBorders>
          <w:top w:color="9cc2e5" w:space="0" w:sz="4" w:themeColor="accent5" w:themeTint="000099" w:val="single"/>
        </w:tcBorders>
      </w:tcPr>
    </w:tblStylePr>
  </w:style>
  <w:style w:type="table" w:styleId="GridTable3-Accent6">
    <w:name w:val="Grid Table 3 Accent 6"/>
    <w:basedOn w:val="TableNormal"/>
    <w:uiPriority w:val="48"/>
    <w:rsid w:val="00687316"/>
    <w:pPr>
      <w:spacing w:after="0" w:line="240" w:lineRule="auto"/>
    </w:pPr>
    <w:tblPr>
      <w:tblStyleRowBandSize w:val="1"/>
      <w:tblStyleColBandSize w:val="1"/>
      <w:tblBorders>
        <w:top w:color="a8d08d" w:space="0" w:sz="4" w:themeColor="accent6" w:themeTint="000099" w:val="single"/>
        <w:left w:color="a8d08d" w:space="0" w:sz="4" w:themeColor="accent6" w:themeTint="000099" w:val="single"/>
        <w:bottom w:color="a8d08d" w:space="0" w:sz="4" w:themeColor="accent6" w:themeTint="000099" w:val="single"/>
        <w:right w:color="a8d08d" w:space="0" w:sz="4" w:themeColor="accent6" w:themeTint="000099" w:val="single"/>
        <w:insideH w:color="a8d08d" w:space="0" w:sz="4" w:themeColor="accent6" w:themeTint="000099" w:val="single"/>
        <w:insideV w:color="a8d08d" w:space="0" w:sz="4" w:themeColor="accent6"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e2efd9" w:themeFill="accent6" w:themeFillTint="000033" w:val="clear"/>
      </w:tcPr>
    </w:tblStylePr>
    <w:tblStylePr w:type="band1Horz">
      <w:tblPr/>
      <w:tcPr>
        <w:shd w:color="auto" w:fill="e2efd9" w:themeFill="accent6" w:themeFillTint="000033" w:val="clear"/>
      </w:tcPr>
    </w:tblStylePr>
    <w:tblStylePr w:type="neCell">
      <w:tblPr/>
      <w:tcPr>
        <w:tcBorders>
          <w:bottom w:color="a8d08d" w:space="0" w:sz="4" w:themeColor="accent6" w:themeTint="000099" w:val="single"/>
        </w:tcBorders>
      </w:tcPr>
    </w:tblStylePr>
    <w:tblStylePr w:type="nwCell">
      <w:tblPr/>
      <w:tcPr>
        <w:tcBorders>
          <w:bottom w:color="a8d08d" w:space="0" w:sz="4" w:themeColor="accent6" w:themeTint="000099" w:val="single"/>
        </w:tcBorders>
      </w:tcPr>
    </w:tblStylePr>
    <w:tblStylePr w:type="seCell">
      <w:tblPr/>
      <w:tcPr>
        <w:tcBorders>
          <w:top w:color="a8d08d" w:space="0" w:sz="4" w:themeColor="accent6" w:themeTint="000099" w:val="single"/>
        </w:tcBorders>
      </w:tcPr>
    </w:tblStylePr>
    <w:tblStylePr w:type="swCell">
      <w:tblPr/>
      <w:tcPr>
        <w:tcBorders>
          <w:top w:color="a8d08d" w:space="0" w:sz="4" w:themeColor="accent6" w:themeTint="000099" w:val="single"/>
        </w:tcBorders>
      </w:tcPr>
    </w:tblStylePr>
  </w:style>
  <w:style w:type="table" w:styleId="GridTable4">
    <w:name w:val="Grid Table 4"/>
    <w:basedOn w:val="TableNormal"/>
    <w:uiPriority w:val="49"/>
    <w:rsid w:val="00687316"/>
    <w:pPr>
      <w:spacing w:after="0" w:line="240" w:lineRule="auto"/>
    </w:pPr>
    <w:tblPr>
      <w:tblStyleRowBandSize w:val="1"/>
      <w:tblStyleColBandSize w:val="1"/>
      <w:tblBorders>
        <w:top w:color="666666" w:space="0" w:sz="4" w:themeColor="text1" w:themeTint="000099" w:val="single"/>
        <w:left w:color="666666" w:space="0" w:sz="4" w:themeColor="text1" w:themeTint="000099" w:val="single"/>
        <w:bottom w:color="666666" w:space="0" w:sz="4" w:themeColor="text1" w:themeTint="000099" w:val="single"/>
        <w:right w:color="666666" w:space="0" w:sz="4" w:themeColor="text1" w:themeTint="000099" w:val="single"/>
        <w:insideH w:color="666666" w:space="0" w:sz="4" w:themeColor="text1" w:themeTint="000099" w:val="single"/>
        <w:insideV w:color="666666" w:space="0" w:sz="4" w:themeColor="text1" w:themeTint="000099" w:val="single"/>
      </w:tblBorders>
    </w:tblPr>
    <w:tblStylePr w:type="firstRow">
      <w:rPr>
        <w:b w:val="1"/>
        <w:bCs w:val="1"/>
        <w:color w:val="ffffff" w:themeColor="background1"/>
      </w:rPr>
      <w:tblPr/>
      <w:tcPr>
        <w:tcBorders>
          <w:top w:color="000000" w:space="0" w:sz="4" w:themeColor="text1" w:val="single"/>
          <w:left w:color="000000" w:space="0" w:sz="4" w:themeColor="text1" w:val="single"/>
          <w:bottom w:color="000000" w:space="0" w:sz="4" w:themeColor="text1" w:val="single"/>
          <w:right w:color="000000" w:space="0" w:sz="4" w:themeColor="text1" w:val="single"/>
          <w:insideH w:space="0" w:sz="0" w:val="nil"/>
          <w:insideV w:space="0" w:sz="0" w:val="nil"/>
        </w:tcBorders>
        <w:shd w:color="auto" w:fill="000000" w:themeFill="text1" w:val="clear"/>
      </w:tcPr>
    </w:tblStylePr>
    <w:tblStylePr w:type="lastRow">
      <w:rPr>
        <w:b w:val="1"/>
        <w:bCs w:val="1"/>
      </w:rPr>
      <w:tblPr/>
      <w:tcPr>
        <w:tcBorders>
          <w:top w:color="000000" w:space="0" w:sz="4" w:themeColor="text1"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GridTable4-Accent1">
    <w:name w:val="Grid Table 4 Accent 1"/>
    <w:basedOn w:val="TableNormal"/>
    <w:uiPriority w:val="49"/>
    <w:rsid w:val="00687316"/>
    <w:pPr>
      <w:spacing w:after="0" w:line="240" w:lineRule="auto"/>
    </w:pPr>
    <w:tblPr>
      <w:tblStyleRowBandSize w:val="1"/>
      <w:tblStyleColBandSize w:val="1"/>
      <w:tblBorders>
        <w:top w:color="8eaadb" w:space="0" w:sz="4" w:themeColor="accent1" w:themeTint="000099" w:val="single"/>
        <w:left w:color="8eaadb" w:space="0" w:sz="4" w:themeColor="accent1" w:themeTint="000099" w:val="single"/>
        <w:bottom w:color="8eaadb" w:space="0" w:sz="4" w:themeColor="accent1" w:themeTint="000099" w:val="single"/>
        <w:right w:color="8eaadb" w:space="0" w:sz="4" w:themeColor="accent1" w:themeTint="000099" w:val="single"/>
        <w:insideH w:color="8eaadb" w:space="0" w:sz="4" w:themeColor="accent1" w:themeTint="000099" w:val="single"/>
        <w:insideV w:color="8eaadb" w:space="0" w:sz="4" w:themeColor="accent1" w:themeTint="000099" w:val="single"/>
      </w:tblBorders>
    </w:tblPr>
    <w:tblStylePr w:type="firstRow">
      <w:rPr>
        <w:b w:val="1"/>
        <w:bCs w:val="1"/>
        <w:color w:val="ffffff" w:themeColor="background1"/>
      </w:rPr>
      <w:tblPr/>
      <w:tcPr>
        <w:tcBorders>
          <w:top w:color="4472c4" w:space="0" w:sz="4" w:themeColor="accent1" w:val="single"/>
          <w:left w:color="4472c4" w:space="0" w:sz="4" w:themeColor="accent1" w:val="single"/>
          <w:bottom w:color="4472c4" w:space="0" w:sz="4" w:themeColor="accent1" w:val="single"/>
          <w:right w:color="4472c4" w:space="0" w:sz="4" w:themeColor="accent1" w:val="single"/>
          <w:insideH w:space="0" w:sz="0" w:val="nil"/>
          <w:insideV w:space="0" w:sz="0" w:val="nil"/>
        </w:tcBorders>
        <w:shd w:color="auto" w:fill="4472c4" w:themeFill="accent1" w:val="clear"/>
      </w:tcPr>
    </w:tblStylePr>
    <w:tblStylePr w:type="lastRow">
      <w:rPr>
        <w:b w:val="1"/>
        <w:bCs w:val="1"/>
      </w:rPr>
      <w:tblPr/>
      <w:tcPr>
        <w:tcBorders>
          <w:top w:color="4472c4" w:space="0" w:sz="4" w:themeColor="accent1" w:val="double"/>
        </w:tcBorders>
      </w:tcPr>
    </w:tblStylePr>
    <w:tblStylePr w:type="firstCol">
      <w:rPr>
        <w:b w:val="1"/>
        <w:bCs w:val="1"/>
      </w:rPr>
    </w:tblStylePr>
    <w:tblStylePr w:type="lastCol">
      <w:rPr>
        <w:b w:val="1"/>
        <w:bCs w:val="1"/>
      </w:rPr>
    </w:tblStylePr>
    <w:tblStylePr w:type="band1Vert">
      <w:tblPr/>
      <w:tcPr>
        <w:shd w:color="auto" w:fill="d9e2f3" w:themeFill="accent1" w:themeFillTint="000033" w:val="clear"/>
      </w:tcPr>
    </w:tblStylePr>
    <w:tblStylePr w:type="band1Horz">
      <w:tblPr/>
      <w:tcPr>
        <w:shd w:color="auto" w:fill="d9e2f3" w:themeFill="accent1" w:themeFillTint="000033" w:val="clear"/>
      </w:tcPr>
    </w:tblStylePr>
  </w:style>
  <w:style w:type="table" w:styleId="GridTable4-Accent2">
    <w:name w:val="Grid Table 4 Accent 2"/>
    <w:basedOn w:val="TableNormal"/>
    <w:uiPriority w:val="49"/>
    <w:rsid w:val="00687316"/>
    <w:pPr>
      <w:spacing w:after="0" w:line="240" w:lineRule="auto"/>
    </w:pPr>
    <w:tblPr>
      <w:tblStyleRowBandSize w:val="1"/>
      <w:tblStyleColBandSize w:val="1"/>
      <w:tblBorders>
        <w:top w:color="f4b083" w:space="0" w:sz="4" w:themeColor="accent2" w:themeTint="000099" w:val="single"/>
        <w:left w:color="f4b083" w:space="0" w:sz="4" w:themeColor="accent2" w:themeTint="000099" w:val="single"/>
        <w:bottom w:color="f4b083" w:space="0" w:sz="4" w:themeColor="accent2" w:themeTint="000099" w:val="single"/>
        <w:right w:color="f4b083" w:space="0" w:sz="4" w:themeColor="accent2" w:themeTint="000099" w:val="single"/>
        <w:insideH w:color="f4b083" w:space="0" w:sz="4" w:themeColor="accent2" w:themeTint="000099" w:val="single"/>
        <w:insideV w:color="f4b083" w:space="0" w:sz="4" w:themeColor="accent2" w:themeTint="000099" w:val="single"/>
      </w:tblBorders>
    </w:tblPr>
    <w:tblStylePr w:type="firstRow">
      <w:rPr>
        <w:b w:val="1"/>
        <w:bCs w:val="1"/>
        <w:color w:val="ffffff" w:themeColor="background1"/>
      </w:rPr>
      <w:tblPr/>
      <w:tcPr>
        <w:tcBorders>
          <w:top w:color="ed7d31" w:space="0" w:sz="4" w:themeColor="accent2" w:val="single"/>
          <w:left w:color="ed7d31" w:space="0" w:sz="4" w:themeColor="accent2" w:val="single"/>
          <w:bottom w:color="ed7d31" w:space="0" w:sz="4" w:themeColor="accent2" w:val="single"/>
          <w:right w:color="ed7d31" w:space="0" w:sz="4" w:themeColor="accent2" w:val="single"/>
          <w:insideH w:space="0" w:sz="0" w:val="nil"/>
          <w:insideV w:space="0" w:sz="0" w:val="nil"/>
        </w:tcBorders>
        <w:shd w:color="auto" w:fill="ed7d31" w:themeFill="accent2" w:val="clear"/>
      </w:tcPr>
    </w:tblStylePr>
    <w:tblStylePr w:type="lastRow">
      <w:rPr>
        <w:b w:val="1"/>
        <w:bCs w:val="1"/>
      </w:rPr>
      <w:tblPr/>
      <w:tcPr>
        <w:tcBorders>
          <w:top w:color="ed7d31" w:space="0" w:sz="4" w:themeColor="accent2" w:val="double"/>
        </w:tcBorders>
      </w:tcPr>
    </w:tblStylePr>
    <w:tblStylePr w:type="firstCol">
      <w:rPr>
        <w:b w:val="1"/>
        <w:bCs w:val="1"/>
      </w:rPr>
    </w:tblStylePr>
    <w:tblStylePr w:type="lastCol">
      <w:rPr>
        <w:b w:val="1"/>
        <w:bCs w:val="1"/>
      </w:rPr>
    </w:tblStylePr>
    <w:tblStylePr w:type="band1Vert">
      <w:tblPr/>
      <w:tcPr>
        <w:shd w:color="auto" w:fill="fbe4d5" w:themeFill="accent2" w:themeFillTint="000033" w:val="clear"/>
      </w:tcPr>
    </w:tblStylePr>
    <w:tblStylePr w:type="band1Horz">
      <w:tblPr/>
      <w:tcPr>
        <w:shd w:color="auto" w:fill="fbe4d5" w:themeFill="accent2" w:themeFillTint="000033" w:val="clear"/>
      </w:tcPr>
    </w:tblStylePr>
  </w:style>
  <w:style w:type="table" w:styleId="GridTable4-Accent3">
    <w:name w:val="Grid Table 4 Accent 3"/>
    <w:basedOn w:val="TableNormal"/>
    <w:uiPriority w:val="49"/>
    <w:rsid w:val="00687316"/>
    <w:pPr>
      <w:spacing w:after="0" w:line="240" w:lineRule="auto"/>
    </w:pPr>
    <w:tblPr>
      <w:tblStyleRowBandSize w:val="1"/>
      <w:tblStyleColBandSize w:val="1"/>
      <w:tblBorders>
        <w:top w:color="c9c9c9" w:space="0" w:sz="4" w:themeColor="accent3" w:themeTint="000099" w:val="single"/>
        <w:left w:color="c9c9c9" w:space="0" w:sz="4" w:themeColor="accent3" w:themeTint="000099" w:val="single"/>
        <w:bottom w:color="c9c9c9" w:space="0" w:sz="4" w:themeColor="accent3" w:themeTint="000099" w:val="single"/>
        <w:right w:color="c9c9c9" w:space="0" w:sz="4" w:themeColor="accent3" w:themeTint="000099" w:val="single"/>
        <w:insideH w:color="c9c9c9" w:space="0" w:sz="4" w:themeColor="accent3" w:themeTint="000099" w:val="single"/>
        <w:insideV w:color="c9c9c9" w:space="0" w:sz="4" w:themeColor="accent3" w:themeTint="000099" w:val="single"/>
      </w:tblBorders>
    </w:tblPr>
    <w:tblStylePr w:type="firstRow">
      <w:rPr>
        <w:b w:val="1"/>
        <w:bCs w:val="1"/>
        <w:color w:val="ffffff" w:themeColor="background1"/>
      </w:rPr>
      <w:tblPr/>
      <w:tcPr>
        <w:tcBorders>
          <w:top w:color="a5a5a5" w:space="0" w:sz="4" w:themeColor="accent3" w:val="single"/>
          <w:left w:color="a5a5a5" w:space="0" w:sz="4" w:themeColor="accent3" w:val="single"/>
          <w:bottom w:color="a5a5a5" w:space="0" w:sz="4" w:themeColor="accent3" w:val="single"/>
          <w:right w:color="a5a5a5" w:space="0" w:sz="4" w:themeColor="accent3" w:val="single"/>
          <w:insideH w:space="0" w:sz="0" w:val="nil"/>
          <w:insideV w:space="0" w:sz="0" w:val="nil"/>
        </w:tcBorders>
        <w:shd w:color="auto" w:fill="a5a5a5" w:themeFill="accent3" w:val="clear"/>
      </w:tcPr>
    </w:tblStylePr>
    <w:tblStylePr w:type="lastRow">
      <w:rPr>
        <w:b w:val="1"/>
        <w:bCs w:val="1"/>
      </w:rPr>
      <w:tblPr/>
      <w:tcPr>
        <w:tcBorders>
          <w:top w:color="a5a5a5" w:space="0" w:sz="4" w:themeColor="accent3" w:val="double"/>
        </w:tcBorders>
      </w:tcPr>
    </w:tblStylePr>
    <w:tblStylePr w:type="firstCol">
      <w:rPr>
        <w:b w:val="1"/>
        <w:bCs w:val="1"/>
      </w:rPr>
    </w:tblStylePr>
    <w:tblStylePr w:type="lastCol">
      <w:rPr>
        <w:b w:val="1"/>
        <w:bCs w:val="1"/>
      </w:r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style>
  <w:style w:type="table" w:styleId="GridTable4-Accent4">
    <w:name w:val="Grid Table 4 Accent 4"/>
    <w:basedOn w:val="TableNormal"/>
    <w:uiPriority w:val="49"/>
    <w:rsid w:val="00687316"/>
    <w:pPr>
      <w:spacing w:after="0" w:line="240" w:lineRule="auto"/>
    </w:pPr>
    <w:tblPr>
      <w:tblStyleRowBandSize w:val="1"/>
      <w:tblStyleColBandSize w:val="1"/>
      <w:tblBorders>
        <w:top w:color="ffd966" w:space="0" w:sz="4" w:themeColor="accent4" w:themeTint="000099" w:val="single"/>
        <w:left w:color="ffd966" w:space="0" w:sz="4" w:themeColor="accent4" w:themeTint="000099" w:val="single"/>
        <w:bottom w:color="ffd966" w:space="0" w:sz="4" w:themeColor="accent4" w:themeTint="000099" w:val="single"/>
        <w:right w:color="ffd966" w:space="0" w:sz="4" w:themeColor="accent4" w:themeTint="000099" w:val="single"/>
        <w:insideH w:color="ffd966" w:space="0" w:sz="4" w:themeColor="accent4" w:themeTint="000099" w:val="single"/>
        <w:insideV w:color="ffd966" w:space="0" w:sz="4" w:themeColor="accent4" w:themeTint="000099" w:val="single"/>
      </w:tblBorders>
    </w:tblPr>
    <w:tblStylePr w:type="firstRow">
      <w:rPr>
        <w:b w:val="1"/>
        <w:bCs w:val="1"/>
        <w:color w:val="ffffff" w:themeColor="background1"/>
      </w:rPr>
      <w:tblPr/>
      <w:tcPr>
        <w:tcBorders>
          <w:top w:color="ffc000" w:space="0" w:sz="4" w:themeColor="accent4" w:val="single"/>
          <w:left w:color="ffc000" w:space="0" w:sz="4" w:themeColor="accent4" w:val="single"/>
          <w:bottom w:color="ffc000" w:space="0" w:sz="4" w:themeColor="accent4" w:val="single"/>
          <w:right w:color="ffc000" w:space="0" w:sz="4" w:themeColor="accent4" w:val="single"/>
          <w:insideH w:space="0" w:sz="0" w:val="nil"/>
          <w:insideV w:space="0" w:sz="0" w:val="nil"/>
        </w:tcBorders>
        <w:shd w:color="auto" w:fill="ffc000" w:themeFill="accent4" w:val="clear"/>
      </w:tcPr>
    </w:tblStylePr>
    <w:tblStylePr w:type="lastRow">
      <w:rPr>
        <w:b w:val="1"/>
        <w:bCs w:val="1"/>
      </w:rPr>
      <w:tblPr/>
      <w:tcPr>
        <w:tcBorders>
          <w:top w:color="ffc000" w:space="0" w:sz="4" w:themeColor="accent4" w:val="double"/>
        </w:tcBorders>
      </w:tcPr>
    </w:tblStylePr>
    <w:tblStylePr w:type="firstCol">
      <w:rPr>
        <w:b w:val="1"/>
        <w:bCs w:val="1"/>
      </w:rPr>
    </w:tblStylePr>
    <w:tblStylePr w:type="lastCol">
      <w:rPr>
        <w:b w:val="1"/>
        <w:bCs w:val="1"/>
      </w:r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style>
  <w:style w:type="table" w:styleId="GridTable4-Accent5">
    <w:name w:val="Grid Table 4 Accent 5"/>
    <w:basedOn w:val="TableNormal"/>
    <w:uiPriority w:val="49"/>
    <w:rsid w:val="00687316"/>
    <w:pPr>
      <w:spacing w:after="0" w:line="240" w:lineRule="auto"/>
    </w:pPr>
    <w:tblPr>
      <w:tblStyleRowBandSize w:val="1"/>
      <w:tblStyleColBandSize w:val="1"/>
      <w:tblBorders>
        <w:top w:color="9cc2e5" w:space="0" w:sz="4" w:themeColor="accent5" w:themeTint="000099" w:val="single"/>
        <w:left w:color="9cc2e5" w:space="0" w:sz="4" w:themeColor="accent5" w:themeTint="000099" w:val="single"/>
        <w:bottom w:color="9cc2e5" w:space="0" w:sz="4" w:themeColor="accent5" w:themeTint="000099" w:val="single"/>
        <w:right w:color="9cc2e5" w:space="0" w:sz="4" w:themeColor="accent5" w:themeTint="000099" w:val="single"/>
        <w:insideH w:color="9cc2e5" w:space="0" w:sz="4" w:themeColor="accent5" w:themeTint="000099" w:val="single"/>
        <w:insideV w:color="9cc2e5" w:space="0" w:sz="4" w:themeColor="accent5" w:themeTint="000099" w:val="single"/>
      </w:tblBorders>
    </w:tblPr>
    <w:tblStylePr w:type="firstRow">
      <w:rPr>
        <w:b w:val="1"/>
        <w:bCs w:val="1"/>
        <w:color w:val="ffffff" w:themeColor="background1"/>
      </w:rPr>
      <w:tblPr/>
      <w:tcPr>
        <w:tcBorders>
          <w:top w:color="5b9bd5" w:space="0" w:sz="4" w:themeColor="accent5" w:val="single"/>
          <w:left w:color="5b9bd5" w:space="0" w:sz="4" w:themeColor="accent5" w:val="single"/>
          <w:bottom w:color="5b9bd5" w:space="0" w:sz="4" w:themeColor="accent5" w:val="single"/>
          <w:right w:color="5b9bd5" w:space="0" w:sz="4" w:themeColor="accent5" w:val="single"/>
          <w:insideH w:space="0" w:sz="0" w:val="nil"/>
          <w:insideV w:space="0" w:sz="0" w:val="nil"/>
        </w:tcBorders>
        <w:shd w:color="auto" w:fill="5b9bd5" w:themeFill="accent5" w:val="clear"/>
      </w:tcPr>
    </w:tblStylePr>
    <w:tblStylePr w:type="lastRow">
      <w:rPr>
        <w:b w:val="1"/>
        <w:bCs w:val="1"/>
      </w:rPr>
      <w:tblPr/>
      <w:tcPr>
        <w:tcBorders>
          <w:top w:color="5b9bd5" w:space="0" w:sz="4" w:themeColor="accent5" w:val="double"/>
        </w:tcBorders>
      </w:tcPr>
    </w:tblStylePr>
    <w:tblStylePr w:type="firstCol">
      <w:rPr>
        <w:b w:val="1"/>
        <w:bCs w:val="1"/>
      </w:rPr>
    </w:tblStylePr>
    <w:tblStylePr w:type="lastCol">
      <w:rPr>
        <w:b w:val="1"/>
        <w:bCs w:val="1"/>
      </w:rPr>
    </w:tblStylePr>
    <w:tblStylePr w:type="band1Vert">
      <w:tblPr/>
      <w:tcPr>
        <w:shd w:color="auto" w:fill="deeaf6" w:themeFill="accent5" w:themeFillTint="000033" w:val="clear"/>
      </w:tcPr>
    </w:tblStylePr>
    <w:tblStylePr w:type="band1Horz">
      <w:tblPr/>
      <w:tcPr>
        <w:shd w:color="auto" w:fill="deeaf6" w:themeFill="accent5" w:themeFillTint="000033" w:val="clear"/>
      </w:tcPr>
    </w:tblStylePr>
  </w:style>
  <w:style w:type="table" w:styleId="GridTable4-Accent6">
    <w:name w:val="Grid Table 4 Accent 6"/>
    <w:basedOn w:val="TableNormal"/>
    <w:uiPriority w:val="49"/>
    <w:rsid w:val="00687316"/>
    <w:pPr>
      <w:spacing w:after="0" w:line="240" w:lineRule="auto"/>
    </w:pPr>
    <w:tblPr>
      <w:tblStyleRowBandSize w:val="1"/>
      <w:tblStyleColBandSize w:val="1"/>
      <w:tblBorders>
        <w:top w:color="a8d08d" w:space="0" w:sz="4" w:themeColor="accent6" w:themeTint="000099" w:val="single"/>
        <w:left w:color="a8d08d" w:space="0" w:sz="4" w:themeColor="accent6" w:themeTint="000099" w:val="single"/>
        <w:bottom w:color="a8d08d" w:space="0" w:sz="4" w:themeColor="accent6" w:themeTint="000099" w:val="single"/>
        <w:right w:color="a8d08d" w:space="0" w:sz="4" w:themeColor="accent6" w:themeTint="000099" w:val="single"/>
        <w:insideH w:color="a8d08d" w:space="0" w:sz="4" w:themeColor="accent6" w:themeTint="000099" w:val="single"/>
        <w:insideV w:color="a8d08d" w:space="0" w:sz="4" w:themeColor="accent6" w:themeTint="000099" w:val="single"/>
      </w:tblBorders>
    </w:tblPr>
    <w:tblStylePr w:type="firstRow">
      <w:rPr>
        <w:b w:val="1"/>
        <w:bCs w:val="1"/>
        <w:color w:val="ffffff" w:themeColor="background1"/>
      </w:rPr>
      <w:tblPr/>
      <w:tcPr>
        <w:tcBorders>
          <w:top w:color="70ad47" w:space="0" w:sz="4" w:themeColor="accent6" w:val="single"/>
          <w:left w:color="70ad47" w:space="0" w:sz="4" w:themeColor="accent6" w:val="single"/>
          <w:bottom w:color="70ad47" w:space="0" w:sz="4" w:themeColor="accent6" w:val="single"/>
          <w:right w:color="70ad47" w:space="0" w:sz="4" w:themeColor="accent6" w:val="single"/>
          <w:insideH w:space="0" w:sz="0" w:val="nil"/>
          <w:insideV w:space="0" w:sz="0" w:val="nil"/>
        </w:tcBorders>
        <w:shd w:color="auto" w:fill="70ad47" w:themeFill="accent6" w:val="clear"/>
      </w:tcPr>
    </w:tblStylePr>
    <w:tblStylePr w:type="lastRow">
      <w:rPr>
        <w:b w:val="1"/>
        <w:bCs w:val="1"/>
      </w:rPr>
      <w:tblPr/>
      <w:tcPr>
        <w:tcBorders>
          <w:top w:color="70ad47" w:space="0" w:sz="4" w:themeColor="accent6" w:val="double"/>
        </w:tcBorders>
      </w:tcPr>
    </w:tblStylePr>
    <w:tblStylePr w:type="firstCol">
      <w:rPr>
        <w:b w:val="1"/>
        <w:bCs w:val="1"/>
      </w:rPr>
    </w:tblStylePr>
    <w:tblStylePr w:type="lastCol">
      <w:rPr>
        <w:b w:val="1"/>
        <w:bCs w:val="1"/>
      </w:rPr>
    </w:tblStylePr>
    <w:tblStylePr w:type="band1Vert">
      <w:tblPr/>
      <w:tcPr>
        <w:shd w:color="auto" w:fill="e2efd9" w:themeFill="accent6" w:themeFillTint="000033" w:val="clear"/>
      </w:tcPr>
    </w:tblStylePr>
    <w:tblStylePr w:type="band1Horz">
      <w:tblPr/>
      <w:tcPr>
        <w:shd w:color="auto" w:fill="e2efd9" w:themeFill="accent6" w:themeFillTint="000033" w:val="clear"/>
      </w:tcPr>
    </w:tblStylePr>
  </w:style>
  <w:style w:type="table" w:styleId="GridTable5Dark">
    <w:name w:val="Grid Table 5 Dark"/>
    <w:basedOn w:val="TableNormal"/>
    <w:uiPriority w:val="50"/>
    <w:rsid w:val="00687316"/>
    <w:pPr>
      <w:spacing w:after="0" w:line="240" w:lineRule="auto"/>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cccccc" w:themeFill="text1"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000000" w:themeFill="text1"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000000" w:themeFill="text1"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000000" w:themeFill="text1"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000000" w:themeFill="text1" w:val="clear"/>
      </w:tcPr>
    </w:tblStylePr>
    <w:tblStylePr w:type="band1Vert">
      <w:tblPr/>
      <w:tcPr>
        <w:shd w:color="auto" w:fill="999999" w:themeFill="text1" w:themeFillTint="000066" w:val="clear"/>
      </w:tcPr>
    </w:tblStylePr>
    <w:tblStylePr w:type="band1Horz">
      <w:tblPr/>
      <w:tcPr>
        <w:shd w:color="auto" w:fill="999999" w:themeFill="text1" w:themeFillTint="000066" w:val="clear"/>
      </w:tcPr>
    </w:tblStylePr>
  </w:style>
  <w:style w:type="table" w:styleId="GridTable5Dark-Accent1">
    <w:name w:val="Grid Table 5 Dark Accent 1"/>
    <w:basedOn w:val="TableNormal"/>
    <w:uiPriority w:val="50"/>
    <w:rsid w:val="00687316"/>
    <w:pPr>
      <w:spacing w:after="0" w:line="240" w:lineRule="auto"/>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9e2f3" w:themeFill="accent1"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4472c4" w:themeFill="accent1"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4472c4" w:themeFill="accent1"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4472c4" w:themeFill="accent1"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4472c4" w:themeFill="accent1" w:val="clear"/>
      </w:tcPr>
    </w:tblStylePr>
    <w:tblStylePr w:type="band1Vert">
      <w:tblPr/>
      <w:tcPr>
        <w:shd w:color="auto" w:fill="b4c6e7" w:themeFill="accent1" w:themeFillTint="000066" w:val="clear"/>
      </w:tcPr>
    </w:tblStylePr>
    <w:tblStylePr w:type="band1Horz">
      <w:tblPr/>
      <w:tcPr>
        <w:shd w:color="auto" w:fill="b4c6e7" w:themeFill="accent1" w:themeFillTint="000066" w:val="clear"/>
      </w:tcPr>
    </w:tblStylePr>
  </w:style>
  <w:style w:type="table" w:styleId="GridTable5Dark-Accent2">
    <w:name w:val="Grid Table 5 Dark Accent 2"/>
    <w:basedOn w:val="TableNormal"/>
    <w:uiPriority w:val="50"/>
    <w:rsid w:val="00687316"/>
    <w:pPr>
      <w:spacing w:after="0" w:line="240" w:lineRule="auto"/>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fbe4d5" w:themeFill="accent2"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ed7d31" w:themeFill="accent2"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ed7d31" w:themeFill="accent2"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ed7d31" w:themeFill="accent2"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ed7d31" w:themeFill="accent2" w:val="clear"/>
      </w:tcPr>
    </w:tblStylePr>
    <w:tblStylePr w:type="band1Vert">
      <w:tblPr/>
      <w:tcPr>
        <w:shd w:color="auto" w:fill="f7caac" w:themeFill="accent2" w:themeFillTint="000066" w:val="clear"/>
      </w:tcPr>
    </w:tblStylePr>
    <w:tblStylePr w:type="band1Horz">
      <w:tblPr/>
      <w:tcPr>
        <w:shd w:color="auto" w:fill="f7caac" w:themeFill="accent2" w:themeFillTint="000066" w:val="clear"/>
      </w:tcPr>
    </w:tblStylePr>
  </w:style>
  <w:style w:type="table" w:styleId="GridTable5Dark-Accent3">
    <w:name w:val="Grid Table 5 Dark Accent 3"/>
    <w:basedOn w:val="TableNormal"/>
    <w:uiPriority w:val="50"/>
    <w:rsid w:val="00687316"/>
    <w:pPr>
      <w:spacing w:after="0" w:line="240" w:lineRule="auto"/>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ededed" w:themeFill="accent3"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a5a5a5" w:themeFill="accent3"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a5a5a5" w:themeFill="accent3"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a5a5a5" w:themeFill="accent3"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a5a5a5" w:themeFill="accent3" w:val="clear"/>
      </w:tcPr>
    </w:tblStylePr>
    <w:tblStylePr w:type="band1Vert">
      <w:tblPr/>
      <w:tcPr>
        <w:shd w:color="auto" w:fill="dbdbdb" w:themeFill="accent3" w:themeFillTint="000066" w:val="clear"/>
      </w:tcPr>
    </w:tblStylePr>
    <w:tblStylePr w:type="band1Horz">
      <w:tblPr/>
      <w:tcPr>
        <w:shd w:color="auto" w:fill="dbdbdb" w:themeFill="accent3" w:themeFillTint="000066" w:val="clear"/>
      </w:tcPr>
    </w:tblStylePr>
  </w:style>
  <w:style w:type="table" w:styleId="GridTable5Dark-Accent4">
    <w:name w:val="Grid Table 5 Dark Accent 4"/>
    <w:basedOn w:val="TableNormal"/>
    <w:uiPriority w:val="50"/>
    <w:rsid w:val="00687316"/>
    <w:pPr>
      <w:spacing w:after="0" w:line="240" w:lineRule="auto"/>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fff2cc" w:themeFill="accent4"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ffc000" w:themeFill="accent4"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ffc000" w:themeFill="accent4"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ffc000" w:themeFill="accent4"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ffc000" w:themeFill="accent4" w:val="clear"/>
      </w:tcPr>
    </w:tblStylePr>
    <w:tblStylePr w:type="band1Vert">
      <w:tblPr/>
      <w:tcPr>
        <w:shd w:color="auto" w:fill="ffe599" w:themeFill="accent4" w:themeFillTint="000066" w:val="clear"/>
      </w:tcPr>
    </w:tblStylePr>
    <w:tblStylePr w:type="band1Horz">
      <w:tblPr/>
      <w:tcPr>
        <w:shd w:color="auto" w:fill="ffe599" w:themeFill="accent4" w:themeFillTint="000066" w:val="clear"/>
      </w:tcPr>
    </w:tblStylePr>
  </w:style>
  <w:style w:type="table" w:styleId="GridTable5Dark-Accent5">
    <w:name w:val="Grid Table 5 Dark Accent 5"/>
    <w:basedOn w:val="TableNormal"/>
    <w:uiPriority w:val="50"/>
    <w:rsid w:val="00687316"/>
    <w:pPr>
      <w:spacing w:after="0" w:line="240" w:lineRule="auto"/>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b9bd5"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b9bd5" w:themeFill="accent5" w:val="clear"/>
      </w:tcPr>
    </w:tblStylePr>
    <w:tblStylePr w:type="band1Vert">
      <w:tblPr/>
      <w:tcPr>
        <w:shd w:color="auto" w:fill="bdd6ee" w:themeFill="accent5" w:themeFillTint="000066" w:val="clear"/>
      </w:tcPr>
    </w:tblStylePr>
    <w:tblStylePr w:type="band1Horz">
      <w:tblPr/>
      <w:tcPr>
        <w:shd w:color="auto" w:fill="bdd6ee" w:themeFill="accent5" w:themeFillTint="000066" w:val="clear"/>
      </w:tcPr>
    </w:tblStylePr>
  </w:style>
  <w:style w:type="table" w:styleId="GridTable5Dark-Accent6">
    <w:name w:val="Grid Table 5 Dark Accent 6"/>
    <w:basedOn w:val="TableNormal"/>
    <w:uiPriority w:val="50"/>
    <w:rsid w:val="00687316"/>
    <w:pPr>
      <w:spacing w:after="0" w:line="240" w:lineRule="auto"/>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e2efd9" w:themeFill="accent6"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70ad47" w:themeFill="accent6"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70ad47" w:themeFill="accent6"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70ad47" w:themeFill="accent6"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70ad47" w:themeFill="accent6" w:val="clear"/>
      </w:tcPr>
    </w:tblStylePr>
    <w:tblStylePr w:type="band1Vert">
      <w:tblPr/>
      <w:tcPr>
        <w:shd w:color="auto" w:fill="c5e0b3" w:themeFill="accent6" w:themeFillTint="000066" w:val="clear"/>
      </w:tcPr>
    </w:tblStylePr>
    <w:tblStylePr w:type="band1Horz">
      <w:tblPr/>
      <w:tcPr>
        <w:shd w:color="auto" w:fill="c5e0b3" w:themeFill="accent6" w:themeFillTint="000066" w:val="clear"/>
      </w:tcPr>
    </w:tblStylePr>
  </w:style>
  <w:style w:type="table" w:styleId="GridTable6Colorful">
    <w:name w:val="Grid Table 6 Colorful"/>
    <w:basedOn w:val="TableNormal"/>
    <w:uiPriority w:val="51"/>
    <w:rsid w:val="00687316"/>
    <w:pPr>
      <w:spacing w:after="0" w:line="240" w:lineRule="auto"/>
    </w:pPr>
    <w:rPr>
      <w:color w:val="000000" w:themeColor="text1"/>
    </w:rPr>
    <w:tblPr>
      <w:tblStyleRowBandSize w:val="1"/>
      <w:tblStyleColBandSize w:val="1"/>
      <w:tblBorders>
        <w:top w:color="666666" w:space="0" w:sz="4" w:themeColor="text1" w:themeTint="000099" w:val="single"/>
        <w:left w:color="666666" w:space="0" w:sz="4" w:themeColor="text1" w:themeTint="000099" w:val="single"/>
        <w:bottom w:color="666666" w:space="0" w:sz="4" w:themeColor="text1" w:themeTint="000099" w:val="single"/>
        <w:right w:color="666666" w:space="0" w:sz="4" w:themeColor="text1" w:themeTint="000099" w:val="single"/>
        <w:insideH w:color="666666" w:space="0" w:sz="4" w:themeColor="text1" w:themeTint="000099" w:val="single"/>
        <w:insideV w:color="666666" w:space="0" w:sz="4" w:themeColor="text1" w:themeTint="000099" w:val="single"/>
      </w:tblBorders>
    </w:tblPr>
    <w:tblStylePr w:type="firstRow">
      <w:rPr>
        <w:b w:val="1"/>
        <w:bCs w:val="1"/>
      </w:rPr>
      <w:tblPr/>
      <w:tcPr>
        <w:tcBorders>
          <w:bottom w:color="666666" w:space="0" w:sz="12" w:themeColor="text1" w:themeTint="000099" w:val="single"/>
        </w:tcBorders>
      </w:tcPr>
    </w:tblStylePr>
    <w:tblStylePr w:type="lastRow">
      <w:rPr>
        <w:b w:val="1"/>
        <w:bCs w:val="1"/>
      </w:rPr>
      <w:tblPr/>
      <w:tcPr>
        <w:tcBorders>
          <w:top w:color="666666" w:space="0" w:sz="4" w:themeColor="text1" w:themeTint="000099"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GridTable6Colorful-Accent1">
    <w:name w:val="Grid Table 6 Colorful Accent 1"/>
    <w:basedOn w:val="TableNormal"/>
    <w:uiPriority w:val="51"/>
    <w:rsid w:val="00687316"/>
    <w:pPr>
      <w:spacing w:after="0" w:line="240" w:lineRule="auto"/>
    </w:pPr>
    <w:rPr>
      <w:color w:val="2f5496" w:themeColor="accent1" w:themeShade="0000BF"/>
    </w:rPr>
    <w:tblPr>
      <w:tblStyleRowBandSize w:val="1"/>
      <w:tblStyleColBandSize w:val="1"/>
      <w:tblBorders>
        <w:top w:color="8eaadb" w:space="0" w:sz="4" w:themeColor="accent1" w:themeTint="000099" w:val="single"/>
        <w:left w:color="8eaadb" w:space="0" w:sz="4" w:themeColor="accent1" w:themeTint="000099" w:val="single"/>
        <w:bottom w:color="8eaadb" w:space="0" w:sz="4" w:themeColor="accent1" w:themeTint="000099" w:val="single"/>
        <w:right w:color="8eaadb" w:space="0" w:sz="4" w:themeColor="accent1" w:themeTint="000099" w:val="single"/>
        <w:insideH w:color="8eaadb" w:space="0" w:sz="4" w:themeColor="accent1" w:themeTint="000099" w:val="single"/>
        <w:insideV w:color="8eaadb" w:space="0" w:sz="4" w:themeColor="accent1" w:themeTint="000099" w:val="single"/>
      </w:tblBorders>
    </w:tblPr>
    <w:tblStylePr w:type="firstRow">
      <w:rPr>
        <w:b w:val="1"/>
        <w:bCs w:val="1"/>
      </w:rPr>
      <w:tblPr/>
      <w:tcPr>
        <w:tcBorders>
          <w:bottom w:color="8eaadb" w:space="0" w:sz="12" w:themeColor="accent1" w:themeTint="000099" w:val="single"/>
        </w:tcBorders>
      </w:tcPr>
    </w:tblStylePr>
    <w:tblStylePr w:type="lastRow">
      <w:rPr>
        <w:b w:val="1"/>
        <w:bCs w:val="1"/>
      </w:rPr>
      <w:tblPr/>
      <w:tcPr>
        <w:tcBorders>
          <w:top w:color="8eaadb" w:space="0" w:sz="4" w:themeColor="accent1" w:themeTint="000099" w:val="double"/>
        </w:tcBorders>
      </w:tcPr>
    </w:tblStylePr>
    <w:tblStylePr w:type="firstCol">
      <w:rPr>
        <w:b w:val="1"/>
        <w:bCs w:val="1"/>
      </w:rPr>
    </w:tblStylePr>
    <w:tblStylePr w:type="lastCol">
      <w:rPr>
        <w:b w:val="1"/>
        <w:bCs w:val="1"/>
      </w:rPr>
    </w:tblStylePr>
    <w:tblStylePr w:type="band1Vert">
      <w:tblPr/>
      <w:tcPr>
        <w:shd w:color="auto" w:fill="d9e2f3" w:themeFill="accent1" w:themeFillTint="000033" w:val="clear"/>
      </w:tcPr>
    </w:tblStylePr>
    <w:tblStylePr w:type="band1Horz">
      <w:tblPr/>
      <w:tcPr>
        <w:shd w:color="auto" w:fill="d9e2f3" w:themeFill="accent1" w:themeFillTint="000033" w:val="clear"/>
      </w:tcPr>
    </w:tblStylePr>
  </w:style>
  <w:style w:type="table" w:styleId="GridTable6Colorful-Accent2">
    <w:name w:val="Grid Table 6 Colorful Accent 2"/>
    <w:basedOn w:val="TableNormal"/>
    <w:uiPriority w:val="51"/>
    <w:rsid w:val="00687316"/>
    <w:pPr>
      <w:spacing w:after="0" w:line="240" w:lineRule="auto"/>
    </w:pPr>
    <w:rPr>
      <w:color w:val="c45911" w:themeColor="accent2" w:themeShade="0000BF"/>
    </w:rPr>
    <w:tblPr>
      <w:tblStyleRowBandSize w:val="1"/>
      <w:tblStyleColBandSize w:val="1"/>
      <w:tblBorders>
        <w:top w:color="f4b083" w:space="0" w:sz="4" w:themeColor="accent2" w:themeTint="000099" w:val="single"/>
        <w:left w:color="f4b083" w:space="0" w:sz="4" w:themeColor="accent2" w:themeTint="000099" w:val="single"/>
        <w:bottom w:color="f4b083" w:space="0" w:sz="4" w:themeColor="accent2" w:themeTint="000099" w:val="single"/>
        <w:right w:color="f4b083" w:space="0" w:sz="4" w:themeColor="accent2" w:themeTint="000099" w:val="single"/>
        <w:insideH w:color="f4b083" w:space="0" w:sz="4" w:themeColor="accent2" w:themeTint="000099" w:val="single"/>
        <w:insideV w:color="f4b083" w:space="0" w:sz="4" w:themeColor="accent2" w:themeTint="000099" w:val="single"/>
      </w:tblBorders>
    </w:tblPr>
    <w:tblStylePr w:type="firstRow">
      <w:rPr>
        <w:b w:val="1"/>
        <w:bCs w:val="1"/>
      </w:rPr>
      <w:tblPr/>
      <w:tcPr>
        <w:tcBorders>
          <w:bottom w:color="f4b083" w:space="0" w:sz="12" w:themeColor="accent2" w:themeTint="000099" w:val="single"/>
        </w:tcBorders>
      </w:tcPr>
    </w:tblStylePr>
    <w:tblStylePr w:type="lastRow">
      <w:rPr>
        <w:b w:val="1"/>
        <w:bCs w:val="1"/>
      </w:rPr>
      <w:tblPr/>
      <w:tcPr>
        <w:tcBorders>
          <w:top w:color="f4b083" w:space="0" w:sz="4" w:themeColor="accent2" w:themeTint="000099" w:val="double"/>
        </w:tcBorders>
      </w:tcPr>
    </w:tblStylePr>
    <w:tblStylePr w:type="firstCol">
      <w:rPr>
        <w:b w:val="1"/>
        <w:bCs w:val="1"/>
      </w:rPr>
    </w:tblStylePr>
    <w:tblStylePr w:type="lastCol">
      <w:rPr>
        <w:b w:val="1"/>
        <w:bCs w:val="1"/>
      </w:rPr>
    </w:tblStylePr>
    <w:tblStylePr w:type="band1Vert">
      <w:tblPr/>
      <w:tcPr>
        <w:shd w:color="auto" w:fill="fbe4d5" w:themeFill="accent2" w:themeFillTint="000033" w:val="clear"/>
      </w:tcPr>
    </w:tblStylePr>
    <w:tblStylePr w:type="band1Horz">
      <w:tblPr/>
      <w:tcPr>
        <w:shd w:color="auto" w:fill="fbe4d5" w:themeFill="accent2" w:themeFillTint="000033" w:val="clear"/>
      </w:tcPr>
    </w:tblStylePr>
  </w:style>
  <w:style w:type="table" w:styleId="GridTable6Colorful-Accent3">
    <w:name w:val="Grid Table 6 Colorful Accent 3"/>
    <w:basedOn w:val="TableNormal"/>
    <w:uiPriority w:val="51"/>
    <w:rsid w:val="00687316"/>
    <w:pPr>
      <w:spacing w:after="0" w:line="240" w:lineRule="auto"/>
    </w:pPr>
    <w:rPr>
      <w:color w:val="7b7b7b" w:themeColor="accent3" w:themeShade="0000BF"/>
    </w:rPr>
    <w:tblPr>
      <w:tblStyleRowBandSize w:val="1"/>
      <w:tblStyleColBandSize w:val="1"/>
      <w:tblBorders>
        <w:top w:color="c9c9c9" w:space="0" w:sz="4" w:themeColor="accent3" w:themeTint="000099" w:val="single"/>
        <w:left w:color="c9c9c9" w:space="0" w:sz="4" w:themeColor="accent3" w:themeTint="000099" w:val="single"/>
        <w:bottom w:color="c9c9c9" w:space="0" w:sz="4" w:themeColor="accent3" w:themeTint="000099" w:val="single"/>
        <w:right w:color="c9c9c9" w:space="0" w:sz="4" w:themeColor="accent3" w:themeTint="000099" w:val="single"/>
        <w:insideH w:color="c9c9c9" w:space="0" w:sz="4" w:themeColor="accent3" w:themeTint="000099" w:val="single"/>
        <w:insideV w:color="c9c9c9" w:space="0" w:sz="4" w:themeColor="accent3" w:themeTint="000099" w:val="single"/>
      </w:tblBorders>
    </w:tblPr>
    <w:tblStylePr w:type="firstRow">
      <w:rPr>
        <w:b w:val="1"/>
        <w:bCs w:val="1"/>
      </w:rPr>
      <w:tblPr/>
      <w:tcPr>
        <w:tcBorders>
          <w:bottom w:color="c9c9c9" w:space="0" w:sz="12" w:themeColor="accent3" w:themeTint="000099" w:val="single"/>
        </w:tcBorders>
      </w:tcPr>
    </w:tblStylePr>
    <w:tblStylePr w:type="lastRow">
      <w:rPr>
        <w:b w:val="1"/>
        <w:bCs w:val="1"/>
      </w:rPr>
      <w:tblPr/>
      <w:tcPr>
        <w:tcBorders>
          <w:top w:color="c9c9c9" w:space="0" w:sz="4" w:themeColor="accent3" w:themeTint="000099" w:val="double"/>
        </w:tcBorders>
      </w:tcPr>
    </w:tblStylePr>
    <w:tblStylePr w:type="firstCol">
      <w:rPr>
        <w:b w:val="1"/>
        <w:bCs w:val="1"/>
      </w:rPr>
    </w:tblStylePr>
    <w:tblStylePr w:type="lastCol">
      <w:rPr>
        <w:b w:val="1"/>
        <w:bCs w:val="1"/>
      </w:r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style>
  <w:style w:type="table" w:styleId="GridTable6Colorful-Accent4">
    <w:name w:val="Grid Table 6 Colorful Accent 4"/>
    <w:basedOn w:val="TableNormal"/>
    <w:uiPriority w:val="51"/>
    <w:rsid w:val="00687316"/>
    <w:pPr>
      <w:spacing w:after="0" w:line="240" w:lineRule="auto"/>
    </w:pPr>
    <w:rPr>
      <w:color w:val="bf8f00" w:themeColor="accent4" w:themeShade="0000BF"/>
    </w:rPr>
    <w:tblPr>
      <w:tblStyleRowBandSize w:val="1"/>
      <w:tblStyleColBandSize w:val="1"/>
      <w:tblBorders>
        <w:top w:color="ffd966" w:space="0" w:sz="4" w:themeColor="accent4" w:themeTint="000099" w:val="single"/>
        <w:left w:color="ffd966" w:space="0" w:sz="4" w:themeColor="accent4" w:themeTint="000099" w:val="single"/>
        <w:bottom w:color="ffd966" w:space="0" w:sz="4" w:themeColor="accent4" w:themeTint="000099" w:val="single"/>
        <w:right w:color="ffd966" w:space="0" w:sz="4" w:themeColor="accent4" w:themeTint="000099" w:val="single"/>
        <w:insideH w:color="ffd966" w:space="0" w:sz="4" w:themeColor="accent4" w:themeTint="000099" w:val="single"/>
        <w:insideV w:color="ffd966" w:space="0" w:sz="4" w:themeColor="accent4" w:themeTint="000099" w:val="single"/>
      </w:tblBorders>
    </w:tblPr>
    <w:tblStylePr w:type="firstRow">
      <w:rPr>
        <w:b w:val="1"/>
        <w:bCs w:val="1"/>
      </w:rPr>
      <w:tblPr/>
      <w:tcPr>
        <w:tcBorders>
          <w:bottom w:color="ffd966" w:space="0" w:sz="12" w:themeColor="accent4" w:themeTint="000099" w:val="single"/>
        </w:tcBorders>
      </w:tcPr>
    </w:tblStylePr>
    <w:tblStylePr w:type="lastRow">
      <w:rPr>
        <w:b w:val="1"/>
        <w:bCs w:val="1"/>
      </w:rPr>
      <w:tblPr/>
      <w:tcPr>
        <w:tcBorders>
          <w:top w:color="ffd966" w:space="0" w:sz="4" w:themeColor="accent4" w:themeTint="000099" w:val="double"/>
        </w:tcBorders>
      </w:tcPr>
    </w:tblStylePr>
    <w:tblStylePr w:type="firstCol">
      <w:rPr>
        <w:b w:val="1"/>
        <w:bCs w:val="1"/>
      </w:rPr>
    </w:tblStylePr>
    <w:tblStylePr w:type="lastCol">
      <w:rPr>
        <w:b w:val="1"/>
        <w:bCs w:val="1"/>
      </w:r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style>
  <w:style w:type="table" w:styleId="GridTable6Colorful-Accent5">
    <w:name w:val="Grid Table 6 Colorful Accent 5"/>
    <w:basedOn w:val="TableNormal"/>
    <w:uiPriority w:val="51"/>
    <w:rsid w:val="00687316"/>
    <w:pPr>
      <w:spacing w:after="0" w:line="240" w:lineRule="auto"/>
    </w:pPr>
    <w:rPr>
      <w:color w:val="2e74b5" w:themeColor="accent5" w:themeShade="0000BF"/>
    </w:rPr>
    <w:tblPr>
      <w:tblStyleRowBandSize w:val="1"/>
      <w:tblStyleColBandSize w:val="1"/>
      <w:tblBorders>
        <w:top w:color="9cc2e5" w:space="0" w:sz="4" w:themeColor="accent5" w:themeTint="000099" w:val="single"/>
        <w:left w:color="9cc2e5" w:space="0" w:sz="4" w:themeColor="accent5" w:themeTint="000099" w:val="single"/>
        <w:bottom w:color="9cc2e5" w:space="0" w:sz="4" w:themeColor="accent5" w:themeTint="000099" w:val="single"/>
        <w:right w:color="9cc2e5" w:space="0" w:sz="4" w:themeColor="accent5" w:themeTint="000099" w:val="single"/>
        <w:insideH w:color="9cc2e5" w:space="0" w:sz="4" w:themeColor="accent5" w:themeTint="000099" w:val="single"/>
        <w:insideV w:color="9cc2e5" w:space="0" w:sz="4" w:themeColor="accent5" w:themeTint="000099" w:val="single"/>
      </w:tblBorders>
    </w:tblPr>
    <w:tblStylePr w:type="firstRow">
      <w:rPr>
        <w:b w:val="1"/>
        <w:bCs w:val="1"/>
      </w:rPr>
      <w:tblPr/>
      <w:tcPr>
        <w:tcBorders>
          <w:bottom w:color="9cc2e5" w:space="0" w:sz="12" w:themeColor="accent5" w:themeTint="000099" w:val="single"/>
        </w:tcBorders>
      </w:tcPr>
    </w:tblStylePr>
    <w:tblStylePr w:type="lastRow">
      <w:rPr>
        <w:b w:val="1"/>
        <w:bCs w:val="1"/>
      </w:rPr>
      <w:tblPr/>
      <w:tcPr>
        <w:tcBorders>
          <w:top w:color="9cc2e5" w:space="0" w:sz="4" w:themeColor="accent5" w:themeTint="000099" w:val="double"/>
        </w:tcBorders>
      </w:tcPr>
    </w:tblStylePr>
    <w:tblStylePr w:type="firstCol">
      <w:rPr>
        <w:b w:val="1"/>
        <w:bCs w:val="1"/>
      </w:rPr>
    </w:tblStylePr>
    <w:tblStylePr w:type="lastCol">
      <w:rPr>
        <w:b w:val="1"/>
        <w:bCs w:val="1"/>
      </w:rPr>
    </w:tblStylePr>
    <w:tblStylePr w:type="band1Vert">
      <w:tblPr/>
      <w:tcPr>
        <w:shd w:color="auto" w:fill="deeaf6" w:themeFill="accent5" w:themeFillTint="000033" w:val="clear"/>
      </w:tcPr>
    </w:tblStylePr>
    <w:tblStylePr w:type="band1Horz">
      <w:tblPr/>
      <w:tcPr>
        <w:shd w:color="auto" w:fill="deeaf6" w:themeFill="accent5" w:themeFillTint="000033" w:val="clear"/>
      </w:tcPr>
    </w:tblStylePr>
  </w:style>
  <w:style w:type="table" w:styleId="GridTable6Colorful-Accent6">
    <w:name w:val="Grid Table 6 Colorful Accent 6"/>
    <w:basedOn w:val="TableNormal"/>
    <w:uiPriority w:val="51"/>
    <w:rsid w:val="00687316"/>
    <w:pPr>
      <w:spacing w:after="0" w:line="240" w:lineRule="auto"/>
    </w:pPr>
    <w:rPr>
      <w:color w:val="538135" w:themeColor="accent6" w:themeShade="0000BF"/>
    </w:rPr>
    <w:tblPr>
      <w:tblStyleRowBandSize w:val="1"/>
      <w:tblStyleColBandSize w:val="1"/>
      <w:tblBorders>
        <w:top w:color="a8d08d" w:space="0" w:sz="4" w:themeColor="accent6" w:themeTint="000099" w:val="single"/>
        <w:left w:color="a8d08d" w:space="0" w:sz="4" w:themeColor="accent6" w:themeTint="000099" w:val="single"/>
        <w:bottom w:color="a8d08d" w:space="0" w:sz="4" w:themeColor="accent6" w:themeTint="000099" w:val="single"/>
        <w:right w:color="a8d08d" w:space="0" w:sz="4" w:themeColor="accent6" w:themeTint="000099" w:val="single"/>
        <w:insideH w:color="a8d08d" w:space="0" w:sz="4" w:themeColor="accent6" w:themeTint="000099" w:val="single"/>
        <w:insideV w:color="a8d08d" w:space="0" w:sz="4" w:themeColor="accent6" w:themeTint="000099" w:val="single"/>
      </w:tblBorders>
    </w:tblPr>
    <w:tblStylePr w:type="firstRow">
      <w:rPr>
        <w:b w:val="1"/>
        <w:bCs w:val="1"/>
      </w:rPr>
      <w:tblPr/>
      <w:tcPr>
        <w:tcBorders>
          <w:bottom w:color="a8d08d" w:space="0" w:sz="12" w:themeColor="accent6" w:themeTint="000099" w:val="single"/>
        </w:tcBorders>
      </w:tcPr>
    </w:tblStylePr>
    <w:tblStylePr w:type="lastRow">
      <w:rPr>
        <w:b w:val="1"/>
        <w:bCs w:val="1"/>
      </w:rPr>
      <w:tblPr/>
      <w:tcPr>
        <w:tcBorders>
          <w:top w:color="a8d08d" w:space="0" w:sz="4" w:themeColor="accent6" w:themeTint="000099" w:val="double"/>
        </w:tcBorders>
      </w:tcPr>
    </w:tblStylePr>
    <w:tblStylePr w:type="firstCol">
      <w:rPr>
        <w:b w:val="1"/>
        <w:bCs w:val="1"/>
      </w:rPr>
    </w:tblStylePr>
    <w:tblStylePr w:type="lastCol">
      <w:rPr>
        <w:b w:val="1"/>
        <w:bCs w:val="1"/>
      </w:rPr>
    </w:tblStylePr>
    <w:tblStylePr w:type="band1Vert">
      <w:tblPr/>
      <w:tcPr>
        <w:shd w:color="auto" w:fill="e2efd9" w:themeFill="accent6" w:themeFillTint="000033" w:val="clear"/>
      </w:tcPr>
    </w:tblStylePr>
    <w:tblStylePr w:type="band1Horz">
      <w:tblPr/>
      <w:tcPr>
        <w:shd w:color="auto" w:fill="e2efd9" w:themeFill="accent6" w:themeFillTint="000033" w:val="clear"/>
      </w:tcPr>
    </w:tblStylePr>
  </w:style>
  <w:style w:type="table" w:styleId="GridTable7Colorful">
    <w:name w:val="Grid Table 7 Colorful"/>
    <w:basedOn w:val="TableNormal"/>
    <w:uiPriority w:val="52"/>
    <w:rsid w:val="00687316"/>
    <w:pPr>
      <w:spacing w:after="0" w:line="240" w:lineRule="auto"/>
    </w:pPr>
    <w:rPr>
      <w:color w:val="000000" w:themeColor="text1"/>
    </w:rPr>
    <w:tblPr>
      <w:tblStyleRowBandSize w:val="1"/>
      <w:tblStyleColBandSize w:val="1"/>
      <w:tblBorders>
        <w:top w:color="666666" w:space="0" w:sz="4" w:themeColor="text1" w:themeTint="000099" w:val="single"/>
        <w:left w:color="666666" w:space="0" w:sz="4" w:themeColor="text1" w:themeTint="000099" w:val="single"/>
        <w:bottom w:color="666666" w:space="0" w:sz="4" w:themeColor="text1" w:themeTint="000099" w:val="single"/>
        <w:right w:color="666666" w:space="0" w:sz="4" w:themeColor="text1" w:themeTint="000099" w:val="single"/>
        <w:insideH w:color="666666" w:space="0" w:sz="4" w:themeColor="text1" w:themeTint="000099" w:val="single"/>
        <w:insideV w:color="666666" w:space="0" w:sz="4" w:themeColor="text1"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tblStylePr w:type="neCell">
      <w:tblPr/>
      <w:tcPr>
        <w:tcBorders>
          <w:bottom w:color="666666" w:space="0" w:sz="4" w:themeColor="text1" w:themeTint="000099" w:val="single"/>
        </w:tcBorders>
      </w:tcPr>
    </w:tblStylePr>
    <w:tblStylePr w:type="nwCell">
      <w:tblPr/>
      <w:tcPr>
        <w:tcBorders>
          <w:bottom w:color="666666" w:space="0" w:sz="4" w:themeColor="text1" w:themeTint="000099" w:val="single"/>
        </w:tcBorders>
      </w:tcPr>
    </w:tblStylePr>
    <w:tblStylePr w:type="seCell">
      <w:tblPr/>
      <w:tcPr>
        <w:tcBorders>
          <w:top w:color="666666" w:space="0" w:sz="4" w:themeColor="text1" w:themeTint="000099" w:val="single"/>
        </w:tcBorders>
      </w:tcPr>
    </w:tblStylePr>
    <w:tblStylePr w:type="swCell">
      <w:tblPr/>
      <w:tcPr>
        <w:tcBorders>
          <w:top w:color="666666" w:space="0" w:sz="4" w:themeColor="text1" w:themeTint="000099" w:val="single"/>
        </w:tcBorders>
      </w:tcPr>
    </w:tblStylePr>
  </w:style>
  <w:style w:type="table" w:styleId="GridTable7Colorful-Accent1">
    <w:name w:val="Grid Table 7 Colorful Accent 1"/>
    <w:basedOn w:val="TableNormal"/>
    <w:uiPriority w:val="52"/>
    <w:rsid w:val="00687316"/>
    <w:pPr>
      <w:spacing w:after="0" w:line="240" w:lineRule="auto"/>
    </w:pPr>
    <w:rPr>
      <w:color w:val="2f5496" w:themeColor="accent1" w:themeShade="0000BF"/>
    </w:rPr>
    <w:tblPr>
      <w:tblStyleRowBandSize w:val="1"/>
      <w:tblStyleColBandSize w:val="1"/>
      <w:tblBorders>
        <w:top w:color="8eaadb" w:space="0" w:sz="4" w:themeColor="accent1" w:themeTint="000099" w:val="single"/>
        <w:left w:color="8eaadb" w:space="0" w:sz="4" w:themeColor="accent1" w:themeTint="000099" w:val="single"/>
        <w:bottom w:color="8eaadb" w:space="0" w:sz="4" w:themeColor="accent1" w:themeTint="000099" w:val="single"/>
        <w:right w:color="8eaadb" w:space="0" w:sz="4" w:themeColor="accent1" w:themeTint="000099" w:val="single"/>
        <w:insideH w:color="8eaadb" w:space="0" w:sz="4" w:themeColor="accent1" w:themeTint="000099" w:val="single"/>
        <w:insideV w:color="8eaadb" w:space="0" w:sz="4" w:themeColor="accent1"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d9e2f3" w:themeFill="accent1" w:themeFillTint="000033" w:val="clear"/>
      </w:tcPr>
    </w:tblStylePr>
    <w:tblStylePr w:type="band1Horz">
      <w:tblPr/>
      <w:tcPr>
        <w:shd w:color="auto" w:fill="d9e2f3" w:themeFill="accent1" w:themeFillTint="000033" w:val="clear"/>
      </w:tcPr>
    </w:tblStylePr>
    <w:tblStylePr w:type="neCell">
      <w:tblPr/>
      <w:tcPr>
        <w:tcBorders>
          <w:bottom w:color="8eaadb" w:space="0" w:sz="4" w:themeColor="accent1" w:themeTint="000099" w:val="single"/>
        </w:tcBorders>
      </w:tcPr>
    </w:tblStylePr>
    <w:tblStylePr w:type="nwCell">
      <w:tblPr/>
      <w:tcPr>
        <w:tcBorders>
          <w:bottom w:color="8eaadb" w:space="0" w:sz="4" w:themeColor="accent1" w:themeTint="000099" w:val="single"/>
        </w:tcBorders>
      </w:tcPr>
    </w:tblStylePr>
    <w:tblStylePr w:type="seCell">
      <w:tblPr/>
      <w:tcPr>
        <w:tcBorders>
          <w:top w:color="8eaadb" w:space="0" w:sz="4" w:themeColor="accent1" w:themeTint="000099" w:val="single"/>
        </w:tcBorders>
      </w:tcPr>
    </w:tblStylePr>
    <w:tblStylePr w:type="swCell">
      <w:tblPr/>
      <w:tcPr>
        <w:tcBorders>
          <w:top w:color="8eaadb" w:space="0" w:sz="4" w:themeColor="accent1" w:themeTint="000099" w:val="single"/>
        </w:tcBorders>
      </w:tcPr>
    </w:tblStylePr>
  </w:style>
  <w:style w:type="table" w:styleId="GridTable7Colorful-Accent2">
    <w:name w:val="Grid Table 7 Colorful Accent 2"/>
    <w:basedOn w:val="TableNormal"/>
    <w:uiPriority w:val="52"/>
    <w:rsid w:val="00687316"/>
    <w:pPr>
      <w:spacing w:after="0" w:line="240" w:lineRule="auto"/>
    </w:pPr>
    <w:rPr>
      <w:color w:val="c45911" w:themeColor="accent2" w:themeShade="0000BF"/>
    </w:rPr>
    <w:tblPr>
      <w:tblStyleRowBandSize w:val="1"/>
      <w:tblStyleColBandSize w:val="1"/>
      <w:tblBorders>
        <w:top w:color="f4b083" w:space="0" w:sz="4" w:themeColor="accent2" w:themeTint="000099" w:val="single"/>
        <w:left w:color="f4b083" w:space="0" w:sz="4" w:themeColor="accent2" w:themeTint="000099" w:val="single"/>
        <w:bottom w:color="f4b083" w:space="0" w:sz="4" w:themeColor="accent2" w:themeTint="000099" w:val="single"/>
        <w:right w:color="f4b083" w:space="0" w:sz="4" w:themeColor="accent2" w:themeTint="000099" w:val="single"/>
        <w:insideH w:color="f4b083" w:space="0" w:sz="4" w:themeColor="accent2" w:themeTint="000099" w:val="single"/>
        <w:insideV w:color="f4b083" w:space="0" w:sz="4" w:themeColor="accent2"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fbe4d5" w:themeFill="accent2" w:themeFillTint="000033" w:val="clear"/>
      </w:tcPr>
    </w:tblStylePr>
    <w:tblStylePr w:type="band1Horz">
      <w:tblPr/>
      <w:tcPr>
        <w:shd w:color="auto" w:fill="fbe4d5" w:themeFill="accent2" w:themeFillTint="000033" w:val="clear"/>
      </w:tcPr>
    </w:tblStylePr>
    <w:tblStylePr w:type="neCell">
      <w:tblPr/>
      <w:tcPr>
        <w:tcBorders>
          <w:bottom w:color="f4b083" w:space="0" w:sz="4" w:themeColor="accent2" w:themeTint="000099" w:val="single"/>
        </w:tcBorders>
      </w:tcPr>
    </w:tblStylePr>
    <w:tblStylePr w:type="nwCell">
      <w:tblPr/>
      <w:tcPr>
        <w:tcBorders>
          <w:bottom w:color="f4b083" w:space="0" w:sz="4" w:themeColor="accent2" w:themeTint="000099" w:val="single"/>
        </w:tcBorders>
      </w:tcPr>
    </w:tblStylePr>
    <w:tblStylePr w:type="seCell">
      <w:tblPr/>
      <w:tcPr>
        <w:tcBorders>
          <w:top w:color="f4b083" w:space="0" w:sz="4" w:themeColor="accent2" w:themeTint="000099" w:val="single"/>
        </w:tcBorders>
      </w:tcPr>
    </w:tblStylePr>
    <w:tblStylePr w:type="swCell">
      <w:tblPr/>
      <w:tcPr>
        <w:tcBorders>
          <w:top w:color="f4b083" w:space="0" w:sz="4" w:themeColor="accent2" w:themeTint="000099" w:val="single"/>
        </w:tcBorders>
      </w:tcPr>
    </w:tblStylePr>
  </w:style>
  <w:style w:type="table" w:styleId="GridTable7Colorful-Accent3">
    <w:name w:val="Grid Table 7 Colorful Accent 3"/>
    <w:basedOn w:val="TableNormal"/>
    <w:uiPriority w:val="52"/>
    <w:rsid w:val="00687316"/>
    <w:pPr>
      <w:spacing w:after="0" w:line="240" w:lineRule="auto"/>
    </w:pPr>
    <w:rPr>
      <w:color w:val="7b7b7b" w:themeColor="accent3" w:themeShade="0000BF"/>
    </w:rPr>
    <w:tblPr>
      <w:tblStyleRowBandSize w:val="1"/>
      <w:tblStyleColBandSize w:val="1"/>
      <w:tblBorders>
        <w:top w:color="c9c9c9" w:space="0" w:sz="4" w:themeColor="accent3" w:themeTint="000099" w:val="single"/>
        <w:left w:color="c9c9c9" w:space="0" w:sz="4" w:themeColor="accent3" w:themeTint="000099" w:val="single"/>
        <w:bottom w:color="c9c9c9" w:space="0" w:sz="4" w:themeColor="accent3" w:themeTint="000099" w:val="single"/>
        <w:right w:color="c9c9c9" w:space="0" w:sz="4" w:themeColor="accent3" w:themeTint="000099" w:val="single"/>
        <w:insideH w:color="c9c9c9" w:space="0" w:sz="4" w:themeColor="accent3" w:themeTint="000099" w:val="single"/>
        <w:insideV w:color="c9c9c9" w:space="0" w:sz="4" w:themeColor="accent3"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tblStylePr w:type="neCell">
      <w:tblPr/>
      <w:tcPr>
        <w:tcBorders>
          <w:bottom w:color="c9c9c9" w:space="0" w:sz="4" w:themeColor="accent3" w:themeTint="000099" w:val="single"/>
        </w:tcBorders>
      </w:tcPr>
    </w:tblStylePr>
    <w:tblStylePr w:type="nwCell">
      <w:tblPr/>
      <w:tcPr>
        <w:tcBorders>
          <w:bottom w:color="c9c9c9" w:space="0" w:sz="4" w:themeColor="accent3" w:themeTint="000099" w:val="single"/>
        </w:tcBorders>
      </w:tcPr>
    </w:tblStylePr>
    <w:tblStylePr w:type="seCell">
      <w:tblPr/>
      <w:tcPr>
        <w:tcBorders>
          <w:top w:color="c9c9c9" w:space="0" w:sz="4" w:themeColor="accent3" w:themeTint="000099" w:val="single"/>
        </w:tcBorders>
      </w:tcPr>
    </w:tblStylePr>
    <w:tblStylePr w:type="swCell">
      <w:tblPr/>
      <w:tcPr>
        <w:tcBorders>
          <w:top w:color="c9c9c9" w:space="0" w:sz="4" w:themeColor="accent3" w:themeTint="000099" w:val="single"/>
        </w:tcBorders>
      </w:tcPr>
    </w:tblStylePr>
  </w:style>
  <w:style w:type="table" w:styleId="GridTable7Colorful-Accent4">
    <w:name w:val="Grid Table 7 Colorful Accent 4"/>
    <w:basedOn w:val="TableNormal"/>
    <w:uiPriority w:val="52"/>
    <w:rsid w:val="00687316"/>
    <w:pPr>
      <w:spacing w:after="0" w:line="240" w:lineRule="auto"/>
    </w:pPr>
    <w:rPr>
      <w:color w:val="bf8f00" w:themeColor="accent4" w:themeShade="0000BF"/>
    </w:rPr>
    <w:tblPr>
      <w:tblStyleRowBandSize w:val="1"/>
      <w:tblStyleColBandSize w:val="1"/>
      <w:tblBorders>
        <w:top w:color="ffd966" w:space="0" w:sz="4" w:themeColor="accent4" w:themeTint="000099" w:val="single"/>
        <w:left w:color="ffd966" w:space="0" w:sz="4" w:themeColor="accent4" w:themeTint="000099" w:val="single"/>
        <w:bottom w:color="ffd966" w:space="0" w:sz="4" w:themeColor="accent4" w:themeTint="000099" w:val="single"/>
        <w:right w:color="ffd966" w:space="0" w:sz="4" w:themeColor="accent4" w:themeTint="000099" w:val="single"/>
        <w:insideH w:color="ffd966" w:space="0" w:sz="4" w:themeColor="accent4" w:themeTint="000099" w:val="single"/>
        <w:insideV w:color="ffd966" w:space="0" w:sz="4" w:themeColor="accent4"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tblStylePr w:type="neCell">
      <w:tblPr/>
      <w:tcPr>
        <w:tcBorders>
          <w:bottom w:color="ffd966" w:space="0" w:sz="4" w:themeColor="accent4" w:themeTint="000099" w:val="single"/>
        </w:tcBorders>
      </w:tcPr>
    </w:tblStylePr>
    <w:tblStylePr w:type="nwCell">
      <w:tblPr/>
      <w:tcPr>
        <w:tcBorders>
          <w:bottom w:color="ffd966" w:space="0" w:sz="4" w:themeColor="accent4" w:themeTint="000099" w:val="single"/>
        </w:tcBorders>
      </w:tcPr>
    </w:tblStylePr>
    <w:tblStylePr w:type="seCell">
      <w:tblPr/>
      <w:tcPr>
        <w:tcBorders>
          <w:top w:color="ffd966" w:space="0" w:sz="4" w:themeColor="accent4" w:themeTint="000099" w:val="single"/>
        </w:tcBorders>
      </w:tcPr>
    </w:tblStylePr>
    <w:tblStylePr w:type="swCell">
      <w:tblPr/>
      <w:tcPr>
        <w:tcBorders>
          <w:top w:color="ffd966" w:space="0" w:sz="4" w:themeColor="accent4" w:themeTint="000099" w:val="single"/>
        </w:tcBorders>
      </w:tcPr>
    </w:tblStylePr>
  </w:style>
  <w:style w:type="table" w:styleId="GridTable7Colorful-Accent5">
    <w:name w:val="Grid Table 7 Colorful Accent 5"/>
    <w:basedOn w:val="TableNormal"/>
    <w:uiPriority w:val="52"/>
    <w:rsid w:val="00687316"/>
    <w:pPr>
      <w:spacing w:after="0" w:line="240" w:lineRule="auto"/>
    </w:pPr>
    <w:rPr>
      <w:color w:val="2e74b5" w:themeColor="accent5" w:themeShade="0000BF"/>
    </w:rPr>
    <w:tblPr>
      <w:tblStyleRowBandSize w:val="1"/>
      <w:tblStyleColBandSize w:val="1"/>
      <w:tblBorders>
        <w:top w:color="9cc2e5" w:space="0" w:sz="4" w:themeColor="accent5" w:themeTint="000099" w:val="single"/>
        <w:left w:color="9cc2e5" w:space="0" w:sz="4" w:themeColor="accent5" w:themeTint="000099" w:val="single"/>
        <w:bottom w:color="9cc2e5" w:space="0" w:sz="4" w:themeColor="accent5" w:themeTint="000099" w:val="single"/>
        <w:right w:color="9cc2e5" w:space="0" w:sz="4" w:themeColor="accent5" w:themeTint="000099" w:val="single"/>
        <w:insideH w:color="9cc2e5" w:space="0" w:sz="4" w:themeColor="accent5" w:themeTint="000099" w:val="single"/>
        <w:insideV w:color="9cc2e5" w:space="0" w:sz="4" w:themeColor="accent5"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deeaf6" w:themeFill="accent5" w:themeFillTint="000033" w:val="clear"/>
      </w:tcPr>
    </w:tblStylePr>
    <w:tblStylePr w:type="band1Horz">
      <w:tblPr/>
      <w:tcPr>
        <w:shd w:color="auto" w:fill="deeaf6" w:themeFill="accent5" w:themeFillTint="000033" w:val="clear"/>
      </w:tcPr>
    </w:tblStylePr>
    <w:tblStylePr w:type="neCell">
      <w:tblPr/>
      <w:tcPr>
        <w:tcBorders>
          <w:bottom w:color="9cc2e5" w:space="0" w:sz="4" w:themeColor="accent5" w:themeTint="000099" w:val="single"/>
        </w:tcBorders>
      </w:tcPr>
    </w:tblStylePr>
    <w:tblStylePr w:type="nwCell">
      <w:tblPr/>
      <w:tcPr>
        <w:tcBorders>
          <w:bottom w:color="9cc2e5" w:space="0" w:sz="4" w:themeColor="accent5" w:themeTint="000099" w:val="single"/>
        </w:tcBorders>
      </w:tcPr>
    </w:tblStylePr>
    <w:tblStylePr w:type="seCell">
      <w:tblPr/>
      <w:tcPr>
        <w:tcBorders>
          <w:top w:color="9cc2e5" w:space="0" w:sz="4" w:themeColor="accent5" w:themeTint="000099" w:val="single"/>
        </w:tcBorders>
      </w:tcPr>
    </w:tblStylePr>
    <w:tblStylePr w:type="swCell">
      <w:tblPr/>
      <w:tcPr>
        <w:tcBorders>
          <w:top w:color="9cc2e5" w:space="0" w:sz="4" w:themeColor="accent5" w:themeTint="000099" w:val="single"/>
        </w:tcBorders>
      </w:tcPr>
    </w:tblStylePr>
  </w:style>
  <w:style w:type="table" w:styleId="GridTable7Colorful-Accent6">
    <w:name w:val="Grid Table 7 Colorful Accent 6"/>
    <w:basedOn w:val="TableNormal"/>
    <w:uiPriority w:val="52"/>
    <w:rsid w:val="00687316"/>
    <w:pPr>
      <w:spacing w:after="0" w:line="240" w:lineRule="auto"/>
    </w:pPr>
    <w:rPr>
      <w:color w:val="538135" w:themeColor="accent6" w:themeShade="0000BF"/>
    </w:rPr>
    <w:tblPr>
      <w:tblStyleRowBandSize w:val="1"/>
      <w:tblStyleColBandSize w:val="1"/>
      <w:tblBorders>
        <w:top w:color="a8d08d" w:space="0" w:sz="4" w:themeColor="accent6" w:themeTint="000099" w:val="single"/>
        <w:left w:color="a8d08d" w:space="0" w:sz="4" w:themeColor="accent6" w:themeTint="000099" w:val="single"/>
        <w:bottom w:color="a8d08d" w:space="0" w:sz="4" w:themeColor="accent6" w:themeTint="000099" w:val="single"/>
        <w:right w:color="a8d08d" w:space="0" w:sz="4" w:themeColor="accent6" w:themeTint="000099" w:val="single"/>
        <w:insideH w:color="a8d08d" w:space="0" w:sz="4" w:themeColor="accent6" w:themeTint="000099" w:val="single"/>
        <w:insideV w:color="a8d08d" w:space="0" w:sz="4" w:themeColor="accent6"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e2efd9" w:themeFill="accent6" w:themeFillTint="000033" w:val="clear"/>
      </w:tcPr>
    </w:tblStylePr>
    <w:tblStylePr w:type="band1Horz">
      <w:tblPr/>
      <w:tcPr>
        <w:shd w:color="auto" w:fill="e2efd9" w:themeFill="accent6" w:themeFillTint="000033" w:val="clear"/>
      </w:tcPr>
    </w:tblStylePr>
    <w:tblStylePr w:type="neCell">
      <w:tblPr/>
      <w:tcPr>
        <w:tcBorders>
          <w:bottom w:color="a8d08d" w:space="0" w:sz="4" w:themeColor="accent6" w:themeTint="000099" w:val="single"/>
        </w:tcBorders>
      </w:tcPr>
    </w:tblStylePr>
    <w:tblStylePr w:type="nwCell">
      <w:tblPr/>
      <w:tcPr>
        <w:tcBorders>
          <w:bottom w:color="a8d08d" w:space="0" w:sz="4" w:themeColor="accent6" w:themeTint="000099" w:val="single"/>
        </w:tcBorders>
      </w:tcPr>
    </w:tblStylePr>
    <w:tblStylePr w:type="seCell">
      <w:tblPr/>
      <w:tcPr>
        <w:tcBorders>
          <w:top w:color="a8d08d" w:space="0" w:sz="4" w:themeColor="accent6" w:themeTint="000099" w:val="single"/>
        </w:tcBorders>
      </w:tcPr>
    </w:tblStylePr>
    <w:tblStylePr w:type="swCell">
      <w:tblPr/>
      <w:tcPr>
        <w:tcBorders>
          <w:top w:color="a8d08d" w:space="0" w:sz="4" w:themeColor="accent6" w:themeTint="000099" w:val="single"/>
        </w:tcBorders>
      </w:tcPr>
    </w:tblStylePr>
  </w:style>
  <w:style w:type="character" w:styleId="Hashtag" w:customStyle="1">
    <w:name w:val="Hashtag"/>
    <w:basedOn w:val="DefaultParagraphFont"/>
    <w:uiPriority w:val="99"/>
    <w:semiHidden w:val="1"/>
    <w:unhideWhenUsed w:val="1"/>
    <w:rsid w:val="00687316"/>
    <w:rPr>
      <w:color w:val="2b579a"/>
      <w:shd w:color="auto" w:fill="e1dfdd" w:val="clear"/>
      <w:lang w:val="en-GB"/>
    </w:rPr>
  </w:style>
  <w:style w:type="character" w:styleId="Heading8Char" w:customStyle="1">
    <w:name w:val="Heading 8 Char"/>
    <w:basedOn w:val="DefaultParagraphFont"/>
    <w:link w:val="Heading8"/>
    <w:uiPriority w:val="9"/>
    <w:semiHidden w:val="1"/>
    <w:rsid w:val="00687316"/>
    <w:rPr>
      <w:rFonts w:asciiTheme="majorHAnsi" w:cstheme="majorBidi" w:eastAsiaTheme="majorEastAsia" w:hAnsiTheme="majorHAnsi"/>
      <w:color w:val="272727" w:themeColor="text1" w:themeTint="0000D8"/>
      <w:sz w:val="21"/>
      <w:szCs w:val="21"/>
      <w:lang w:val="en-GB"/>
    </w:rPr>
  </w:style>
  <w:style w:type="character" w:styleId="Heading9Char" w:customStyle="1">
    <w:name w:val="Heading 9 Char"/>
    <w:basedOn w:val="DefaultParagraphFont"/>
    <w:link w:val="Heading9"/>
    <w:uiPriority w:val="9"/>
    <w:semiHidden w:val="1"/>
    <w:rsid w:val="00687316"/>
    <w:rPr>
      <w:rFonts w:asciiTheme="majorHAnsi" w:cstheme="majorBidi" w:eastAsiaTheme="majorEastAsia" w:hAnsiTheme="majorHAnsi"/>
      <w:i w:val="1"/>
      <w:iCs w:val="1"/>
      <w:color w:val="272727" w:themeColor="text1" w:themeTint="0000D8"/>
      <w:sz w:val="21"/>
      <w:szCs w:val="21"/>
      <w:lang w:val="en-GB"/>
    </w:rPr>
  </w:style>
  <w:style w:type="character" w:styleId="HTMLAcronym">
    <w:name w:val="HTML Acronym"/>
    <w:basedOn w:val="DefaultParagraphFont"/>
    <w:uiPriority w:val="99"/>
    <w:semiHidden w:val="1"/>
    <w:unhideWhenUsed w:val="1"/>
    <w:rsid w:val="00687316"/>
    <w:rPr>
      <w:lang w:val="en-GB"/>
    </w:rPr>
  </w:style>
  <w:style w:type="paragraph" w:styleId="HTMLAddress">
    <w:name w:val="HTML Address"/>
    <w:basedOn w:val="Normal"/>
    <w:link w:val="HTMLAddressChar"/>
    <w:uiPriority w:val="99"/>
    <w:semiHidden w:val="1"/>
    <w:unhideWhenUsed w:val="1"/>
    <w:rsid w:val="00687316"/>
    <w:pPr>
      <w:spacing w:after="0"/>
    </w:pPr>
    <w:rPr>
      <w:i w:val="1"/>
      <w:iCs w:val="1"/>
    </w:rPr>
  </w:style>
  <w:style w:type="character" w:styleId="HTMLAddressChar" w:customStyle="1">
    <w:name w:val="HTML Address Char"/>
    <w:basedOn w:val="DefaultParagraphFont"/>
    <w:link w:val="HTMLAddress"/>
    <w:uiPriority w:val="99"/>
    <w:semiHidden w:val="1"/>
    <w:rsid w:val="00687316"/>
    <w:rPr>
      <w:rFonts w:ascii="Arial" w:hAnsi="Arial"/>
      <w:i w:val="1"/>
      <w:iCs w:val="1"/>
      <w:sz w:val="20"/>
      <w:lang w:val="en-GB"/>
    </w:rPr>
  </w:style>
  <w:style w:type="character" w:styleId="HTMLCite">
    <w:name w:val="HTML Cite"/>
    <w:basedOn w:val="DefaultParagraphFont"/>
    <w:uiPriority w:val="99"/>
    <w:semiHidden w:val="1"/>
    <w:unhideWhenUsed w:val="1"/>
    <w:rsid w:val="00687316"/>
    <w:rPr>
      <w:i w:val="1"/>
      <w:iCs w:val="1"/>
      <w:lang w:val="en-GB"/>
    </w:rPr>
  </w:style>
  <w:style w:type="character" w:styleId="HTMLCode">
    <w:name w:val="HTML Code"/>
    <w:basedOn w:val="DefaultParagraphFont"/>
    <w:uiPriority w:val="99"/>
    <w:semiHidden w:val="1"/>
    <w:unhideWhenUsed w:val="1"/>
    <w:rsid w:val="00687316"/>
    <w:rPr>
      <w:rFonts w:ascii="Consolas" w:hAnsi="Consolas"/>
      <w:sz w:val="20"/>
      <w:szCs w:val="20"/>
      <w:lang w:val="en-GB"/>
    </w:rPr>
  </w:style>
  <w:style w:type="character" w:styleId="HTMLDefinition">
    <w:name w:val="HTML Definition"/>
    <w:basedOn w:val="DefaultParagraphFont"/>
    <w:uiPriority w:val="99"/>
    <w:semiHidden w:val="1"/>
    <w:unhideWhenUsed w:val="1"/>
    <w:rsid w:val="00687316"/>
    <w:rPr>
      <w:i w:val="1"/>
      <w:iCs w:val="1"/>
      <w:lang w:val="en-GB"/>
    </w:rPr>
  </w:style>
  <w:style w:type="character" w:styleId="HTMLKeyboard">
    <w:name w:val="HTML Keyboard"/>
    <w:basedOn w:val="DefaultParagraphFont"/>
    <w:uiPriority w:val="99"/>
    <w:semiHidden w:val="1"/>
    <w:unhideWhenUsed w:val="1"/>
    <w:rsid w:val="00687316"/>
    <w:rPr>
      <w:rFonts w:ascii="Consolas" w:hAnsi="Consolas"/>
      <w:sz w:val="20"/>
      <w:szCs w:val="20"/>
      <w:lang w:val="en-GB"/>
    </w:rPr>
  </w:style>
  <w:style w:type="paragraph" w:styleId="HTMLPreformatted">
    <w:name w:val="HTML Preformatted"/>
    <w:basedOn w:val="Normal"/>
    <w:link w:val="HTMLPreformattedChar"/>
    <w:uiPriority w:val="99"/>
    <w:semiHidden w:val="1"/>
    <w:unhideWhenUsed w:val="1"/>
    <w:rsid w:val="00687316"/>
    <w:pPr>
      <w:spacing w:after="0"/>
    </w:pPr>
    <w:rPr>
      <w:rFonts w:ascii="Consolas" w:hAnsi="Consolas"/>
      <w:szCs w:val="20"/>
    </w:rPr>
  </w:style>
  <w:style w:type="character" w:styleId="HTMLPreformattedChar" w:customStyle="1">
    <w:name w:val="HTML Preformatted Char"/>
    <w:basedOn w:val="DefaultParagraphFont"/>
    <w:link w:val="HTMLPreformatted"/>
    <w:uiPriority w:val="99"/>
    <w:semiHidden w:val="1"/>
    <w:rsid w:val="00687316"/>
    <w:rPr>
      <w:rFonts w:ascii="Consolas" w:hAnsi="Consolas"/>
      <w:sz w:val="20"/>
      <w:szCs w:val="20"/>
      <w:lang w:val="en-GB"/>
    </w:rPr>
  </w:style>
  <w:style w:type="character" w:styleId="HTMLSample">
    <w:name w:val="HTML Sample"/>
    <w:basedOn w:val="DefaultParagraphFont"/>
    <w:uiPriority w:val="99"/>
    <w:semiHidden w:val="1"/>
    <w:unhideWhenUsed w:val="1"/>
    <w:rsid w:val="00687316"/>
    <w:rPr>
      <w:rFonts w:ascii="Consolas" w:hAnsi="Consolas"/>
      <w:sz w:val="24"/>
      <w:szCs w:val="24"/>
      <w:lang w:val="en-GB"/>
    </w:rPr>
  </w:style>
  <w:style w:type="character" w:styleId="HTMLTypewriter">
    <w:name w:val="HTML Typewriter"/>
    <w:basedOn w:val="DefaultParagraphFont"/>
    <w:uiPriority w:val="99"/>
    <w:semiHidden w:val="1"/>
    <w:unhideWhenUsed w:val="1"/>
    <w:rsid w:val="00687316"/>
    <w:rPr>
      <w:rFonts w:ascii="Consolas" w:hAnsi="Consolas"/>
      <w:sz w:val="20"/>
      <w:szCs w:val="20"/>
      <w:lang w:val="en-GB"/>
    </w:rPr>
  </w:style>
  <w:style w:type="character" w:styleId="HTMLVariable">
    <w:name w:val="HTML Variable"/>
    <w:basedOn w:val="DefaultParagraphFont"/>
    <w:uiPriority w:val="99"/>
    <w:semiHidden w:val="1"/>
    <w:unhideWhenUsed w:val="1"/>
    <w:rsid w:val="00687316"/>
    <w:rPr>
      <w:i w:val="1"/>
      <w:iCs w:val="1"/>
      <w:lang w:val="en-GB"/>
    </w:rPr>
  </w:style>
  <w:style w:type="paragraph" w:styleId="Index1">
    <w:name w:val="index 1"/>
    <w:basedOn w:val="Normal"/>
    <w:next w:val="Normal"/>
    <w:autoRedefine w:val="1"/>
    <w:uiPriority w:val="99"/>
    <w:semiHidden w:val="1"/>
    <w:unhideWhenUsed w:val="1"/>
    <w:rsid w:val="00687316"/>
    <w:pPr>
      <w:spacing w:after="0"/>
      <w:ind w:left="200" w:hanging="200"/>
    </w:pPr>
  </w:style>
  <w:style w:type="paragraph" w:styleId="Index2">
    <w:name w:val="index 2"/>
    <w:basedOn w:val="Normal"/>
    <w:next w:val="Normal"/>
    <w:autoRedefine w:val="1"/>
    <w:uiPriority w:val="99"/>
    <w:semiHidden w:val="1"/>
    <w:unhideWhenUsed w:val="1"/>
    <w:rsid w:val="00687316"/>
    <w:pPr>
      <w:spacing w:after="0"/>
      <w:ind w:left="400" w:hanging="200"/>
    </w:pPr>
  </w:style>
  <w:style w:type="paragraph" w:styleId="Index3">
    <w:name w:val="index 3"/>
    <w:basedOn w:val="Normal"/>
    <w:next w:val="Normal"/>
    <w:autoRedefine w:val="1"/>
    <w:uiPriority w:val="99"/>
    <w:semiHidden w:val="1"/>
    <w:unhideWhenUsed w:val="1"/>
    <w:rsid w:val="00687316"/>
    <w:pPr>
      <w:spacing w:after="0"/>
      <w:ind w:left="600" w:hanging="200"/>
    </w:pPr>
  </w:style>
  <w:style w:type="paragraph" w:styleId="Index4">
    <w:name w:val="index 4"/>
    <w:basedOn w:val="Normal"/>
    <w:next w:val="Normal"/>
    <w:autoRedefine w:val="1"/>
    <w:uiPriority w:val="99"/>
    <w:semiHidden w:val="1"/>
    <w:unhideWhenUsed w:val="1"/>
    <w:rsid w:val="00687316"/>
    <w:pPr>
      <w:spacing w:after="0"/>
      <w:ind w:left="800" w:hanging="200"/>
    </w:pPr>
  </w:style>
  <w:style w:type="paragraph" w:styleId="Index5">
    <w:name w:val="index 5"/>
    <w:basedOn w:val="Normal"/>
    <w:next w:val="Normal"/>
    <w:autoRedefine w:val="1"/>
    <w:uiPriority w:val="99"/>
    <w:semiHidden w:val="1"/>
    <w:unhideWhenUsed w:val="1"/>
    <w:rsid w:val="00687316"/>
    <w:pPr>
      <w:spacing w:after="0"/>
      <w:ind w:left="1000" w:hanging="200"/>
    </w:pPr>
  </w:style>
  <w:style w:type="paragraph" w:styleId="Index6">
    <w:name w:val="index 6"/>
    <w:basedOn w:val="Normal"/>
    <w:next w:val="Normal"/>
    <w:autoRedefine w:val="1"/>
    <w:uiPriority w:val="99"/>
    <w:semiHidden w:val="1"/>
    <w:unhideWhenUsed w:val="1"/>
    <w:rsid w:val="00687316"/>
    <w:pPr>
      <w:spacing w:after="0"/>
      <w:ind w:left="1200" w:hanging="200"/>
    </w:pPr>
  </w:style>
  <w:style w:type="paragraph" w:styleId="Index7">
    <w:name w:val="index 7"/>
    <w:basedOn w:val="Normal"/>
    <w:next w:val="Normal"/>
    <w:autoRedefine w:val="1"/>
    <w:uiPriority w:val="99"/>
    <w:semiHidden w:val="1"/>
    <w:unhideWhenUsed w:val="1"/>
    <w:rsid w:val="00687316"/>
    <w:pPr>
      <w:spacing w:after="0"/>
      <w:ind w:left="1400" w:hanging="200"/>
    </w:pPr>
  </w:style>
  <w:style w:type="paragraph" w:styleId="Index8">
    <w:name w:val="index 8"/>
    <w:basedOn w:val="Normal"/>
    <w:next w:val="Normal"/>
    <w:autoRedefine w:val="1"/>
    <w:uiPriority w:val="99"/>
    <w:semiHidden w:val="1"/>
    <w:unhideWhenUsed w:val="1"/>
    <w:rsid w:val="00687316"/>
    <w:pPr>
      <w:spacing w:after="0"/>
      <w:ind w:left="1600" w:hanging="200"/>
    </w:pPr>
  </w:style>
  <w:style w:type="paragraph" w:styleId="Index9">
    <w:name w:val="index 9"/>
    <w:basedOn w:val="Normal"/>
    <w:next w:val="Normal"/>
    <w:autoRedefine w:val="1"/>
    <w:uiPriority w:val="99"/>
    <w:semiHidden w:val="1"/>
    <w:unhideWhenUsed w:val="1"/>
    <w:rsid w:val="00687316"/>
    <w:pPr>
      <w:spacing w:after="0"/>
      <w:ind w:left="1800" w:hanging="200"/>
    </w:pPr>
  </w:style>
  <w:style w:type="paragraph" w:styleId="IndexHeading">
    <w:name w:val="index heading"/>
    <w:basedOn w:val="Normal"/>
    <w:next w:val="Index1"/>
    <w:uiPriority w:val="99"/>
    <w:semiHidden w:val="1"/>
    <w:unhideWhenUsed w:val="1"/>
    <w:rsid w:val="00687316"/>
    <w:rPr>
      <w:rFonts w:asciiTheme="majorHAnsi" w:cstheme="majorBidi" w:eastAsiaTheme="majorEastAsia" w:hAnsiTheme="majorHAnsi"/>
      <w:b w:val="1"/>
      <w:bCs w:val="1"/>
    </w:rPr>
  </w:style>
  <w:style w:type="character" w:styleId="IntenseEmphasis">
    <w:name w:val="Intense Emphasis"/>
    <w:basedOn w:val="DefaultParagraphFont"/>
    <w:uiPriority w:val="21"/>
    <w:qFormat w:val="1"/>
    <w:rsid w:val="00687316"/>
    <w:rPr>
      <w:i w:val="1"/>
      <w:iCs w:val="1"/>
      <w:color w:val="4472c4" w:themeColor="accent1"/>
      <w:lang w:val="en-GB"/>
    </w:rPr>
  </w:style>
  <w:style w:type="paragraph" w:styleId="IntenseQuote">
    <w:name w:val="Intense Quote"/>
    <w:basedOn w:val="Normal"/>
    <w:next w:val="Normal"/>
    <w:link w:val="IntenseQuoteChar"/>
    <w:uiPriority w:val="30"/>
    <w:qFormat w:val="1"/>
    <w:rsid w:val="00687316"/>
    <w:pPr>
      <w:pBdr>
        <w:top w:color="4472c4" w:space="10" w:sz="4" w:themeColor="accent1" w:val="single"/>
        <w:bottom w:color="4472c4" w:space="10" w:sz="4" w:themeColor="accent1" w:val="single"/>
      </w:pBdr>
      <w:spacing w:after="360" w:before="360"/>
      <w:ind w:left="864" w:right="864"/>
      <w:jc w:val="center"/>
    </w:pPr>
    <w:rPr>
      <w:i w:val="1"/>
      <w:iCs w:val="1"/>
      <w:color w:val="4472c4" w:themeColor="accent1"/>
    </w:rPr>
  </w:style>
  <w:style w:type="character" w:styleId="IntenseQuoteChar" w:customStyle="1">
    <w:name w:val="Intense Quote Char"/>
    <w:basedOn w:val="DefaultParagraphFont"/>
    <w:link w:val="IntenseQuote"/>
    <w:uiPriority w:val="30"/>
    <w:rsid w:val="00687316"/>
    <w:rPr>
      <w:rFonts w:ascii="Arial" w:hAnsi="Arial"/>
      <w:i w:val="1"/>
      <w:iCs w:val="1"/>
      <w:color w:val="4472c4" w:themeColor="accent1"/>
      <w:sz w:val="20"/>
      <w:lang w:val="en-GB"/>
    </w:rPr>
  </w:style>
  <w:style w:type="character" w:styleId="IntenseReference">
    <w:name w:val="Intense Reference"/>
    <w:basedOn w:val="DefaultParagraphFont"/>
    <w:uiPriority w:val="32"/>
    <w:qFormat w:val="1"/>
    <w:rsid w:val="00687316"/>
    <w:rPr>
      <w:b w:val="1"/>
      <w:bCs w:val="1"/>
      <w:smallCaps w:val="1"/>
      <w:color w:val="4472c4" w:themeColor="accent1"/>
      <w:spacing w:val="5"/>
      <w:lang w:val="en-GB"/>
    </w:rPr>
  </w:style>
  <w:style w:type="table" w:styleId="LightGrid">
    <w:name w:val="Light Grid"/>
    <w:basedOn w:val="TableNormal"/>
    <w:uiPriority w:val="62"/>
    <w:semiHidden w:val="1"/>
    <w:unhideWhenUsed w:val="1"/>
    <w:rsid w:val="00687316"/>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semiHidden w:val="1"/>
    <w:unhideWhenUsed w:val="1"/>
    <w:rsid w:val="00687316"/>
    <w:pPr>
      <w:spacing w:after="0" w:line="240" w:lineRule="auto"/>
    </w:pPr>
    <w:tblPr>
      <w:tblStyleRowBandSize w:val="1"/>
      <w:tblStyleColBandSize w:val="1"/>
      <w:tblBorders>
        <w:top w:color="4472c4" w:space="0" w:sz="8" w:themeColor="accent1" w:val="single"/>
        <w:left w:color="4472c4" w:space="0" w:sz="8" w:themeColor="accent1" w:val="single"/>
        <w:bottom w:color="4472c4" w:space="0" w:sz="8" w:themeColor="accent1" w:val="single"/>
        <w:right w:color="4472c4" w:space="0" w:sz="8" w:themeColor="accent1" w:val="single"/>
        <w:insideH w:color="4472c4" w:space="0" w:sz="8" w:themeColor="accent1" w:val="single"/>
        <w:insideV w:color="4472c4" w:space="0" w:sz="8" w:themeColor="accen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472c4" w:space="0" w:sz="8" w:themeColor="accent1" w:val="single"/>
          <w:left w:color="4472c4" w:space="0" w:sz="8" w:themeColor="accent1" w:val="single"/>
          <w:bottom w:color="4472c4" w:space="0" w:sz="18" w:themeColor="accent1" w:val="single"/>
          <w:right w:color="4472c4" w:space="0" w:sz="8" w:themeColor="accent1" w:val="single"/>
          <w:insideH w:space="0" w:sz="0" w:val="nil"/>
          <w:insideV w:color="4472c4"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472c4" w:space="0" w:sz="6" w:themeColor="accent1" w:val="double"/>
          <w:left w:color="4472c4" w:space="0" w:sz="8" w:themeColor="accent1" w:val="single"/>
          <w:bottom w:color="4472c4" w:space="0" w:sz="8" w:themeColor="accent1" w:val="single"/>
          <w:right w:color="4472c4" w:space="0" w:sz="8" w:themeColor="accent1" w:val="single"/>
          <w:insideH w:space="0" w:sz="0" w:val="nil"/>
          <w:insideV w:color="4472c4"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472c4" w:space="0" w:sz="8" w:themeColor="accent1" w:val="single"/>
          <w:left w:color="4472c4" w:space="0" w:sz="8" w:themeColor="accent1" w:val="single"/>
          <w:bottom w:color="4472c4" w:space="0" w:sz="8" w:themeColor="accent1" w:val="single"/>
          <w:right w:color="4472c4" w:space="0" w:sz="8" w:themeColor="accent1" w:val="single"/>
        </w:tcBorders>
      </w:tcPr>
    </w:tblStylePr>
    <w:tblStylePr w:type="band1Vert">
      <w:tblPr/>
      <w:tcPr>
        <w:tcBorders>
          <w:top w:color="4472c4" w:space="0" w:sz="8" w:themeColor="accent1" w:val="single"/>
          <w:left w:color="4472c4" w:space="0" w:sz="8" w:themeColor="accent1" w:val="single"/>
          <w:bottom w:color="4472c4" w:space="0" w:sz="8" w:themeColor="accent1" w:val="single"/>
          <w:right w:color="4472c4" w:space="0" w:sz="8" w:themeColor="accent1" w:val="single"/>
        </w:tcBorders>
        <w:shd w:color="auto" w:fill="d0dbf0" w:themeFill="accent1" w:themeFillTint="00003F" w:val="clear"/>
      </w:tcPr>
    </w:tblStylePr>
    <w:tblStylePr w:type="band1Horz">
      <w:tblPr/>
      <w:tcPr>
        <w:tcBorders>
          <w:top w:color="4472c4" w:space="0" w:sz="8" w:themeColor="accent1" w:val="single"/>
          <w:left w:color="4472c4" w:space="0" w:sz="8" w:themeColor="accent1" w:val="single"/>
          <w:bottom w:color="4472c4" w:space="0" w:sz="8" w:themeColor="accent1" w:val="single"/>
          <w:right w:color="4472c4" w:space="0" w:sz="8" w:themeColor="accent1" w:val="single"/>
          <w:insideV w:color="4472c4" w:space="0" w:sz="8" w:themeColor="accent1" w:val="single"/>
        </w:tcBorders>
        <w:shd w:color="auto" w:fill="d0dbf0" w:themeFill="accent1" w:themeFillTint="00003F" w:val="clear"/>
      </w:tcPr>
    </w:tblStylePr>
    <w:tblStylePr w:type="band2Horz">
      <w:tblPr/>
      <w:tcPr>
        <w:tcBorders>
          <w:top w:color="4472c4" w:space="0" w:sz="8" w:themeColor="accent1" w:val="single"/>
          <w:left w:color="4472c4" w:space="0" w:sz="8" w:themeColor="accent1" w:val="single"/>
          <w:bottom w:color="4472c4" w:space="0" w:sz="8" w:themeColor="accent1" w:val="single"/>
          <w:right w:color="4472c4" w:space="0" w:sz="8" w:themeColor="accent1" w:val="single"/>
          <w:insideV w:color="4472c4" w:space="0" w:sz="8" w:themeColor="accent1" w:val="single"/>
        </w:tcBorders>
      </w:tcPr>
    </w:tblStylePr>
  </w:style>
  <w:style w:type="table" w:styleId="LightGrid-Accent2">
    <w:name w:val="Light Grid Accent 2"/>
    <w:basedOn w:val="TableNormal"/>
    <w:uiPriority w:val="62"/>
    <w:semiHidden w:val="1"/>
    <w:unhideWhenUsed w:val="1"/>
    <w:rsid w:val="00687316"/>
    <w:pPr>
      <w:spacing w:after="0" w:line="240" w:lineRule="auto"/>
    </w:pPr>
    <w:tblPr>
      <w:tblStyleRowBandSize w:val="1"/>
      <w:tblStyleColBandSize w:val="1"/>
      <w:tblBorders>
        <w:top w:color="ed7d31" w:space="0" w:sz="8" w:themeColor="accent2" w:val="single"/>
        <w:left w:color="ed7d31" w:space="0" w:sz="8" w:themeColor="accent2" w:val="single"/>
        <w:bottom w:color="ed7d31" w:space="0" w:sz="8" w:themeColor="accent2" w:val="single"/>
        <w:right w:color="ed7d31" w:space="0" w:sz="8" w:themeColor="accent2" w:val="single"/>
        <w:insideH w:color="ed7d31" w:space="0" w:sz="8" w:themeColor="accent2" w:val="single"/>
        <w:insideV w:color="ed7d31" w:space="0" w:sz="8" w:themeColor="accent2" w:val="single"/>
      </w:tblBorders>
    </w:tblPr>
    <w:tblStylePr w:type="firstRow">
      <w:pPr>
        <w:spacing w:after="0" w:before="0" w:line="240" w:lineRule="auto"/>
      </w:pPr>
      <w:rPr>
        <w:rFonts w:asciiTheme="majorHAnsi" w:cstheme="majorBidi" w:eastAsiaTheme="majorEastAsia" w:hAnsiTheme="majorHAnsi"/>
        <w:b w:val="1"/>
        <w:bCs w:val="1"/>
      </w:rPr>
      <w:tblPr/>
      <w:tcPr>
        <w:tcBorders>
          <w:top w:color="ed7d31" w:space="0" w:sz="8" w:themeColor="accent2" w:val="single"/>
          <w:left w:color="ed7d31" w:space="0" w:sz="8" w:themeColor="accent2" w:val="single"/>
          <w:bottom w:color="ed7d31" w:space="0" w:sz="18" w:themeColor="accent2" w:val="single"/>
          <w:right w:color="ed7d31" w:space="0" w:sz="8" w:themeColor="accent2" w:val="single"/>
          <w:insideH w:space="0" w:sz="0" w:val="nil"/>
          <w:insideV w:color="ed7d31"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ed7d31" w:space="0" w:sz="6" w:themeColor="accent2" w:val="double"/>
          <w:left w:color="ed7d31" w:space="0" w:sz="8" w:themeColor="accent2" w:val="single"/>
          <w:bottom w:color="ed7d31" w:space="0" w:sz="8" w:themeColor="accent2" w:val="single"/>
          <w:right w:color="ed7d31" w:space="0" w:sz="8" w:themeColor="accent2" w:val="single"/>
          <w:insideH w:space="0" w:sz="0" w:val="nil"/>
          <w:insideV w:color="ed7d31"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ed7d31" w:space="0" w:sz="8" w:themeColor="accent2" w:val="single"/>
          <w:left w:color="ed7d31" w:space="0" w:sz="8" w:themeColor="accent2" w:val="single"/>
          <w:bottom w:color="ed7d31" w:space="0" w:sz="8" w:themeColor="accent2" w:val="single"/>
          <w:right w:color="ed7d31" w:space="0" w:sz="8" w:themeColor="accent2" w:val="single"/>
        </w:tcBorders>
      </w:tcPr>
    </w:tblStylePr>
    <w:tblStylePr w:type="band1Vert">
      <w:tblPr/>
      <w:tcPr>
        <w:tcBorders>
          <w:top w:color="ed7d31" w:space="0" w:sz="8" w:themeColor="accent2" w:val="single"/>
          <w:left w:color="ed7d31" w:space="0" w:sz="8" w:themeColor="accent2" w:val="single"/>
          <w:bottom w:color="ed7d31" w:space="0" w:sz="8" w:themeColor="accent2" w:val="single"/>
          <w:right w:color="ed7d31" w:space="0" w:sz="8" w:themeColor="accent2" w:val="single"/>
        </w:tcBorders>
        <w:shd w:color="auto" w:fill="fadecb" w:themeFill="accent2" w:themeFillTint="00003F" w:val="clear"/>
      </w:tcPr>
    </w:tblStylePr>
    <w:tblStylePr w:type="band1Horz">
      <w:tblPr/>
      <w:tcPr>
        <w:tcBorders>
          <w:top w:color="ed7d31" w:space="0" w:sz="8" w:themeColor="accent2" w:val="single"/>
          <w:left w:color="ed7d31" w:space="0" w:sz="8" w:themeColor="accent2" w:val="single"/>
          <w:bottom w:color="ed7d31" w:space="0" w:sz="8" w:themeColor="accent2" w:val="single"/>
          <w:right w:color="ed7d31" w:space="0" w:sz="8" w:themeColor="accent2" w:val="single"/>
          <w:insideV w:color="ed7d31" w:space="0" w:sz="8" w:themeColor="accent2" w:val="single"/>
        </w:tcBorders>
        <w:shd w:color="auto" w:fill="fadecb" w:themeFill="accent2" w:themeFillTint="00003F" w:val="clear"/>
      </w:tcPr>
    </w:tblStylePr>
    <w:tblStylePr w:type="band2Horz">
      <w:tblPr/>
      <w:tcPr>
        <w:tcBorders>
          <w:top w:color="ed7d31" w:space="0" w:sz="8" w:themeColor="accent2" w:val="single"/>
          <w:left w:color="ed7d31" w:space="0" w:sz="8" w:themeColor="accent2" w:val="single"/>
          <w:bottom w:color="ed7d31" w:space="0" w:sz="8" w:themeColor="accent2" w:val="single"/>
          <w:right w:color="ed7d31" w:space="0" w:sz="8" w:themeColor="accent2" w:val="single"/>
          <w:insideV w:color="ed7d31" w:space="0" w:sz="8" w:themeColor="accent2" w:val="single"/>
        </w:tcBorders>
      </w:tcPr>
    </w:tblStylePr>
  </w:style>
  <w:style w:type="table" w:styleId="LightGrid-Accent3">
    <w:name w:val="Light Grid Accent 3"/>
    <w:basedOn w:val="TableNormal"/>
    <w:uiPriority w:val="62"/>
    <w:semiHidden w:val="1"/>
    <w:unhideWhenUsed w:val="1"/>
    <w:rsid w:val="00687316"/>
    <w:pPr>
      <w:spacing w:after="0" w:line="240" w:lineRule="auto"/>
    </w:pPr>
    <w:tblPr>
      <w:tblStyleRowBandSize w:val="1"/>
      <w:tblStyleColBandSize w:val="1"/>
      <w:tblBorders>
        <w:top w:color="a5a5a5" w:space="0" w:sz="8" w:themeColor="accent3" w:val="single"/>
        <w:left w:color="a5a5a5" w:space="0" w:sz="8" w:themeColor="accent3" w:val="single"/>
        <w:bottom w:color="a5a5a5" w:space="0" w:sz="8" w:themeColor="accent3" w:val="single"/>
        <w:right w:color="a5a5a5" w:space="0" w:sz="8" w:themeColor="accent3" w:val="single"/>
        <w:insideH w:color="a5a5a5" w:space="0" w:sz="8" w:themeColor="accent3" w:val="single"/>
        <w:insideV w:color="a5a5a5" w:space="0" w:sz="8" w:themeColor="accent3" w:val="single"/>
      </w:tblBorders>
    </w:tblPr>
    <w:tblStylePr w:type="firstRow">
      <w:pPr>
        <w:spacing w:after="0" w:before="0" w:line="240" w:lineRule="auto"/>
      </w:pPr>
      <w:rPr>
        <w:rFonts w:asciiTheme="majorHAnsi" w:cstheme="majorBidi" w:eastAsiaTheme="majorEastAsia" w:hAnsiTheme="majorHAnsi"/>
        <w:b w:val="1"/>
        <w:bCs w:val="1"/>
      </w:rPr>
      <w:tblPr/>
      <w:tcPr>
        <w:tcBorders>
          <w:top w:color="a5a5a5" w:space="0" w:sz="8" w:themeColor="accent3" w:val="single"/>
          <w:left w:color="a5a5a5" w:space="0" w:sz="8" w:themeColor="accent3" w:val="single"/>
          <w:bottom w:color="a5a5a5" w:space="0" w:sz="18" w:themeColor="accent3" w:val="single"/>
          <w:right w:color="a5a5a5" w:space="0" w:sz="8" w:themeColor="accent3" w:val="single"/>
          <w:insideH w:space="0" w:sz="0" w:val="nil"/>
          <w:insideV w:color="a5a5a5"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a5a5a5" w:space="0" w:sz="6" w:themeColor="accent3" w:val="double"/>
          <w:left w:color="a5a5a5" w:space="0" w:sz="8" w:themeColor="accent3" w:val="single"/>
          <w:bottom w:color="a5a5a5" w:space="0" w:sz="8" w:themeColor="accent3" w:val="single"/>
          <w:right w:color="a5a5a5" w:space="0" w:sz="8" w:themeColor="accent3" w:val="single"/>
          <w:insideH w:space="0" w:sz="0" w:val="nil"/>
          <w:insideV w:color="a5a5a5"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a5a5a5" w:space="0" w:sz="8" w:themeColor="accent3" w:val="single"/>
          <w:left w:color="a5a5a5" w:space="0" w:sz="8" w:themeColor="accent3" w:val="single"/>
          <w:bottom w:color="a5a5a5" w:space="0" w:sz="8" w:themeColor="accent3" w:val="single"/>
          <w:right w:color="a5a5a5" w:space="0" w:sz="8" w:themeColor="accent3" w:val="single"/>
        </w:tcBorders>
      </w:tcPr>
    </w:tblStylePr>
    <w:tblStylePr w:type="band1Vert">
      <w:tblPr/>
      <w:tcPr>
        <w:tcBorders>
          <w:top w:color="a5a5a5" w:space="0" w:sz="8" w:themeColor="accent3" w:val="single"/>
          <w:left w:color="a5a5a5" w:space="0" w:sz="8" w:themeColor="accent3" w:val="single"/>
          <w:bottom w:color="a5a5a5" w:space="0" w:sz="8" w:themeColor="accent3" w:val="single"/>
          <w:right w:color="a5a5a5" w:space="0" w:sz="8" w:themeColor="accent3" w:val="single"/>
        </w:tcBorders>
        <w:shd w:color="auto" w:fill="e8e8e8" w:themeFill="accent3" w:themeFillTint="00003F" w:val="clear"/>
      </w:tcPr>
    </w:tblStylePr>
    <w:tblStylePr w:type="band1Horz">
      <w:tblPr/>
      <w:tcPr>
        <w:tcBorders>
          <w:top w:color="a5a5a5" w:space="0" w:sz="8" w:themeColor="accent3" w:val="single"/>
          <w:left w:color="a5a5a5" w:space="0" w:sz="8" w:themeColor="accent3" w:val="single"/>
          <w:bottom w:color="a5a5a5" w:space="0" w:sz="8" w:themeColor="accent3" w:val="single"/>
          <w:right w:color="a5a5a5" w:space="0" w:sz="8" w:themeColor="accent3" w:val="single"/>
          <w:insideV w:color="a5a5a5" w:space="0" w:sz="8" w:themeColor="accent3" w:val="single"/>
        </w:tcBorders>
        <w:shd w:color="auto" w:fill="e8e8e8" w:themeFill="accent3" w:themeFillTint="00003F" w:val="clear"/>
      </w:tcPr>
    </w:tblStylePr>
    <w:tblStylePr w:type="band2Horz">
      <w:tblPr/>
      <w:tcPr>
        <w:tcBorders>
          <w:top w:color="a5a5a5" w:space="0" w:sz="8" w:themeColor="accent3" w:val="single"/>
          <w:left w:color="a5a5a5" w:space="0" w:sz="8" w:themeColor="accent3" w:val="single"/>
          <w:bottom w:color="a5a5a5" w:space="0" w:sz="8" w:themeColor="accent3" w:val="single"/>
          <w:right w:color="a5a5a5" w:space="0" w:sz="8" w:themeColor="accent3" w:val="single"/>
          <w:insideV w:color="a5a5a5" w:space="0" w:sz="8" w:themeColor="accent3" w:val="single"/>
        </w:tcBorders>
      </w:tcPr>
    </w:tblStylePr>
  </w:style>
  <w:style w:type="table" w:styleId="LightGrid-Accent4">
    <w:name w:val="Light Grid Accent 4"/>
    <w:basedOn w:val="TableNormal"/>
    <w:uiPriority w:val="62"/>
    <w:semiHidden w:val="1"/>
    <w:unhideWhenUsed w:val="1"/>
    <w:rsid w:val="00687316"/>
    <w:pPr>
      <w:spacing w:after="0" w:line="240" w:lineRule="auto"/>
    </w:pPr>
    <w:tblPr>
      <w:tblStyleRowBandSize w:val="1"/>
      <w:tblStyleColBandSize w:val="1"/>
      <w:tblBorders>
        <w:top w:color="ffc000" w:space="0" w:sz="8" w:themeColor="accent4" w:val="single"/>
        <w:left w:color="ffc000" w:space="0" w:sz="8" w:themeColor="accent4" w:val="single"/>
        <w:bottom w:color="ffc000" w:space="0" w:sz="8" w:themeColor="accent4" w:val="single"/>
        <w:right w:color="ffc000" w:space="0" w:sz="8" w:themeColor="accent4" w:val="single"/>
        <w:insideH w:color="ffc000" w:space="0" w:sz="8" w:themeColor="accent4" w:val="single"/>
        <w:insideV w:color="ffc000" w:space="0" w:sz="8" w:themeColor="accent4" w:val="single"/>
      </w:tblBorders>
    </w:tblPr>
    <w:tblStylePr w:type="firstRow">
      <w:pPr>
        <w:spacing w:after="0" w:before="0" w:line="240" w:lineRule="auto"/>
      </w:pPr>
      <w:rPr>
        <w:rFonts w:asciiTheme="majorHAnsi" w:cstheme="majorBidi" w:eastAsiaTheme="majorEastAsia" w:hAnsiTheme="majorHAnsi"/>
        <w:b w:val="1"/>
        <w:bCs w:val="1"/>
      </w:rPr>
      <w:tblPr/>
      <w:tcPr>
        <w:tcBorders>
          <w:top w:color="ffc000" w:space="0" w:sz="8" w:themeColor="accent4" w:val="single"/>
          <w:left w:color="ffc000" w:space="0" w:sz="8" w:themeColor="accent4" w:val="single"/>
          <w:bottom w:color="ffc000" w:space="0" w:sz="18" w:themeColor="accent4" w:val="single"/>
          <w:right w:color="ffc000" w:space="0" w:sz="8" w:themeColor="accent4" w:val="single"/>
          <w:insideH w:space="0" w:sz="0" w:val="nil"/>
          <w:insideV w:color="ffc000"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fc000" w:space="0" w:sz="6" w:themeColor="accent4" w:val="double"/>
          <w:left w:color="ffc000" w:space="0" w:sz="8" w:themeColor="accent4" w:val="single"/>
          <w:bottom w:color="ffc000" w:space="0" w:sz="8" w:themeColor="accent4" w:val="single"/>
          <w:right w:color="ffc000" w:space="0" w:sz="8" w:themeColor="accent4" w:val="single"/>
          <w:insideH w:space="0" w:sz="0" w:val="nil"/>
          <w:insideV w:color="ffc000"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fc000" w:space="0" w:sz="8" w:themeColor="accent4" w:val="single"/>
          <w:left w:color="ffc000" w:space="0" w:sz="8" w:themeColor="accent4" w:val="single"/>
          <w:bottom w:color="ffc000" w:space="0" w:sz="8" w:themeColor="accent4" w:val="single"/>
          <w:right w:color="ffc000" w:space="0" w:sz="8" w:themeColor="accent4" w:val="single"/>
        </w:tcBorders>
      </w:tcPr>
    </w:tblStylePr>
    <w:tblStylePr w:type="band1Vert">
      <w:tblPr/>
      <w:tcPr>
        <w:tcBorders>
          <w:top w:color="ffc000" w:space="0" w:sz="8" w:themeColor="accent4" w:val="single"/>
          <w:left w:color="ffc000" w:space="0" w:sz="8" w:themeColor="accent4" w:val="single"/>
          <w:bottom w:color="ffc000" w:space="0" w:sz="8" w:themeColor="accent4" w:val="single"/>
          <w:right w:color="ffc000" w:space="0" w:sz="8" w:themeColor="accent4" w:val="single"/>
        </w:tcBorders>
        <w:shd w:color="auto" w:fill="ffefc0" w:themeFill="accent4" w:themeFillTint="00003F" w:val="clear"/>
      </w:tcPr>
    </w:tblStylePr>
    <w:tblStylePr w:type="band1Horz">
      <w:tblPr/>
      <w:tcPr>
        <w:tcBorders>
          <w:top w:color="ffc000" w:space="0" w:sz="8" w:themeColor="accent4" w:val="single"/>
          <w:left w:color="ffc000" w:space="0" w:sz="8" w:themeColor="accent4" w:val="single"/>
          <w:bottom w:color="ffc000" w:space="0" w:sz="8" w:themeColor="accent4" w:val="single"/>
          <w:right w:color="ffc000" w:space="0" w:sz="8" w:themeColor="accent4" w:val="single"/>
          <w:insideV w:color="ffc000" w:space="0" w:sz="8" w:themeColor="accent4" w:val="single"/>
        </w:tcBorders>
        <w:shd w:color="auto" w:fill="ffefc0" w:themeFill="accent4" w:themeFillTint="00003F" w:val="clear"/>
      </w:tcPr>
    </w:tblStylePr>
    <w:tblStylePr w:type="band2Horz">
      <w:tblPr/>
      <w:tcPr>
        <w:tcBorders>
          <w:top w:color="ffc000" w:space="0" w:sz="8" w:themeColor="accent4" w:val="single"/>
          <w:left w:color="ffc000" w:space="0" w:sz="8" w:themeColor="accent4" w:val="single"/>
          <w:bottom w:color="ffc000" w:space="0" w:sz="8" w:themeColor="accent4" w:val="single"/>
          <w:right w:color="ffc000" w:space="0" w:sz="8" w:themeColor="accent4" w:val="single"/>
          <w:insideV w:color="ffc000" w:space="0" w:sz="8" w:themeColor="accent4" w:val="single"/>
        </w:tcBorders>
      </w:tcPr>
    </w:tblStylePr>
  </w:style>
  <w:style w:type="table" w:styleId="LightGrid-Accent5">
    <w:name w:val="Light Grid Accent 5"/>
    <w:basedOn w:val="TableNormal"/>
    <w:uiPriority w:val="62"/>
    <w:semiHidden w:val="1"/>
    <w:unhideWhenUsed w:val="1"/>
    <w:rsid w:val="00687316"/>
    <w:pPr>
      <w:spacing w:after="0" w:line="240" w:lineRule="auto"/>
    </w:pPr>
    <w:tblPr>
      <w:tblStyleRowBandSize w:val="1"/>
      <w:tblStyleColBandSize w:val="1"/>
      <w:tblBorders>
        <w:top w:color="5b9bd5" w:space="0" w:sz="8" w:themeColor="accent5" w:val="single"/>
        <w:left w:color="5b9bd5" w:space="0" w:sz="8" w:themeColor="accent5" w:val="single"/>
        <w:bottom w:color="5b9bd5" w:space="0" w:sz="8" w:themeColor="accent5" w:val="single"/>
        <w:right w:color="5b9bd5" w:space="0" w:sz="8" w:themeColor="accent5" w:val="single"/>
        <w:insideH w:color="5b9bd5" w:space="0" w:sz="8" w:themeColor="accent5" w:val="single"/>
        <w:insideV w:color="5b9bd5" w:space="0" w:sz="8" w:themeColor="accent5" w:val="single"/>
      </w:tblBorders>
    </w:tblPr>
    <w:tblStylePr w:type="firstRow">
      <w:pPr>
        <w:spacing w:after="0" w:before="0" w:line="240" w:lineRule="auto"/>
      </w:pPr>
      <w:rPr>
        <w:rFonts w:asciiTheme="majorHAnsi" w:cstheme="majorBidi" w:eastAsiaTheme="majorEastAsia" w:hAnsiTheme="majorHAnsi"/>
        <w:b w:val="1"/>
        <w:bCs w:val="1"/>
      </w:rPr>
      <w:tblPr/>
      <w:tcPr>
        <w:tcBorders>
          <w:top w:color="5b9bd5" w:space="0" w:sz="8" w:themeColor="accent5" w:val="single"/>
          <w:left w:color="5b9bd5" w:space="0" w:sz="8" w:themeColor="accent5" w:val="single"/>
          <w:bottom w:color="5b9bd5" w:space="0" w:sz="18" w:themeColor="accent5" w:val="single"/>
          <w:right w:color="5b9bd5" w:space="0" w:sz="8" w:themeColor="accent5" w:val="single"/>
          <w:insideH w:space="0" w:sz="0" w:val="nil"/>
          <w:insideV w:color="5b9bd5"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5b9bd5" w:space="0" w:sz="6" w:themeColor="accent5" w:val="double"/>
          <w:left w:color="5b9bd5" w:space="0" w:sz="8" w:themeColor="accent5" w:val="single"/>
          <w:bottom w:color="5b9bd5" w:space="0" w:sz="8" w:themeColor="accent5" w:val="single"/>
          <w:right w:color="5b9bd5" w:space="0" w:sz="8" w:themeColor="accent5" w:val="single"/>
          <w:insideH w:space="0" w:sz="0" w:val="nil"/>
          <w:insideV w:color="5b9bd5"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5b9bd5" w:space="0" w:sz="8" w:themeColor="accent5" w:val="single"/>
          <w:left w:color="5b9bd5" w:space="0" w:sz="8" w:themeColor="accent5" w:val="single"/>
          <w:bottom w:color="5b9bd5" w:space="0" w:sz="8" w:themeColor="accent5" w:val="single"/>
          <w:right w:color="5b9bd5" w:space="0" w:sz="8" w:themeColor="accent5" w:val="single"/>
        </w:tcBorders>
      </w:tcPr>
    </w:tblStylePr>
    <w:tblStylePr w:type="band1Vert">
      <w:tblPr/>
      <w:tcPr>
        <w:tcBorders>
          <w:top w:color="5b9bd5" w:space="0" w:sz="8" w:themeColor="accent5" w:val="single"/>
          <w:left w:color="5b9bd5" w:space="0" w:sz="8" w:themeColor="accent5" w:val="single"/>
          <w:bottom w:color="5b9bd5" w:space="0" w:sz="8" w:themeColor="accent5" w:val="single"/>
          <w:right w:color="5b9bd5" w:space="0" w:sz="8" w:themeColor="accent5" w:val="single"/>
        </w:tcBorders>
        <w:shd w:color="auto" w:fill="d6e6f4" w:themeFill="accent5" w:themeFillTint="00003F" w:val="clear"/>
      </w:tcPr>
    </w:tblStylePr>
    <w:tblStylePr w:type="band1Horz">
      <w:tblPr/>
      <w:tcPr>
        <w:tcBorders>
          <w:top w:color="5b9bd5" w:space="0" w:sz="8" w:themeColor="accent5" w:val="single"/>
          <w:left w:color="5b9bd5" w:space="0" w:sz="8" w:themeColor="accent5" w:val="single"/>
          <w:bottom w:color="5b9bd5" w:space="0" w:sz="8" w:themeColor="accent5" w:val="single"/>
          <w:right w:color="5b9bd5" w:space="0" w:sz="8" w:themeColor="accent5" w:val="single"/>
          <w:insideV w:color="5b9bd5" w:space="0" w:sz="8" w:themeColor="accent5" w:val="single"/>
        </w:tcBorders>
        <w:shd w:color="auto" w:fill="d6e6f4" w:themeFill="accent5" w:themeFillTint="00003F" w:val="clear"/>
      </w:tcPr>
    </w:tblStylePr>
    <w:tblStylePr w:type="band2Horz">
      <w:tblPr/>
      <w:tcPr>
        <w:tcBorders>
          <w:top w:color="5b9bd5" w:space="0" w:sz="8" w:themeColor="accent5" w:val="single"/>
          <w:left w:color="5b9bd5" w:space="0" w:sz="8" w:themeColor="accent5" w:val="single"/>
          <w:bottom w:color="5b9bd5" w:space="0" w:sz="8" w:themeColor="accent5" w:val="single"/>
          <w:right w:color="5b9bd5" w:space="0" w:sz="8" w:themeColor="accent5" w:val="single"/>
          <w:insideV w:color="5b9bd5" w:space="0" w:sz="8" w:themeColor="accent5" w:val="single"/>
        </w:tcBorders>
      </w:tcPr>
    </w:tblStylePr>
  </w:style>
  <w:style w:type="table" w:styleId="LightGrid-Accent6">
    <w:name w:val="Light Grid Accent 6"/>
    <w:basedOn w:val="TableNormal"/>
    <w:uiPriority w:val="62"/>
    <w:semiHidden w:val="1"/>
    <w:unhideWhenUsed w:val="1"/>
    <w:rsid w:val="00687316"/>
    <w:pPr>
      <w:spacing w:after="0" w:line="240" w:lineRule="auto"/>
    </w:pPr>
    <w:tblPr>
      <w:tblStyleRowBandSize w:val="1"/>
      <w:tblStyleColBandSize w:val="1"/>
      <w:tblBorders>
        <w:top w:color="70ad47" w:space="0" w:sz="8" w:themeColor="accent6" w:val="single"/>
        <w:left w:color="70ad47" w:space="0" w:sz="8" w:themeColor="accent6" w:val="single"/>
        <w:bottom w:color="70ad47" w:space="0" w:sz="8" w:themeColor="accent6" w:val="single"/>
        <w:right w:color="70ad47" w:space="0" w:sz="8" w:themeColor="accent6" w:val="single"/>
        <w:insideH w:color="70ad47" w:space="0" w:sz="8" w:themeColor="accent6" w:val="single"/>
        <w:insideV w:color="70ad47" w:space="0" w:sz="8" w:themeColor="accent6" w:val="single"/>
      </w:tblBorders>
    </w:tblPr>
    <w:tblStylePr w:type="firstRow">
      <w:pPr>
        <w:spacing w:after="0" w:before="0" w:line="240" w:lineRule="auto"/>
      </w:pPr>
      <w:rPr>
        <w:rFonts w:asciiTheme="majorHAnsi" w:cstheme="majorBidi" w:eastAsiaTheme="majorEastAsia" w:hAnsiTheme="majorHAnsi"/>
        <w:b w:val="1"/>
        <w:bCs w:val="1"/>
      </w:rPr>
      <w:tblPr/>
      <w:tcPr>
        <w:tcBorders>
          <w:top w:color="70ad47" w:space="0" w:sz="8" w:themeColor="accent6" w:val="single"/>
          <w:left w:color="70ad47" w:space="0" w:sz="8" w:themeColor="accent6" w:val="single"/>
          <w:bottom w:color="70ad47" w:space="0" w:sz="18" w:themeColor="accent6" w:val="single"/>
          <w:right w:color="70ad47" w:space="0" w:sz="8" w:themeColor="accent6" w:val="single"/>
          <w:insideH w:space="0" w:sz="0" w:val="nil"/>
          <w:insideV w:color="70ad47"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70ad47" w:space="0" w:sz="6" w:themeColor="accent6" w:val="double"/>
          <w:left w:color="70ad47" w:space="0" w:sz="8" w:themeColor="accent6" w:val="single"/>
          <w:bottom w:color="70ad47" w:space="0" w:sz="8" w:themeColor="accent6" w:val="single"/>
          <w:right w:color="70ad47" w:space="0" w:sz="8" w:themeColor="accent6" w:val="single"/>
          <w:insideH w:space="0" w:sz="0" w:val="nil"/>
          <w:insideV w:color="70ad47"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70ad47" w:space="0" w:sz="8" w:themeColor="accent6" w:val="single"/>
          <w:left w:color="70ad47" w:space="0" w:sz="8" w:themeColor="accent6" w:val="single"/>
          <w:bottom w:color="70ad47" w:space="0" w:sz="8" w:themeColor="accent6" w:val="single"/>
          <w:right w:color="70ad47" w:space="0" w:sz="8" w:themeColor="accent6" w:val="single"/>
        </w:tcBorders>
      </w:tcPr>
    </w:tblStylePr>
    <w:tblStylePr w:type="band1Vert">
      <w:tblPr/>
      <w:tcPr>
        <w:tcBorders>
          <w:top w:color="70ad47" w:space="0" w:sz="8" w:themeColor="accent6" w:val="single"/>
          <w:left w:color="70ad47" w:space="0" w:sz="8" w:themeColor="accent6" w:val="single"/>
          <w:bottom w:color="70ad47" w:space="0" w:sz="8" w:themeColor="accent6" w:val="single"/>
          <w:right w:color="70ad47" w:space="0" w:sz="8" w:themeColor="accent6" w:val="single"/>
        </w:tcBorders>
        <w:shd w:color="auto" w:fill="dbebd0" w:themeFill="accent6" w:themeFillTint="00003F" w:val="clear"/>
      </w:tcPr>
    </w:tblStylePr>
    <w:tblStylePr w:type="band1Horz">
      <w:tblPr/>
      <w:tcPr>
        <w:tcBorders>
          <w:top w:color="70ad47" w:space="0" w:sz="8" w:themeColor="accent6" w:val="single"/>
          <w:left w:color="70ad47" w:space="0" w:sz="8" w:themeColor="accent6" w:val="single"/>
          <w:bottom w:color="70ad47" w:space="0" w:sz="8" w:themeColor="accent6" w:val="single"/>
          <w:right w:color="70ad47" w:space="0" w:sz="8" w:themeColor="accent6" w:val="single"/>
          <w:insideV w:color="70ad47" w:space="0" w:sz="8" w:themeColor="accent6" w:val="single"/>
        </w:tcBorders>
        <w:shd w:color="auto" w:fill="dbebd0" w:themeFill="accent6" w:themeFillTint="00003F" w:val="clear"/>
      </w:tcPr>
    </w:tblStylePr>
    <w:tblStylePr w:type="band2Horz">
      <w:tblPr/>
      <w:tcPr>
        <w:tcBorders>
          <w:top w:color="70ad47" w:space="0" w:sz="8" w:themeColor="accent6" w:val="single"/>
          <w:left w:color="70ad47" w:space="0" w:sz="8" w:themeColor="accent6" w:val="single"/>
          <w:bottom w:color="70ad47" w:space="0" w:sz="8" w:themeColor="accent6" w:val="single"/>
          <w:right w:color="70ad47" w:space="0" w:sz="8" w:themeColor="accent6" w:val="single"/>
          <w:insideV w:color="70ad47" w:space="0" w:sz="8" w:themeColor="accent6" w:val="single"/>
        </w:tcBorders>
      </w:tcPr>
    </w:tblStylePr>
  </w:style>
  <w:style w:type="table" w:styleId="LightList">
    <w:name w:val="Light List"/>
    <w:basedOn w:val="TableNormal"/>
    <w:uiPriority w:val="61"/>
    <w:semiHidden w:val="1"/>
    <w:unhideWhenUsed w:val="1"/>
    <w:rsid w:val="00687316"/>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semiHidden w:val="1"/>
    <w:unhideWhenUsed w:val="1"/>
    <w:rsid w:val="00687316"/>
    <w:pPr>
      <w:spacing w:after="0" w:line="240" w:lineRule="auto"/>
    </w:pPr>
    <w:tblPr>
      <w:tblStyleRowBandSize w:val="1"/>
      <w:tblStyleColBandSize w:val="1"/>
      <w:tblBorders>
        <w:top w:color="4472c4" w:space="0" w:sz="8" w:themeColor="accent1" w:val="single"/>
        <w:left w:color="4472c4" w:space="0" w:sz="8" w:themeColor="accent1" w:val="single"/>
        <w:bottom w:color="4472c4" w:space="0" w:sz="8" w:themeColor="accent1" w:val="single"/>
        <w:right w:color="4472c4" w:space="0" w:sz="8" w:themeColor="accent1" w:val="single"/>
      </w:tblBorders>
    </w:tblPr>
    <w:tblStylePr w:type="firstRow">
      <w:pPr>
        <w:spacing w:after="0" w:before="0" w:line="240" w:lineRule="auto"/>
      </w:pPr>
      <w:rPr>
        <w:b w:val="1"/>
        <w:bCs w:val="1"/>
        <w:color w:val="ffffff" w:themeColor="background1"/>
      </w:rPr>
      <w:tblPr/>
      <w:tcPr>
        <w:shd w:color="auto" w:fill="4472c4" w:themeFill="accent1" w:val="clear"/>
      </w:tcPr>
    </w:tblStylePr>
    <w:tblStylePr w:type="lastRow">
      <w:pPr>
        <w:spacing w:after="0" w:before="0" w:line="240" w:lineRule="auto"/>
      </w:pPr>
      <w:rPr>
        <w:b w:val="1"/>
        <w:bCs w:val="1"/>
      </w:rPr>
      <w:tblPr/>
      <w:tcPr>
        <w:tcBorders>
          <w:top w:color="4472c4" w:space="0" w:sz="6" w:themeColor="accent1" w:val="double"/>
          <w:left w:color="4472c4" w:space="0" w:sz="8" w:themeColor="accent1" w:val="single"/>
          <w:bottom w:color="4472c4" w:space="0" w:sz="8" w:themeColor="accent1" w:val="single"/>
          <w:right w:color="4472c4" w:space="0" w:sz="8" w:themeColor="accent1" w:val="single"/>
        </w:tcBorders>
      </w:tcPr>
    </w:tblStylePr>
    <w:tblStylePr w:type="firstCol">
      <w:rPr>
        <w:b w:val="1"/>
        <w:bCs w:val="1"/>
      </w:rPr>
    </w:tblStylePr>
    <w:tblStylePr w:type="lastCol">
      <w:rPr>
        <w:b w:val="1"/>
        <w:bCs w:val="1"/>
      </w:rPr>
    </w:tblStylePr>
    <w:tblStylePr w:type="band1Vert">
      <w:tblPr/>
      <w:tcPr>
        <w:tcBorders>
          <w:top w:color="4472c4" w:space="0" w:sz="8" w:themeColor="accent1" w:val="single"/>
          <w:left w:color="4472c4" w:space="0" w:sz="8" w:themeColor="accent1" w:val="single"/>
          <w:bottom w:color="4472c4" w:space="0" w:sz="8" w:themeColor="accent1" w:val="single"/>
          <w:right w:color="4472c4" w:space="0" w:sz="8" w:themeColor="accent1" w:val="single"/>
        </w:tcBorders>
      </w:tcPr>
    </w:tblStylePr>
    <w:tblStylePr w:type="band1Horz">
      <w:tblPr/>
      <w:tcPr>
        <w:tcBorders>
          <w:top w:color="4472c4" w:space="0" w:sz="8" w:themeColor="accent1" w:val="single"/>
          <w:left w:color="4472c4" w:space="0" w:sz="8" w:themeColor="accent1" w:val="single"/>
          <w:bottom w:color="4472c4" w:space="0" w:sz="8" w:themeColor="accent1" w:val="single"/>
          <w:right w:color="4472c4" w:space="0" w:sz="8" w:themeColor="accent1" w:val="single"/>
        </w:tcBorders>
      </w:tcPr>
    </w:tblStylePr>
  </w:style>
  <w:style w:type="table" w:styleId="LightList-Accent2">
    <w:name w:val="Light List Accent 2"/>
    <w:basedOn w:val="TableNormal"/>
    <w:uiPriority w:val="61"/>
    <w:semiHidden w:val="1"/>
    <w:unhideWhenUsed w:val="1"/>
    <w:rsid w:val="00687316"/>
    <w:pPr>
      <w:spacing w:after="0" w:line="240" w:lineRule="auto"/>
    </w:pPr>
    <w:tblPr>
      <w:tblStyleRowBandSize w:val="1"/>
      <w:tblStyleColBandSize w:val="1"/>
      <w:tblBorders>
        <w:top w:color="ed7d31" w:space="0" w:sz="8" w:themeColor="accent2" w:val="single"/>
        <w:left w:color="ed7d31" w:space="0" w:sz="8" w:themeColor="accent2" w:val="single"/>
        <w:bottom w:color="ed7d31" w:space="0" w:sz="8" w:themeColor="accent2" w:val="single"/>
        <w:right w:color="ed7d31" w:space="0" w:sz="8" w:themeColor="accent2" w:val="single"/>
      </w:tblBorders>
    </w:tblPr>
    <w:tblStylePr w:type="firstRow">
      <w:pPr>
        <w:spacing w:after="0" w:before="0" w:line="240" w:lineRule="auto"/>
      </w:pPr>
      <w:rPr>
        <w:b w:val="1"/>
        <w:bCs w:val="1"/>
        <w:color w:val="ffffff" w:themeColor="background1"/>
      </w:rPr>
      <w:tblPr/>
      <w:tcPr>
        <w:shd w:color="auto" w:fill="ed7d31" w:themeFill="accent2" w:val="clear"/>
      </w:tcPr>
    </w:tblStylePr>
    <w:tblStylePr w:type="lastRow">
      <w:pPr>
        <w:spacing w:after="0" w:before="0" w:line="240" w:lineRule="auto"/>
      </w:pPr>
      <w:rPr>
        <w:b w:val="1"/>
        <w:bCs w:val="1"/>
      </w:rPr>
      <w:tblPr/>
      <w:tcPr>
        <w:tcBorders>
          <w:top w:color="ed7d31" w:space="0" w:sz="6" w:themeColor="accent2" w:val="double"/>
          <w:left w:color="ed7d31" w:space="0" w:sz="8" w:themeColor="accent2" w:val="single"/>
          <w:bottom w:color="ed7d31" w:space="0" w:sz="8" w:themeColor="accent2" w:val="single"/>
          <w:right w:color="ed7d31" w:space="0" w:sz="8" w:themeColor="accent2" w:val="single"/>
        </w:tcBorders>
      </w:tcPr>
    </w:tblStylePr>
    <w:tblStylePr w:type="firstCol">
      <w:rPr>
        <w:b w:val="1"/>
        <w:bCs w:val="1"/>
      </w:rPr>
    </w:tblStylePr>
    <w:tblStylePr w:type="lastCol">
      <w:rPr>
        <w:b w:val="1"/>
        <w:bCs w:val="1"/>
      </w:rPr>
    </w:tblStylePr>
    <w:tblStylePr w:type="band1Vert">
      <w:tblPr/>
      <w:tcPr>
        <w:tcBorders>
          <w:top w:color="ed7d31" w:space="0" w:sz="8" w:themeColor="accent2" w:val="single"/>
          <w:left w:color="ed7d31" w:space="0" w:sz="8" w:themeColor="accent2" w:val="single"/>
          <w:bottom w:color="ed7d31" w:space="0" w:sz="8" w:themeColor="accent2" w:val="single"/>
          <w:right w:color="ed7d31" w:space="0" w:sz="8" w:themeColor="accent2" w:val="single"/>
        </w:tcBorders>
      </w:tcPr>
    </w:tblStylePr>
    <w:tblStylePr w:type="band1Horz">
      <w:tblPr/>
      <w:tcPr>
        <w:tcBorders>
          <w:top w:color="ed7d31" w:space="0" w:sz="8" w:themeColor="accent2" w:val="single"/>
          <w:left w:color="ed7d31" w:space="0" w:sz="8" w:themeColor="accent2" w:val="single"/>
          <w:bottom w:color="ed7d31" w:space="0" w:sz="8" w:themeColor="accent2" w:val="single"/>
          <w:right w:color="ed7d31" w:space="0" w:sz="8" w:themeColor="accent2" w:val="single"/>
        </w:tcBorders>
      </w:tcPr>
    </w:tblStylePr>
  </w:style>
  <w:style w:type="table" w:styleId="LightList-Accent3">
    <w:name w:val="Light List Accent 3"/>
    <w:basedOn w:val="TableNormal"/>
    <w:uiPriority w:val="61"/>
    <w:semiHidden w:val="1"/>
    <w:unhideWhenUsed w:val="1"/>
    <w:rsid w:val="00687316"/>
    <w:pPr>
      <w:spacing w:after="0" w:line="240" w:lineRule="auto"/>
    </w:pPr>
    <w:tblPr>
      <w:tblStyleRowBandSize w:val="1"/>
      <w:tblStyleColBandSize w:val="1"/>
      <w:tblBorders>
        <w:top w:color="a5a5a5" w:space="0" w:sz="8" w:themeColor="accent3" w:val="single"/>
        <w:left w:color="a5a5a5" w:space="0" w:sz="8" w:themeColor="accent3" w:val="single"/>
        <w:bottom w:color="a5a5a5" w:space="0" w:sz="8" w:themeColor="accent3" w:val="single"/>
        <w:right w:color="a5a5a5" w:space="0" w:sz="8" w:themeColor="accent3" w:val="single"/>
      </w:tblBorders>
    </w:tblPr>
    <w:tblStylePr w:type="firstRow">
      <w:pPr>
        <w:spacing w:after="0" w:before="0" w:line="240" w:lineRule="auto"/>
      </w:pPr>
      <w:rPr>
        <w:b w:val="1"/>
        <w:bCs w:val="1"/>
        <w:color w:val="ffffff" w:themeColor="background1"/>
      </w:rPr>
      <w:tblPr/>
      <w:tcPr>
        <w:shd w:color="auto" w:fill="a5a5a5" w:themeFill="accent3" w:val="clear"/>
      </w:tcPr>
    </w:tblStylePr>
    <w:tblStylePr w:type="lastRow">
      <w:pPr>
        <w:spacing w:after="0" w:before="0" w:line="240" w:lineRule="auto"/>
      </w:pPr>
      <w:rPr>
        <w:b w:val="1"/>
        <w:bCs w:val="1"/>
      </w:rPr>
      <w:tblPr/>
      <w:tcPr>
        <w:tcBorders>
          <w:top w:color="a5a5a5" w:space="0" w:sz="6" w:themeColor="accent3" w:val="double"/>
          <w:left w:color="a5a5a5" w:space="0" w:sz="8" w:themeColor="accent3" w:val="single"/>
          <w:bottom w:color="a5a5a5" w:space="0" w:sz="8" w:themeColor="accent3" w:val="single"/>
          <w:right w:color="a5a5a5" w:space="0" w:sz="8" w:themeColor="accent3" w:val="single"/>
        </w:tcBorders>
      </w:tcPr>
    </w:tblStylePr>
    <w:tblStylePr w:type="firstCol">
      <w:rPr>
        <w:b w:val="1"/>
        <w:bCs w:val="1"/>
      </w:rPr>
    </w:tblStylePr>
    <w:tblStylePr w:type="lastCol">
      <w:rPr>
        <w:b w:val="1"/>
        <w:bCs w:val="1"/>
      </w:rPr>
    </w:tblStylePr>
    <w:tblStylePr w:type="band1Vert">
      <w:tblPr/>
      <w:tcPr>
        <w:tcBorders>
          <w:top w:color="a5a5a5" w:space="0" w:sz="8" w:themeColor="accent3" w:val="single"/>
          <w:left w:color="a5a5a5" w:space="0" w:sz="8" w:themeColor="accent3" w:val="single"/>
          <w:bottom w:color="a5a5a5" w:space="0" w:sz="8" w:themeColor="accent3" w:val="single"/>
          <w:right w:color="a5a5a5" w:space="0" w:sz="8" w:themeColor="accent3" w:val="single"/>
        </w:tcBorders>
      </w:tcPr>
    </w:tblStylePr>
    <w:tblStylePr w:type="band1Horz">
      <w:tblPr/>
      <w:tcPr>
        <w:tcBorders>
          <w:top w:color="a5a5a5" w:space="0" w:sz="8" w:themeColor="accent3" w:val="single"/>
          <w:left w:color="a5a5a5" w:space="0" w:sz="8" w:themeColor="accent3" w:val="single"/>
          <w:bottom w:color="a5a5a5" w:space="0" w:sz="8" w:themeColor="accent3" w:val="single"/>
          <w:right w:color="a5a5a5" w:space="0" w:sz="8" w:themeColor="accent3" w:val="single"/>
        </w:tcBorders>
      </w:tcPr>
    </w:tblStylePr>
  </w:style>
  <w:style w:type="table" w:styleId="LightList-Accent4">
    <w:name w:val="Light List Accent 4"/>
    <w:basedOn w:val="TableNormal"/>
    <w:uiPriority w:val="61"/>
    <w:semiHidden w:val="1"/>
    <w:unhideWhenUsed w:val="1"/>
    <w:rsid w:val="00687316"/>
    <w:pPr>
      <w:spacing w:after="0" w:line="240" w:lineRule="auto"/>
    </w:pPr>
    <w:tblPr>
      <w:tblStyleRowBandSize w:val="1"/>
      <w:tblStyleColBandSize w:val="1"/>
      <w:tblBorders>
        <w:top w:color="ffc000" w:space="0" w:sz="8" w:themeColor="accent4" w:val="single"/>
        <w:left w:color="ffc000" w:space="0" w:sz="8" w:themeColor="accent4" w:val="single"/>
        <w:bottom w:color="ffc000" w:space="0" w:sz="8" w:themeColor="accent4" w:val="single"/>
        <w:right w:color="ffc000" w:space="0" w:sz="8" w:themeColor="accent4" w:val="single"/>
      </w:tblBorders>
    </w:tblPr>
    <w:tblStylePr w:type="firstRow">
      <w:pPr>
        <w:spacing w:after="0" w:before="0" w:line="240" w:lineRule="auto"/>
      </w:pPr>
      <w:rPr>
        <w:b w:val="1"/>
        <w:bCs w:val="1"/>
        <w:color w:val="ffffff" w:themeColor="background1"/>
      </w:rPr>
      <w:tblPr/>
      <w:tcPr>
        <w:shd w:color="auto" w:fill="ffc000" w:themeFill="accent4" w:val="clear"/>
      </w:tcPr>
    </w:tblStylePr>
    <w:tblStylePr w:type="lastRow">
      <w:pPr>
        <w:spacing w:after="0" w:before="0" w:line="240" w:lineRule="auto"/>
      </w:pPr>
      <w:rPr>
        <w:b w:val="1"/>
        <w:bCs w:val="1"/>
      </w:rPr>
      <w:tblPr/>
      <w:tcPr>
        <w:tcBorders>
          <w:top w:color="ffc000" w:space="0" w:sz="6" w:themeColor="accent4" w:val="double"/>
          <w:left w:color="ffc000" w:space="0" w:sz="8" w:themeColor="accent4" w:val="single"/>
          <w:bottom w:color="ffc000" w:space="0" w:sz="8" w:themeColor="accent4" w:val="single"/>
          <w:right w:color="ffc000" w:space="0" w:sz="8" w:themeColor="accent4" w:val="single"/>
        </w:tcBorders>
      </w:tcPr>
    </w:tblStylePr>
    <w:tblStylePr w:type="firstCol">
      <w:rPr>
        <w:b w:val="1"/>
        <w:bCs w:val="1"/>
      </w:rPr>
    </w:tblStylePr>
    <w:tblStylePr w:type="lastCol">
      <w:rPr>
        <w:b w:val="1"/>
        <w:bCs w:val="1"/>
      </w:rPr>
    </w:tblStylePr>
    <w:tblStylePr w:type="band1Vert">
      <w:tblPr/>
      <w:tcPr>
        <w:tcBorders>
          <w:top w:color="ffc000" w:space="0" w:sz="8" w:themeColor="accent4" w:val="single"/>
          <w:left w:color="ffc000" w:space="0" w:sz="8" w:themeColor="accent4" w:val="single"/>
          <w:bottom w:color="ffc000" w:space="0" w:sz="8" w:themeColor="accent4" w:val="single"/>
          <w:right w:color="ffc000" w:space="0" w:sz="8" w:themeColor="accent4" w:val="single"/>
        </w:tcBorders>
      </w:tcPr>
    </w:tblStylePr>
    <w:tblStylePr w:type="band1Horz">
      <w:tblPr/>
      <w:tcPr>
        <w:tcBorders>
          <w:top w:color="ffc000" w:space="0" w:sz="8" w:themeColor="accent4" w:val="single"/>
          <w:left w:color="ffc000" w:space="0" w:sz="8" w:themeColor="accent4" w:val="single"/>
          <w:bottom w:color="ffc000" w:space="0" w:sz="8" w:themeColor="accent4" w:val="single"/>
          <w:right w:color="ffc000" w:space="0" w:sz="8" w:themeColor="accent4" w:val="single"/>
        </w:tcBorders>
      </w:tcPr>
    </w:tblStylePr>
  </w:style>
  <w:style w:type="table" w:styleId="LightList-Accent5">
    <w:name w:val="Light List Accent 5"/>
    <w:basedOn w:val="TableNormal"/>
    <w:uiPriority w:val="61"/>
    <w:semiHidden w:val="1"/>
    <w:unhideWhenUsed w:val="1"/>
    <w:rsid w:val="00687316"/>
    <w:pPr>
      <w:spacing w:after="0" w:line="240" w:lineRule="auto"/>
    </w:pPr>
    <w:tblPr>
      <w:tblStyleRowBandSize w:val="1"/>
      <w:tblStyleColBandSize w:val="1"/>
      <w:tblBorders>
        <w:top w:color="5b9bd5" w:space="0" w:sz="8" w:themeColor="accent5" w:val="single"/>
        <w:left w:color="5b9bd5" w:space="0" w:sz="8" w:themeColor="accent5" w:val="single"/>
        <w:bottom w:color="5b9bd5" w:space="0" w:sz="8" w:themeColor="accent5" w:val="single"/>
        <w:right w:color="5b9bd5" w:space="0" w:sz="8" w:themeColor="accent5" w:val="single"/>
      </w:tblBorders>
    </w:tblPr>
    <w:tblStylePr w:type="firstRow">
      <w:pPr>
        <w:spacing w:after="0" w:before="0" w:line="240" w:lineRule="auto"/>
      </w:pPr>
      <w:rPr>
        <w:b w:val="1"/>
        <w:bCs w:val="1"/>
        <w:color w:val="ffffff" w:themeColor="background1"/>
      </w:rPr>
      <w:tblPr/>
      <w:tcPr>
        <w:shd w:color="auto" w:fill="5b9bd5" w:themeFill="accent5" w:val="clear"/>
      </w:tcPr>
    </w:tblStylePr>
    <w:tblStylePr w:type="lastRow">
      <w:pPr>
        <w:spacing w:after="0" w:before="0" w:line="240" w:lineRule="auto"/>
      </w:pPr>
      <w:rPr>
        <w:b w:val="1"/>
        <w:bCs w:val="1"/>
      </w:rPr>
      <w:tblPr/>
      <w:tcPr>
        <w:tcBorders>
          <w:top w:color="5b9bd5" w:space="0" w:sz="6" w:themeColor="accent5" w:val="double"/>
          <w:left w:color="5b9bd5" w:space="0" w:sz="8" w:themeColor="accent5" w:val="single"/>
          <w:bottom w:color="5b9bd5" w:space="0" w:sz="8" w:themeColor="accent5" w:val="single"/>
          <w:right w:color="5b9bd5" w:space="0" w:sz="8" w:themeColor="accent5" w:val="single"/>
        </w:tcBorders>
      </w:tcPr>
    </w:tblStylePr>
    <w:tblStylePr w:type="firstCol">
      <w:rPr>
        <w:b w:val="1"/>
        <w:bCs w:val="1"/>
      </w:rPr>
    </w:tblStylePr>
    <w:tblStylePr w:type="lastCol">
      <w:rPr>
        <w:b w:val="1"/>
        <w:bCs w:val="1"/>
      </w:rPr>
    </w:tblStylePr>
    <w:tblStylePr w:type="band1Vert">
      <w:tblPr/>
      <w:tcPr>
        <w:tcBorders>
          <w:top w:color="5b9bd5" w:space="0" w:sz="8" w:themeColor="accent5" w:val="single"/>
          <w:left w:color="5b9bd5" w:space="0" w:sz="8" w:themeColor="accent5" w:val="single"/>
          <w:bottom w:color="5b9bd5" w:space="0" w:sz="8" w:themeColor="accent5" w:val="single"/>
          <w:right w:color="5b9bd5" w:space="0" w:sz="8" w:themeColor="accent5" w:val="single"/>
        </w:tcBorders>
      </w:tcPr>
    </w:tblStylePr>
    <w:tblStylePr w:type="band1Horz">
      <w:tblPr/>
      <w:tcPr>
        <w:tcBorders>
          <w:top w:color="5b9bd5" w:space="0" w:sz="8" w:themeColor="accent5" w:val="single"/>
          <w:left w:color="5b9bd5" w:space="0" w:sz="8" w:themeColor="accent5" w:val="single"/>
          <w:bottom w:color="5b9bd5" w:space="0" w:sz="8" w:themeColor="accent5" w:val="single"/>
          <w:right w:color="5b9bd5" w:space="0" w:sz="8" w:themeColor="accent5" w:val="single"/>
        </w:tcBorders>
      </w:tcPr>
    </w:tblStylePr>
  </w:style>
  <w:style w:type="table" w:styleId="LightList-Accent6">
    <w:name w:val="Light List Accent 6"/>
    <w:basedOn w:val="TableNormal"/>
    <w:uiPriority w:val="61"/>
    <w:semiHidden w:val="1"/>
    <w:unhideWhenUsed w:val="1"/>
    <w:rsid w:val="00687316"/>
    <w:pPr>
      <w:spacing w:after="0" w:line="240" w:lineRule="auto"/>
    </w:pPr>
    <w:tblPr>
      <w:tblStyleRowBandSize w:val="1"/>
      <w:tblStyleColBandSize w:val="1"/>
      <w:tblBorders>
        <w:top w:color="70ad47" w:space="0" w:sz="8" w:themeColor="accent6" w:val="single"/>
        <w:left w:color="70ad47" w:space="0" w:sz="8" w:themeColor="accent6" w:val="single"/>
        <w:bottom w:color="70ad47" w:space="0" w:sz="8" w:themeColor="accent6" w:val="single"/>
        <w:right w:color="70ad47" w:space="0" w:sz="8" w:themeColor="accent6" w:val="single"/>
      </w:tblBorders>
    </w:tblPr>
    <w:tblStylePr w:type="firstRow">
      <w:pPr>
        <w:spacing w:after="0" w:before="0" w:line="240" w:lineRule="auto"/>
      </w:pPr>
      <w:rPr>
        <w:b w:val="1"/>
        <w:bCs w:val="1"/>
        <w:color w:val="ffffff" w:themeColor="background1"/>
      </w:rPr>
      <w:tblPr/>
      <w:tcPr>
        <w:shd w:color="auto" w:fill="70ad47" w:themeFill="accent6" w:val="clear"/>
      </w:tcPr>
    </w:tblStylePr>
    <w:tblStylePr w:type="lastRow">
      <w:pPr>
        <w:spacing w:after="0" w:before="0" w:line="240" w:lineRule="auto"/>
      </w:pPr>
      <w:rPr>
        <w:b w:val="1"/>
        <w:bCs w:val="1"/>
      </w:rPr>
      <w:tblPr/>
      <w:tcPr>
        <w:tcBorders>
          <w:top w:color="70ad47" w:space="0" w:sz="6" w:themeColor="accent6" w:val="double"/>
          <w:left w:color="70ad47" w:space="0" w:sz="8" w:themeColor="accent6" w:val="single"/>
          <w:bottom w:color="70ad47" w:space="0" w:sz="8" w:themeColor="accent6" w:val="single"/>
          <w:right w:color="70ad47" w:space="0" w:sz="8" w:themeColor="accent6" w:val="single"/>
        </w:tcBorders>
      </w:tcPr>
    </w:tblStylePr>
    <w:tblStylePr w:type="firstCol">
      <w:rPr>
        <w:b w:val="1"/>
        <w:bCs w:val="1"/>
      </w:rPr>
    </w:tblStylePr>
    <w:tblStylePr w:type="lastCol">
      <w:rPr>
        <w:b w:val="1"/>
        <w:bCs w:val="1"/>
      </w:rPr>
    </w:tblStylePr>
    <w:tblStylePr w:type="band1Vert">
      <w:tblPr/>
      <w:tcPr>
        <w:tcBorders>
          <w:top w:color="70ad47" w:space="0" w:sz="8" w:themeColor="accent6" w:val="single"/>
          <w:left w:color="70ad47" w:space="0" w:sz="8" w:themeColor="accent6" w:val="single"/>
          <w:bottom w:color="70ad47" w:space="0" w:sz="8" w:themeColor="accent6" w:val="single"/>
          <w:right w:color="70ad47" w:space="0" w:sz="8" w:themeColor="accent6" w:val="single"/>
        </w:tcBorders>
      </w:tcPr>
    </w:tblStylePr>
    <w:tblStylePr w:type="band1Horz">
      <w:tblPr/>
      <w:tcPr>
        <w:tcBorders>
          <w:top w:color="70ad47" w:space="0" w:sz="8" w:themeColor="accent6" w:val="single"/>
          <w:left w:color="70ad47" w:space="0" w:sz="8" w:themeColor="accent6" w:val="single"/>
          <w:bottom w:color="70ad47" w:space="0" w:sz="8" w:themeColor="accent6" w:val="single"/>
          <w:right w:color="70ad47" w:space="0" w:sz="8" w:themeColor="accent6" w:val="single"/>
        </w:tcBorders>
      </w:tcPr>
    </w:tblStylePr>
  </w:style>
  <w:style w:type="table" w:styleId="LightShading">
    <w:name w:val="Light Shading"/>
    <w:basedOn w:val="TableNormal"/>
    <w:uiPriority w:val="60"/>
    <w:semiHidden w:val="1"/>
    <w:unhideWhenUsed w:val="1"/>
    <w:rsid w:val="00687316"/>
    <w:pPr>
      <w:spacing w:after="0" w:line="240" w:lineRule="auto"/>
    </w:pPr>
    <w:rPr>
      <w:color w:val="000000" w:themeColor="text1" w:themeShade="0000BF"/>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semiHidden w:val="1"/>
    <w:unhideWhenUsed w:val="1"/>
    <w:rsid w:val="00687316"/>
    <w:pPr>
      <w:spacing w:after="0" w:line="240" w:lineRule="auto"/>
    </w:pPr>
    <w:rPr>
      <w:color w:val="2f5496" w:themeColor="accent1" w:themeShade="0000BF"/>
    </w:rPr>
    <w:tblPr>
      <w:tblStyleRowBandSize w:val="1"/>
      <w:tblStyleColBandSize w:val="1"/>
      <w:tblBorders>
        <w:top w:color="4472c4" w:space="0" w:sz="8" w:themeColor="accent1" w:val="single"/>
        <w:bottom w:color="4472c4" w:space="0" w:sz="8" w:themeColor="accent1" w:val="single"/>
      </w:tblBorders>
    </w:tblPr>
    <w:tblStylePr w:type="fir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0dbf0" w:themeFill="accent1" w:themeFillTint="00003F" w:val="clear"/>
      </w:tcPr>
    </w:tblStylePr>
    <w:tblStylePr w:type="band1Horz">
      <w:tblPr/>
      <w:tcPr>
        <w:tcBorders>
          <w:left w:space="0" w:sz="0" w:val="nil"/>
          <w:right w:space="0" w:sz="0" w:val="nil"/>
          <w:insideH w:space="0" w:sz="0" w:val="nil"/>
          <w:insideV w:space="0" w:sz="0" w:val="nil"/>
        </w:tcBorders>
        <w:shd w:color="auto" w:fill="d0dbf0" w:themeFill="accent1" w:themeFillTint="00003F" w:val="clear"/>
      </w:tcPr>
    </w:tblStylePr>
  </w:style>
  <w:style w:type="table" w:styleId="LightShading-Accent2">
    <w:name w:val="Light Shading Accent 2"/>
    <w:basedOn w:val="TableNormal"/>
    <w:uiPriority w:val="60"/>
    <w:semiHidden w:val="1"/>
    <w:unhideWhenUsed w:val="1"/>
    <w:rsid w:val="00687316"/>
    <w:pPr>
      <w:spacing w:after="0" w:line="240" w:lineRule="auto"/>
    </w:pPr>
    <w:rPr>
      <w:color w:val="c45911" w:themeColor="accent2" w:themeShade="0000BF"/>
    </w:rPr>
    <w:tblPr>
      <w:tblStyleRowBandSize w:val="1"/>
      <w:tblStyleColBandSize w:val="1"/>
      <w:tblBorders>
        <w:top w:color="ed7d31" w:space="0" w:sz="8" w:themeColor="accent2" w:val="single"/>
        <w:bottom w:color="ed7d31" w:space="0" w:sz="8" w:themeColor="accent2" w:val="single"/>
      </w:tblBorders>
    </w:tblPr>
    <w:tblStylePr w:type="firstRow">
      <w:pPr>
        <w:spacing w:after="0" w:before="0" w:line="240" w:lineRule="auto"/>
      </w:pPr>
      <w:rPr>
        <w:b w:val="1"/>
        <w:bCs w:val="1"/>
      </w:rPr>
      <w:tblPr/>
      <w:tcPr>
        <w:tcBorders>
          <w:top w:color="ed7d31" w:space="0" w:sz="8" w:themeColor="accent2" w:val="single"/>
          <w:left w:space="0" w:sz="0" w:val="nil"/>
          <w:bottom w:color="ed7d31"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ed7d31" w:space="0" w:sz="8" w:themeColor="accent2" w:val="single"/>
          <w:left w:space="0" w:sz="0" w:val="nil"/>
          <w:bottom w:color="ed7d31"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adecb" w:themeFill="accent2" w:themeFillTint="00003F" w:val="clear"/>
      </w:tcPr>
    </w:tblStylePr>
    <w:tblStylePr w:type="band1Horz">
      <w:tblPr/>
      <w:tcPr>
        <w:tcBorders>
          <w:left w:space="0" w:sz="0" w:val="nil"/>
          <w:right w:space="0" w:sz="0" w:val="nil"/>
          <w:insideH w:space="0" w:sz="0" w:val="nil"/>
          <w:insideV w:space="0" w:sz="0" w:val="nil"/>
        </w:tcBorders>
        <w:shd w:color="auto" w:fill="fadecb" w:themeFill="accent2" w:themeFillTint="00003F" w:val="clear"/>
      </w:tcPr>
    </w:tblStylePr>
  </w:style>
  <w:style w:type="table" w:styleId="LightShading-Accent3">
    <w:name w:val="Light Shading Accent 3"/>
    <w:basedOn w:val="TableNormal"/>
    <w:uiPriority w:val="60"/>
    <w:semiHidden w:val="1"/>
    <w:unhideWhenUsed w:val="1"/>
    <w:rsid w:val="00687316"/>
    <w:pPr>
      <w:spacing w:after="0" w:line="240" w:lineRule="auto"/>
    </w:pPr>
    <w:rPr>
      <w:color w:val="7b7b7b" w:themeColor="accent3" w:themeShade="0000BF"/>
    </w:rPr>
    <w:tblPr>
      <w:tblStyleRowBandSize w:val="1"/>
      <w:tblStyleColBandSize w:val="1"/>
      <w:tblBorders>
        <w:top w:color="a5a5a5" w:space="0" w:sz="8" w:themeColor="accent3" w:val="single"/>
        <w:bottom w:color="a5a5a5" w:space="0" w:sz="8" w:themeColor="accent3" w:val="single"/>
      </w:tblBorders>
    </w:tblPr>
    <w:tblStylePr w:type="firstRow">
      <w:pPr>
        <w:spacing w:after="0" w:before="0" w:line="240" w:lineRule="auto"/>
      </w:pPr>
      <w:rPr>
        <w:b w:val="1"/>
        <w:bCs w:val="1"/>
      </w:rPr>
      <w:tblPr/>
      <w:tcPr>
        <w:tcBorders>
          <w:top w:color="a5a5a5" w:space="0" w:sz="8" w:themeColor="accent3" w:val="single"/>
          <w:left w:space="0" w:sz="0" w:val="nil"/>
          <w:bottom w:color="a5a5a5"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a5a5a5" w:space="0" w:sz="8" w:themeColor="accent3" w:val="single"/>
          <w:left w:space="0" w:sz="0" w:val="nil"/>
          <w:bottom w:color="a5a5a5"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8e8e8" w:themeFill="accent3" w:themeFillTint="00003F" w:val="clear"/>
      </w:tcPr>
    </w:tblStylePr>
    <w:tblStylePr w:type="band1Horz">
      <w:tblPr/>
      <w:tcPr>
        <w:tcBorders>
          <w:left w:space="0" w:sz="0" w:val="nil"/>
          <w:right w:space="0" w:sz="0" w:val="nil"/>
          <w:insideH w:space="0" w:sz="0" w:val="nil"/>
          <w:insideV w:space="0" w:sz="0" w:val="nil"/>
        </w:tcBorders>
        <w:shd w:color="auto" w:fill="e8e8e8" w:themeFill="accent3" w:themeFillTint="00003F" w:val="clear"/>
      </w:tcPr>
    </w:tblStylePr>
  </w:style>
  <w:style w:type="table" w:styleId="LightShading-Accent4">
    <w:name w:val="Light Shading Accent 4"/>
    <w:basedOn w:val="TableNormal"/>
    <w:uiPriority w:val="60"/>
    <w:semiHidden w:val="1"/>
    <w:unhideWhenUsed w:val="1"/>
    <w:rsid w:val="00687316"/>
    <w:pPr>
      <w:spacing w:after="0" w:line="240" w:lineRule="auto"/>
    </w:pPr>
    <w:rPr>
      <w:color w:val="bf8f00" w:themeColor="accent4" w:themeShade="0000BF"/>
    </w:rPr>
    <w:tblPr>
      <w:tblStyleRowBandSize w:val="1"/>
      <w:tblStyleColBandSize w:val="1"/>
      <w:tblBorders>
        <w:top w:color="ffc000" w:space="0" w:sz="8" w:themeColor="accent4" w:val="single"/>
        <w:bottom w:color="ffc000" w:space="0" w:sz="8" w:themeColor="accent4" w:val="single"/>
      </w:tblBorders>
    </w:tblPr>
    <w:tblStylePr w:type="firstRow">
      <w:pPr>
        <w:spacing w:after="0" w:before="0" w:line="240" w:lineRule="auto"/>
      </w:pPr>
      <w:rPr>
        <w:b w:val="1"/>
        <w:bCs w:val="1"/>
      </w:rPr>
      <w:tblPr/>
      <w:tcPr>
        <w:tcBorders>
          <w:top w:color="ffc000" w:space="0" w:sz="8" w:themeColor="accent4" w:val="single"/>
          <w:left w:space="0" w:sz="0" w:val="nil"/>
          <w:bottom w:color="ffc000"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ffc000" w:space="0" w:sz="8" w:themeColor="accent4" w:val="single"/>
          <w:left w:space="0" w:sz="0" w:val="nil"/>
          <w:bottom w:color="ffc000"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fefc0" w:themeFill="accent4" w:themeFillTint="00003F" w:val="clear"/>
      </w:tcPr>
    </w:tblStylePr>
    <w:tblStylePr w:type="band1Horz">
      <w:tblPr/>
      <w:tcPr>
        <w:tcBorders>
          <w:left w:space="0" w:sz="0" w:val="nil"/>
          <w:right w:space="0" w:sz="0" w:val="nil"/>
          <w:insideH w:space="0" w:sz="0" w:val="nil"/>
          <w:insideV w:space="0" w:sz="0" w:val="nil"/>
        </w:tcBorders>
        <w:shd w:color="auto" w:fill="ffefc0" w:themeFill="accent4" w:themeFillTint="00003F" w:val="clear"/>
      </w:tcPr>
    </w:tblStylePr>
  </w:style>
  <w:style w:type="table" w:styleId="LightShading-Accent5">
    <w:name w:val="Light Shading Accent 5"/>
    <w:basedOn w:val="TableNormal"/>
    <w:uiPriority w:val="60"/>
    <w:semiHidden w:val="1"/>
    <w:unhideWhenUsed w:val="1"/>
    <w:rsid w:val="00687316"/>
    <w:pPr>
      <w:spacing w:after="0" w:line="240" w:lineRule="auto"/>
    </w:pPr>
    <w:rPr>
      <w:color w:val="2e74b5" w:themeColor="accent5" w:themeShade="0000BF"/>
    </w:rPr>
    <w:tblPr>
      <w:tblStyleRowBandSize w:val="1"/>
      <w:tblStyleColBandSize w:val="1"/>
      <w:tblBorders>
        <w:top w:color="5b9bd5" w:space="0" w:sz="8" w:themeColor="accent5" w:val="single"/>
        <w:bottom w:color="5b9bd5" w:space="0" w:sz="8" w:themeColor="accent5" w:val="single"/>
      </w:tblBorders>
    </w:tblPr>
    <w:tblStylePr w:type="firstRow">
      <w:pPr>
        <w:spacing w:after="0" w:before="0" w:line="240" w:lineRule="auto"/>
      </w:pPr>
      <w:rPr>
        <w:b w:val="1"/>
        <w:bCs w:val="1"/>
      </w:rPr>
      <w:tblPr/>
      <w:tcPr>
        <w:tcBorders>
          <w:top w:color="5b9bd5" w:space="0" w:sz="8" w:themeColor="accent5" w:val="single"/>
          <w:left w:space="0" w:sz="0" w:val="nil"/>
          <w:bottom w:color="5b9bd5"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5b9bd5" w:space="0" w:sz="8" w:themeColor="accent5" w:val="single"/>
          <w:left w:space="0" w:sz="0" w:val="nil"/>
          <w:bottom w:color="5b9bd5"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6e6f4" w:themeFill="accent5" w:themeFillTint="00003F" w:val="clear"/>
      </w:tcPr>
    </w:tblStylePr>
    <w:tblStylePr w:type="band1Horz">
      <w:tblPr/>
      <w:tcPr>
        <w:tcBorders>
          <w:left w:space="0" w:sz="0" w:val="nil"/>
          <w:right w:space="0" w:sz="0" w:val="nil"/>
          <w:insideH w:space="0" w:sz="0" w:val="nil"/>
          <w:insideV w:space="0" w:sz="0" w:val="nil"/>
        </w:tcBorders>
        <w:shd w:color="auto" w:fill="d6e6f4" w:themeFill="accent5" w:themeFillTint="00003F" w:val="clear"/>
      </w:tcPr>
    </w:tblStylePr>
  </w:style>
  <w:style w:type="table" w:styleId="LightShading-Accent6">
    <w:name w:val="Light Shading Accent 6"/>
    <w:basedOn w:val="TableNormal"/>
    <w:uiPriority w:val="60"/>
    <w:semiHidden w:val="1"/>
    <w:unhideWhenUsed w:val="1"/>
    <w:rsid w:val="00687316"/>
    <w:pPr>
      <w:spacing w:after="0" w:line="240" w:lineRule="auto"/>
    </w:pPr>
    <w:rPr>
      <w:color w:val="538135" w:themeColor="accent6" w:themeShade="0000BF"/>
    </w:rPr>
    <w:tblPr>
      <w:tblStyleRowBandSize w:val="1"/>
      <w:tblStyleColBandSize w:val="1"/>
      <w:tblBorders>
        <w:top w:color="70ad47" w:space="0" w:sz="8" w:themeColor="accent6" w:val="single"/>
        <w:bottom w:color="70ad47" w:space="0" w:sz="8" w:themeColor="accent6" w:val="single"/>
      </w:tblBorders>
    </w:tblPr>
    <w:tblStylePr w:type="firstRow">
      <w:pPr>
        <w:spacing w:after="0" w:before="0" w:line="240" w:lineRule="auto"/>
      </w:pPr>
      <w:rPr>
        <w:b w:val="1"/>
        <w:bCs w:val="1"/>
      </w:rPr>
      <w:tblPr/>
      <w:tcPr>
        <w:tcBorders>
          <w:top w:color="70ad47" w:space="0" w:sz="8" w:themeColor="accent6" w:val="single"/>
          <w:left w:space="0" w:sz="0" w:val="nil"/>
          <w:bottom w:color="70ad47"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70ad47" w:space="0" w:sz="8" w:themeColor="accent6" w:val="single"/>
          <w:left w:space="0" w:sz="0" w:val="nil"/>
          <w:bottom w:color="70ad47"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bebd0" w:themeFill="accent6" w:themeFillTint="00003F" w:val="clear"/>
      </w:tcPr>
    </w:tblStylePr>
    <w:tblStylePr w:type="band1Horz">
      <w:tblPr/>
      <w:tcPr>
        <w:tcBorders>
          <w:left w:space="0" w:sz="0" w:val="nil"/>
          <w:right w:space="0" w:sz="0" w:val="nil"/>
          <w:insideH w:space="0" w:sz="0" w:val="nil"/>
          <w:insideV w:space="0" w:sz="0" w:val="nil"/>
        </w:tcBorders>
        <w:shd w:color="auto" w:fill="dbebd0" w:themeFill="accent6" w:themeFillTint="00003F" w:val="clear"/>
      </w:tcPr>
    </w:tblStylePr>
  </w:style>
  <w:style w:type="character" w:styleId="LineNumber">
    <w:name w:val="line number"/>
    <w:basedOn w:val="DefaultParagraphFont"/>
    <w:uiPriority w:val="99"/>
    <w:semiHidden w:val="1"/>
    <w:unhideWhenUsed w:val="1"/>
    <w:rsid w:val="00687316"/>
    <w:rPr>
      <w:lang w:val="en-GB"/>
    </w:rPr>
  </w:style>
  <w:style w:type="paragraph" w:styleId="List">
    <w:name w:val="List"/>
    <w:basedOn w:val="Normal"/>
    <w:uiPriority w:val="99"/>
    <w:semiHidden w:val="1"/>
    <w:unhideWhenUsed w:val="1"/>
    <w:rsid w:val="00687316"/>
    <w:pPr>
      <w:ind w:left="283" w:hanging="283"/>
      <w:contextualSpacing w:val="1"/>
    </w:pPr>
  </w:style>
  <w:style w:type="paragraph" w:styleId="List2">
    <w:name w:val="List 2"/>
    <w:basedOn w:val="Normal"/>
    <w:uiPriority w:val="99"/>
    <w:semiHidden w:val="1"/>
    <w:unhideWhenUsed w:val="1"/>
    <w:rsid w:val="00687316"/>
    <w:pPr>
      <w:ind w:left="566" w:hanging="283"/>
      <w:contextualSpacing w:val="1"/>
    </w:pPr>
  </w:style>
  <w:style w:type="paragraph" w:styleId="List3">
    <w:name w:val="List 3"/>
    <w:basedOn w:val="Normal"/>
    <w:uiPriority w:val="99"/>
    <w:semiHidden w:val="1"/>
    <w:unhideWhenUsed w:val="1"/>
    <w:rsid w:val="00687316"/>
    <w:pPr>
      <w:ind w:left="849" w:hanging="283"/>
      <w:contextualSpacing w:val="1"/>
    </w:pPr>
  </w:style>
  <w:style w:type="paragraph" w:styleId="List4">
    <w:name w:val="List 4"/>
    <w:basedOn w:val="Normal"/>
    <w:uiPriority w:val="99"/>
    <w:semiHidden w:val="1"/>
    <w:unhideWhenUsed w:val="1"/>
    <w:rsid w:val="00687316"/>
    <w:pPr>
      <w:ind w:left="1132" w:hanging="283"/>
      <w:contextualSpacing w:val="1"/>
    </w:pPr>
  </w:style>
  <w:style w:type="paragraph" w:styleId="List5">
    <w:name w:val="List 5"/>
    <w:basedOn w:val="Normal"/>
    <w:uiPriority w:val="99"/>
    <w:semiHidden w:val="1"/>
    <w:unhideWhenUsed w:val="1"/>
    <w:rsid w:val="00687316"/>
    <w:pPr>
      <w:ind w:left="1415" w:hanging="283"/>
      <w:contextualSpacing w:val="1"/>
    </w:pPr>
  </w:style>
  <w:style w:type="paragraph" w:styleId="ListBullet">
    <w:name w:val="List Bullet"/>
    <w:basedOn w:val="Normal"/>
    <w:uiPriority w:val="99"/>
    <w:semiHidden w:val="1"/>
    <w:unhideWhenUsed w:val="1"/>
    <w:rsid w:val="00687316"/>
    <w:pPr>
      <w:numPr>
        <w:numId w:val="8"/>
      </w:numPr>
      <w:contextualSpacing w:val="1"/>
    </w:pPr>
  </w:style>
  <w:style w:type="paragraph" w:styleId="ListContinue">
    <w:name w:val="List Continue"/>
    <w:basedOn w:val="Normal"/>
    <w:uiPriority w:val="99"/>
    <w:semiHidden w:val="1"/>
    <w:unhideWhenUsed w:val="1"/>
    <w:rsid w:val="00687316"/>
    <w:pPr>
      <w:spacing w:after="120"/>
      <w:ind w:left="283"/>
      <w:contextualSpacing w:val="1"/>
    </w:pPr>
  </w:style>
  <w:style w:type="paragraph" w:styleId="ListContinue2">
    <w:name w:val="List Continue 2"/>
    <w:basedOn w:val="Normal"/>
    <w:uiPriority w:val="99"/>
    <w:semiHidden w:val="1"/>
    <w:unhideWhenUsed w:val="1"/>
    <w:rsid w:val="00687316"/>
    <w:pPr>
      <w:spacing w:after="120"/>
      <w:ind w:left="566"/>
      <w:contextualSpacing w:val="1"/>
    </w:pPr>
  </w:style>
  <w:style w:type="paragraph" w:styleId="ListContinue3">
    <w:name w:val="List Continue 3"/>
    <w:basedOn w:val="Normal"/>
    <w:uiPriority w:val="99"/>
    <w:semiHidden w:val="1"/>
    <w:unhideWhenUsed w:val="1"/>
    <w:rsid w:val="00687316"/>
    <w:pPr>
      <w:spacing w:after="120"/>
      <w:ind w:left="849"/>
      <w:contextualSpacing w:val="1"/>
    </w:pPr>
  </w:style>
  <w:style w:type="paragraph" w:styleId="ListContinue4">
    <w:name w:val="List Continue 4"/>
    <w:basedOn w:val="Normal"/>
    <w:uiPriority w:val="99"/>
    <w:semiHidden w:val="1"/>
    <w:unhideWhenUsed w:val="1"/>
    <w:rsid w:val="00687316"/>
    <w:pPr>
      <w:spacing w:after="120"/>
      <w:ind w:left="1132"/>
      <w:contextualSpacing w:val="1"/>
    </w:pPr>
  </w:style>
  <w:style w:type="paragraph" w:styleId="ListContinue5">
    <w:name w:val="List Continue 5"/>
    <w:basedOn w:val="Normal"/>
    <w:uiPriority w:val="99"/>
    <w:semiHidden w:val="1"/>
    <w:unhideWhenUsed w:val="1"/>
    <w:rsid w:val="00687316"/>
    <w:pPr>
      <w:spacing w:after="120"/>
      <w:ind w:left="1415"/>
      <w:contextualSpacing w:val="1"/>
    </w:pPr>
  </w:style>
  <w:style w:type="paragraph" w:styleId="ListNumber">
    <w:name w:val="List Number"/>
    <w:basedOn w:val="Normal"/>
    <w:uiPriority w:val="99"/>
    <w:semiHidden w:val="1"/>
    <w:unhideWhenUsed w:val="1"/>
    <w:rsid w:val="00687316"/>
    <w:pPr>
      <w:numPr>
        <w:numId w:val="9"/>
      </w:numPr>
      <w:contextualSpacing w:val="1"/>
    </w:pPr>
  </w:style>
  <w:style w:type="paragraph" w:styleId="ListNumber2">
    <w:name w:val="List Number 2"/>
    <w:basedOn w:val="Normal"/>
    <w:uiPriority w:val="99"/>
    <w:semiHidden w:val="1"/>
    <w:unhideWhenUsed w:val="1"/>
    <w:rsid w:val="00687316"/>
    <w:pPr>
      <w:numPr>
        <w:numId w:val="10"/>
      </w:numPr>
      <w:contextualSpacing w:val="1"/>
    </w:pPr>
  </w:style>
  <w:style w:type="paragraph" w:styleId="ListNumber3">
    <w:name w:val="List Number 3"/>
    <w:basedOn w:val="Normal"/>
    <w:uiPriority w:val="99"/>
    <w:semiHidden w:val="1"/>
    <w:unhideWhenUsed w:val="1"/>
    <w:rsid w:val="00687316"/>
    <w:pPr>
      <w:numPr>
        <w:numId w:val="11"/>
      </w:numPr>
      <w:contextualSpacing w:val="1"/>
    </w:pPr>
  </w:style>
  <w:style w:type="paragraph" w:styleId="ListNumber4">
    <w:name w:val="List Number 4"/>
    <w:basedOn w:val="Normal"/>
    <w:uiPriority w:val="99"/>
    <w:semiHidden w:val="1"/>
    <w:unhideWhenUsed w:val="1"/>
    <w:rsid w:val="00687316"/>
    <w:pPr>
      <w:numPr>
        <w:numId w:val="12"/>
      </w:numPr>
      <w:contextualSpacing w:val="1"/>
    </w:pPr>
  </w:style>
  <w:style w:type="paragraph" w:styleId="ListNumber5">
    <w:name w:val="List Number 5"/>
    <w:basedOn w:val="Normal"/>
    <w:uiPriority w:val="99"/>
    <w:semiHidden w:val="1"/>
    <w:unhideWhenUsed w:val="1"/>
    <w:rsid w:val="00687316"/>
    <w:pPr>
      <w:numPr>
        <w:numId w:val="13"/>
      </w:numPr>
      <w:contextualSpacing w:val="1"/>
    </w:pPr>
  </w:style>
  <w:style w:type="paragraph" w:styleId="ListParagraph">
    <w:name w:val="List Paragraph"/>
    <w:basedOn w:val="Normal"/>
    <w:uiPriority w:val="34"/>
    <w:qFormat w:val="1"/>
    <w:rsid w:val="00687316"/>
    <w:pPr>
      <w:ind w:left="720"/>
      <w:contextualSpacing w:val="1"/>
    </w:pPr>
  </w:style>
  <w:style w:type="table" w:styleId="ListTable1Light">
    <w:name w:val="List Table 1 Light"/>
    <w:basedOn w:val="TableNormal"/>
    <w:uiPriority w:val="46"/>
    <w:rsid w:val="00687316"/>
    <w:pPr>
      <w:spacing w:after="0" w:line="240" w:lineRule="auto"/>
    </w:pPr>
    <w:tblPr>
      <w:tblStyleRowBandSize w:val="1"/>
      <w:tblStyleColBandSize w:val="1"/>
    </w:tblPr>
    <w:tblStylePr w:type="firstRow">
      <w:rPr>
        <w:b w:val="1"/>
        <w:bCs w:val="1"/>
      </w:rPr>
      <w:tblPr/>
      <w:tcPr>
        <w:tcBorders>
          <w:bottom w:color="666666" w:space="0" w:sz="4" w:themeColor="text1" w:themeTint="000099" w:val="single"/>
        </w:tcBorders>
      </w:tcPr>
    </w:tblStylePr>
    <w:tblStylePr w:type="lastRow">
      <w:rPr>
        <w:b w:val="1"/>
        <w:bCs w:val="1"/>
      </w:rPr>
      <w:tblPr/>
      <w:tcPr>
        <w:tcBorders>
          <w:top w:color="666666" w:space="0" w:sz="4" w:themeColor="text1" w:themeTint="000099" w:val="sing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ListTable1Light-Accent1">
    <w:name w:val="List Table 1 Light Accent 1"/>
    <w:basedOn w:val="TableNormal"/>
    <w:uiPriority w:val="46"/>
    <w:rsid w:val="00687316"/>
    <w:pPr>
      <w:spacing w:after="0" w:line="240" w:lineRule="auto"/>
    </w:pPr>
    <w:tblPr>
      <w:tblStyleRowBandSize w:val="1"/>
      <w:tblStyleColBandSize w:val="1"/>
    </w:tblPr>
    <w:tblStylePr w:type="firstRow">
      <w:rPr>
        <w:b w:val="1"/>
        <w:bCs w:val="1"/>
      </w:rPr>
      <w:tblPr/>
      <w:tcPr>
        <w:tcBorders>
          <w:bottom w:color="8eaadb" w:space="0" w:sz="4" w:themeColor="accent1" w:themeTint="000099" w:val="single"/>
        </w:tcBorders>
      </w:tcPr>
    </w:tblStylePr>
    <w:tblStylePr w:type="lastRow">
      <w:rPr>
        <w:b w:val="1"/>
        <w:bCs w:val="1"/>
      </w:rPr>
      <w:tblPr/>
      <w:tcPr>
        <w:tcBorders>
          <w:top w:color="8eaadb" w:space="0" w:sz="4" w:themeColor="accent1" w:themeTint="000099" w:val="single"/>
        </w:tcBorders>
      </w:tcPr>
    </w:tblStylePr>
    <w:tblStylePr w:type="firstCol">
      <w:rPr>
        <w:b w:val="1"/>
        <w:bCs w:val="1"/>
      </w:rPr>
    </w:tblStylePr>
    <w:tblStylePr w:type="lastCol">
      <w:rPr>
        <w:b w:val="1"/>
        <w:bCs w:val="1"/>
      </w:rPr>
    </w:tblStylePr>
    <w:tblStylePr w:type="band1Vert">
      <w:tblPr/>
      <w:tcPr>
        <w:shd w:color="auto" w:fill="d9e2f3" w:themeFill="accent1" w:themeFillTint="000033" w:val="clear"/>
      </w:tcPr>
    </w:tblStylePr>
    <w:tblStylePr w:type="band1Horz">
      <w:tblPr/>
      <w:tcPr>
        <w:shd w:color="auto" w:fill="d9e2f3" w:themeFill="accent1" w:themeFillTint="000033" w:val="clear"/>
      </w:tcPr>
    </w:tblStylePr>
  </w:style>
  <w:style w:type="table" w:styleId="ListTable1Light-Accent2">
    <w:name w:val="List Table 1 Light Accent 2"/>
    <w:basedOn w:val="TableNormal"/>
    <w:uiPriority w:val="46"/>
    <w:rsid w:val="00687316"/>
    <w:pPr>
      <w:spacing w:after="0" w:line="240" w:lineRule="auto"/>
    </w:pPr>
    <w:tblPr>
      <w:tblStyleRowBandSize w:val="1"/>
      <w:tblStyleColBandSize w:val="1"/>
    </w:tblPr>
    <w:tblStylePr w:type="firstRow">
      <w:rPr>
        <w:b w:val="1"/>
        <w:bCs w:val="1"/>
      </w:rPr>
      <w:tblPr/>
      <w:tcPr>
        <w:tcBorders>
          <w:bottom w:color="f4b083" w:space="0" w:sz="4" w:themeColor="accent2" w:themeTint="000099" w:val="single"/>
        </w:tcBorders>
      </w:tcPr>
    </w:tblStylePr>
    <w:tblStylePr w:type="lastRow">
      <w:rPr>
        <w:b w:val="1"/>
        <w:bCs w:val="1"/>
      </w:rPr>
      <w:tblPr/>
      <w:tcPr>
        <w:tcBorders>
          <w:top w:color="f4b083" w:space="0" w:sz="4" w:themeColor="accent2" w:themeTint="000099" w:val="single"/>
        </w:tcBorders>
      </w:tcPr>
    </w:tblStylePr>
    <w:tblStylePr w:type="firstCol">
      <w:rPr>
        <w:b w:val="1"/>
        <w:bCs w:val="1"/>
      </w:rPr>
    </w:tblStylePr>
    <w:tblStylePr w:type="lastCol">
      <w:rPr>
        <w:b w:val="1"/>
        <w:bCs w:val="1"/>
      </w:rPr>
    </w:tblStylePr>
    <w:tblStylePr w:type="band1Vert">
      <w:tblPr/>
      <w:tcPr>
        <w:shd w:color="auto" w:fill="fbe4d5" w:themeFill="accent2" w:themeFillTint="000033" w:val="clear"/>
      </w:tcPr>
    </w:tblStylePr>
    <w:tblStylePr w:type="band1Horz">
      <w:tblPr/>
      <w:tcPr>
        <w:shd w:color="auto" w:fill="fbe4d5" w:themeFill="accent2" w:themeFillTint="000033" w:val="clear"/>
      </w:tcPr>
    </w:tblStylePr>
  </w:style>
  <w:style w:type="table" w:styleId="ListTable1Light-Accent3">
    <w:name w:val="List Table 1 Light Accent 3"/>
    <w:basedOn w:val="TableNormal"/>
    <w:uiPriority w:val="46"/>
    <w:rsid w:val="00687316"/>
    <w:pPr>
      <w:spacing w:after="0" w:line="240" w:lineRule="auto"/>
    </w:pPr>
    <w:tblPr>
      <w:tblStyleRowBandSize w:val="1"/>
      <w:tblStyleColBandSize w:val="1"/>
    </w:tblPr>
    <w:tblStylePr w:type="firstRow">
      <w:rPr>
        <w:b w:val="1"/>
        <w:bCs w:val="1"/>
      </w:rPr>
      <w:tblPr/>
      <w:tcPr>
        <w:tcBorders>
          <w:bottom w:color="c9c9c9" w:space="0" w:sz="4" w:themeColor="accent3" w:themeTint="000099" w:val="single"/>
        </w:tcBorders>
      </w:tcPr>
    </w:tblStylePr>
    <w:tblStylePr w:type="lastRow">
      <w:rPr>
        <w:b w:val="1"/>
        <w:bCs w:val="1"/>
      </w:rPr>
      <w:tblPr/>
      <w:tcPr>
        <w:tcBorders>
          <w:top w:color="c9c9c9" w:space="0" w:sz="4" w:themeColor="accent3" w:themeTint="000099" w:val="single"/>
        </w:tcBorders>
      </w:tcPr>
    </w:tblStylePr>
    <w:tblStylePr w:type="firstCol">
      <w:rPr>
        <w:b w:val="1"/>
        <w:bCs w:val="1"/>
      </w:rPr>
    </w:tblStylePr>
    <w:tblStylePr w:type="lastCol">
      <w:rPr>
        <w:b w:val="1"/>
        <w:bCs w:val="1"/>
      </w:r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style>
  <w:style w:type="table" w:styleId="ListTable1Light-Accent4">
    <w:name w:val="List Table 1 Light Accent 4"/>
    <w:basedOn w:val="TableNormal"/>
    <w:uiPriority w:val="46"/>
    <w:rsid w:val="00687316"/>
    <w:pPr>
      <w:spacing w:after="0" w:line="240" w:lineRule="auto"/>
    </w:pPr>
    <w:tblPr>
      <w:tblStyleRowBandSize w:val="1"/>
      <w:tblStyleColBandSize w:val="1"/>
    </w:tblPr>
    <w:tblStylePr w:type="firstRow">
      <w:rPr>
        <w:b w:val="1"/>
        <w:bCs w:val="1"/>
      </w:rPr>
      <w:tblPr/>
      <w:tcPr>
        <w:tcBorders>
          <w:bottom w:color="ffd966" w:space="0" w:sz="4" w:themeColor="accent4" w:themeTint="000099" w:val="single"/>
        </w:tcBorders>
      </w:tcPr>
    </w:tblStylePr>
    <w:tblStylePr w:type="lastRow">
      <w:rPr>
        <w:b w:val="1"/>
        <w:bCs w:val="1"/>
      </w:rPr>
      <w:tblPr/>
      <w:tcPr>
        <w:tcBorders>
          <w:top w:color="ffd966" w:space="0" w:sz="4" w:themeColor="accent4" w:themeTint="000099" w:val="single"/>
        </w:tcBorders>
      </w:tcPr>
    </w:tblStylePr>
    <w:tblStylePr w:type="firstCol">
      <w:rPr>
        <w:b w:val="1"/>
        <w:bCs w:val="1"/>
      </w:rPr>
    </w:tblStylePr>
    <w:tblStylePr w:type="lastCol">
      <w:rPr>
        <w:b w:val="1"/>
        <w:bCs w:val="1"/>
      </w:r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style>
  <w:style w:type="table" w:styleId="ListTable1Light-Accent5">
    <w:name w:val="List Table 1 Light Accent 5"/>
    <w:basedOn w:val="TableNormal"/>
    <w:uiPriority w:val="46"/>
    <w:rsid w:val="00687316"/>
    <w:pPr>
      <w:spacing w:after="0" w:line="240" w:lineRule="auto"/>
    </w:pPr>
    <w:tblPr>
      <w:tblStyleRowBandSize w:val="1"/>
      <w:tblStyleColBandSize w:val="1"/>
    </w:tblPr>
    <w:tblStylePr w:type="firstRow">
      <w:rPr>
        <w:b w:val="1"/>
        <w:bCs w:val="1"/>
      </w:rPr>
      <w:tblPr/>
      <w:tcPr>
        <w:tcBorders>
          <w:bottom w:color="9cc2e5" w:space="0" w:sz="4" w:themeColor="accent5" w:themeTint="000099" w:val="single"/>
        </w:tcBorders>
      </w:tcPr>
    </w:tblStylePr>
    <w:tblStylePr w:type="lastRow">
      <w:rPr>
        <w:b w:val="1"/>
        <w:bCs w:val="1"/>
      </w:rPr>
      <w:tblPr/>
      <w:tcPr>
        <w:tcBorders>
          <w:top w:color="9cc2e5" w:space="0" w:sz="4" w:themeColor="accent5" w:themeTint="000099" w:val="single"/>
        </w:tcBorders>
      </w:tcPr>
    </w:tblStylePr>
    <w:tblStylePr w:type="firstCol">
      <w:rPr>
        <w:b w:val="1"/>
        <w:bCs w:val="1"/>
      </w:rPr>
    </w:tblStylePr>
    <w:tblStylePr w:type="lastCol">
      <w:rPr>
        <w:b w:val="1"/>
        <w:bCs w:val="1"/>
      </w:rPr>
    </w:tblStylePr>
    <w:tblStylePr w:type="band1Vert">
      <w:tblPr/>
      <w:tcPr>
        <w:shd w:color="auto" w:fill="deeaf6" w:themeFill="accent5" w:themeFillTint="000033" w:val="clear"/>
      </w:tcPr>
    </w:tblStylePr>
    <w:tblStylePr w:type="band1Horz">
      <w:tblPr/>
      <w:tcPr>
        <w:shd w:color="auto" w:fill="deeaf6" w:themeFill="accent5" w:themeFillTint="000033" w:val="clear"/>
      </w:tcPr>
    </w:tblStylePr>
  </w:style>
  <w:style w:type="table" w:styleId="ListTable1Light-Accent6">
    <w:name w:val="List Table 1 Light Accent 6"/>
    <w:basedOn w:val="TableNormal"/>
    <w:uiPriority w:val="46"/>
    <w:rsid w:val="00687316"/>
    <w:pPr>
      <w:spacing w:after="0" w:line="240" w:lineRule="auto"/>
    </w:pPr>
    <w:tblPr>
      <w:tblStyleRowBandSize w:val="1"/>
      <w:tblStyleColBandSize w:val="1"/>
    </w:tblPr>
    <w:tblStylePr w:type="firstRow">
      <w:rPr>
        <w:b w:val="1"/>
        <w:bCs w:val="1"/>
      </w:rPr>
      <w:tblPr/>
      <w:tcPr>
        <w:tcBorders>
          <w:bottom w:color="a8d08d" w:space="0" w:sz="4" w:themeColor="accent6" w:themeTint="000099" w:val="single"/>
        </w:tcBorders>
      </w:tcPr>
    </w:tblStylePr>
    <w:tblStylePr w:type="lastRow">
      <w:rPr>
        <w:b w:val="1"/>
        <w:bCs w:val="1"/>
      </w:rPr>
      <w:tblPr/>
      <w:tcPr>
        <w:tcBorders>
          <w:top w:color="a8d08d" w:space="0" w:sz="4" w:themeColor="accent6" w:themeTint="000099" w:val="single"/>
        </w:tcBorders>
      </w:tcPr>
    </w:tblStylePr>
    <w:tblStylePr w:type="firstCol">
      <w:rPr>
        <w:b w:val="1"/>
        <w:bCs w:val="1"/>
      </w:rPr>
    </w:tblStylePr>
    <w:tblStylePr w:type="lastCol">
      <w:rPr>
        <w:b w:val="1"/>
        <w:bCs w:val="1"/>
      </w:rPr>
    </w:tblStylePr>
    <w:tblStylePr w:type="band1Vert">
      <w:tblPr/>
      <w:tcPr>
        <w:shd w:color="auto" w:fill="e2efd9" w:themeFill="accent6" w:themeFillTint="000033" w:val="clear"/>
      </w:tcPr>
    </w:tblStylePr>
    <w:tblStylePr w:type="band1Horz">
      <w:tblPr/>
      <w:tcPr>
        <w:shd w:color="auto" w:fill="e2efd9" w:themeFill="accent6" w:themeFillTint="000033" w:val="clear"/>
      </w:tcPr>
    </w:tblStylePr>
  </w:style>
  <w:style w:type="table" w:styleId="ListTable2">
    <w:name w:val="List Table 2"/>
    <w:basedOn w:val="TableNormal"/>
    <w:uiPriority w:val="47"/>
    <w:rsid w:val="00687316"/>
    <w:pPr>
      <w:spacing w:after="0" w:line="240" w:lineRule="auto"/>
    </w:pPr>
    <w:tblPr>
      <w:tblStyleRowBandSize w:val="1"/>
      <w:tblStyleColBandSize w:val="1"/>
      <w:tblBorders>
        <w:top w:color="666666" w:space="0" w:sz="4" w:themeColor="text1" w:themeTint="000099" w:val="single"/>
        <w:bottom w:color="666666" w:space="0" w:sz="4" w:themeColor="text1" w:themeTint="000099" w:val="single"/>
        <w:insideH w:color="666666" w:space="0" w:sz="4" w:themeColor="text1"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ListTable2-Accent1">
    <w:name w:val="List Table 2 Accent 1"/>
    <w:basedOn w:val="TableNormal"/>
    <w:uiPriority w:val="47"/>
    <w:rsid w:val="00687316"/>
    <w:pPr>
      <w:spacing w:after="0" w:line="240" w:lineRule="auto"/>
    </w:pPr>
    <w:tblPr>
      <w:tblStyleRowBandSize w:val="1"/>
      <w:tblStyleColBandSize w:val="1"/>
      <w:tblBorders>
        <w:top w:color="8eaadb" w:space="0" w:sz="4" w:themeColor="accent1" w:themeTint="000099" w:val="single"/>
        <w:bottom w:color="8eaadb" w:space="0" w:sz="4" w:themeColor="accent1" w:themeTint="000099" w:val="single"/>
        <w:insideH w:color="8eaadb" w:space="0" w:sz="4" w:themeColor="accent1"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d9e2f3" w:themeFill="accent1" w:themeFillTint="000033" w:val="clear"/>
      </w:tcPr>
    </w:tblStylePr>
    <w:tblStylePr w:type="band1Horz">
      <w:tblPr/>
      <w:tcPr>
        <w:shd w:color="auto" w:fill="d9e2f3" w:themeFill="accent1" w:themeFillTint="000033" w:val="clear"/>
      </w:tcPr>
    </w:tblStylePr>
  </w:style>
  <w:style w:type="table" w:styleId="ListTable2-Accent2">
    <w:name w:val="List Table 2 Accent 2"/>
    <w:basedOn w:val="TableNormal"/>
    <w:uiPriority w:val="47"/>
    <w:rsid w:val="00687316"/>
    <w:pPr>
      <w:spacing w:after="0" w:line="240" w:lineRule="auto"/>
    </w:pPr>
    <w:tblPr>
      <w:tblStyleRowBandSize w:val="1"/>
      <w:tblStyleColBandSize w:val="1"/>
      <w:tblBorders>
        <w:top w:color="f4b083" w:space="0" w:sz="4" w:themeColor="accent2" w:themeTint="000099" w:val="single"/>
        <w:bottom w:color="f4b083" w:space="0" w:sz="4" w:themeColor="accent2" w:themeTint="000099" w:val="single"/>
        <w:insideH w:color="f4b083" w:space="0" w:sz="4" w:themeColor="accent2"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be4d5" w:themeFill="accent2" w:themeFillTint="000033" w:val="clear"/>
      </w:tcPr>
    </w:tblStylePr>
    <w:tblStylePr w:type="band1Horz">
      <w:tblPr/>
      <w:tcPr>
        <w:shd w:color="auto" w:fill="fbe4d5" w:themeFill="accent2" w:themeFillTint="000033" w:val="clear"/>
      </w:tcPr>
    </w:tblStylePr>
  </w:style>
  <w:style w:type="table" w:styleId="ListTable2-Accent3">
    <w:name w:val="List Table 2 Accent 3"/>
    <w:basedOn w:val="TableNormal"/>
    <w:uiPriority w:val="47"/>
    <w:rsid w:val="00687316"/>
    <w:pPr>
      <w:spacing w:after="0" w:line="240" w:lineRule="auto"/>
    </w:pPr>
    <w:tblPr>
      <w:tblStyleRowBandSize w:val="1"/>
      <w:tblStyleColBandSize w:val="1"/>
      <w:tblBorders>
        <w:top w:color="c9c9c9" w:space="0" w:sz="4" w:themeColor="accent3" w:themeTint="000099" w:val="single"/>
        <w:bottom w:color="c9c9c9" w:space="0" w:sz="4" w:themeColor="accent3" w:themeTint="000099" w:val="single"/>
        <w:insideH w:color="c9c9c9" w:space="0" w:sz="4" w:themeColor="accent3"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style>
  <w:style w:type="table" w:styleId="ListTable2-Accent4">
    <w:name w:val="List Table 2 Accent 4"/>
    <w:basedOn w:val="TableNormal"/>
    <w:uiPriority w:val="47"/>
    <w:rsid w:val="00687316"/>
    <w:pPr>
      <w:spacing w:after="0" w:line="240" w:lineRule="auto"/>
    </w:pPr>
    <w:tblPr>
      <w:tblStyleRowBandSize w:val="1"/>
      <w:tblStyleColBandSize w:val="1"/>
      <w:tblBorders>
        <w:top w:color="ffd966" w:space="0" w:sz="4" w:themeColor="accent4" w:themeTint="000099" w:val="single"/>
        <w:bottom w:color="ffd966" w:space="0" w:sz="4" w:themeColor="accent4" w:themeTint="000099" w:val="single"/>
        <w:insideH w:color="ffd966" w:space="0" w:sz="4" w:themeColor="accent4"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style>
  <w:style w:type="table" w:styleId="ListTable2-Accent5">
    <w:name w:val="List Table 2 Accent 5"/>
    <w:basedOn w:val="TableNormal"/>
    <w:uiPriority w:val="47"/>
    <w:rsid w:val="00687316"/>
    <w:pPr>
      <w:spacing w:after="0" w:line="240" w:lineRule="auto"/>
    </w:pPr>
    <w:tblPr>
      <w:tblStyleRowBandSize w:val="1"/>
      <w:tblStyleColBandSize w:val="1"/>
      <w:tblBorders>
        <w:top w:color="9cc2e5" w:space="0" w:sz="4" w:themeColor="accent5" w:themeTint="000099" w:val="single"/>
        <w:bottom w:color="9cc2e5" w:space="0" w:sz="4" w:themeColor="accent5" w:themeTint="000099" w:val="single"/>
        <w:insideH w:color="9cc2e5" w:space="0" w:sz="4" w:themeColor="accent5"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deeaf6" w:themeFill="accent5" w:themeFillTint="000033" w:val="clear"/>
      </w:tcPr>
    </w:tblStylePr>
    <w:tblStylePr w:type="band1Horz">
      <w:tblPr/>
      <w:tcPr>
        <w:shd w:color="auto" w:fill="deeaf6" w:themeFill="accent5" w:themeFillTint="000033" w:val="clear"/>
      </w:tcPr>
    </w:tblStylePr>
  </w:style>
  <w:style w:type="table" w:styleId="ListTable2-Accent6">
    <w:name w:val="List Table 2 Accent 6"/>
    <w:basedOn w:val="TableNormal"/>
    <w:uiPriority w:val="47"/>
    <w:rsid w:val="00687316"/>
    <w:pPr>
      <w:spacing w:after="0" w:line="240" w:lineRule="auto"/>
    </w:pPr>
    <w:tblPr>
      <w:tblStyleRowBandSize w:val="1"/>
      <w:tblStyleColBandSize w:val="1"/>
      <w:tblBorders>
        <w:top w:color="a8d08d" w:space="0" w:sz="4" w:themeColor="accent6" w:themeTint="000099" w:val="single"/>
        <w:bottom w:color="a8d08d" w:space="0" w:sz="4" w:themeColor="accent6" w:themeTint="000099" w:val="single"/>
        <w:insideH w:color="a8d08d" w:space="0" w:sz="4" w:themeColor="accent6"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e2efd9" w:themeFill="accent6" w:themeFillTint="000033" w:val="clear"/>
      </w:tcPr>
    </w:tblStylePr>
    <w:tblStylePr w:type="band1Horz">
      <w:tblPr/>
      <w:tcPr>
        <w:shd w:color="auto" w:fill="e2efd9" w:themeFill="accent6" w:themeFillTint="000033" w:val="clear"/>
      </w:tcPr>
    </w:tblStylePr>
  </w:style>
  <w:style w:type="table" w:styleId="ListTable3">
    <w:name w:val="List Table 3"/>
    <w:basedOn w:val="TableNormal"/>
    <w:uiPriority w:val="48"/>
    <w:rsid w:val="00687316"/>
    <w:pPr>
      <w:spacing w:after="0" w:line="240" w:lineRule="auto"/>
    </w:pPr>
    <w:tblPr>
      <w:tblStyleRowBandSize w:val="1"/>
      <w:tblStyleColBandSize w:val="1"/>
      <w:tblBorders>
        <w:top w:color="000000" w:space="0" w:sz="4" w:themeColor="text1" w:val="single"/>
        <w:left w:color="000000" w:space="0" w:sz="4" w:themeColor="text1" w:val="single"/>
        <w:bottom w:color="000000" w:space="0" w:sz="4" w:themeColor="text1" w:val="single"/>
        <w:right w:color="000000" w:space="0" w:sz="4" w:themeColor="text1" w:val="single"/>
      </w:tblBorders>
    </w:tblPr>
    <w:tblStylePr w:type="firstRow">
      <w:rPr>
        <w:b w:val="1"/>
        <w:bCs w:val="1"/>
        <w:color w:val="ffffff" w:themeColor="background1"/>
      </w:rPr>
      <w:tblPr/>
      <w:tcPr>
        <w:shd w:color="auto" w:fill="000000" w:themeFill="text1" w:val="clear"/>
      </w:tcPr>
    </w:tblStylePr>
    <w:tblStylePr w:type="lastRow">
      <w:rPr>
        <w:b w:val="1"/>
        <w:bCs w:val="1"/>
      </w:rPr>
      <w:tblPr/>
      <w:tcPr>
        <w:tcBorders>
          <w:top w:color="000000" w:space="0" w:sz="4" w:themeColor="text1"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000000" w:space="0" w:sz="4" w:themeColor="text1" w:val="single"/>
          <w:right w:color="000000" w:space="0" w:sz="4" w:themeColor="text1" w:val="single"/>
        </w:tcBorders>
      </w:tcPr>
    </w:tblStylePr>
    <w:tblStylePr w:type="band1Horz">
      <w:tblPr/>
      <w:tcPr>
        <w:tcBorders>
          <w:top w:color="000000" w:space="0" w:sz="4" w:themeColor="text1" w:val="single"/>
          <w:bottom w:color="000000" w:space="0" w:sz="4" w:themeColor="text1"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000000" w:space="0" w:sz="4" w:themeColor="text1" w:val="double"/>
          <w:left w:space="0" w:sz="0" w:val="nil"/>
        </w:tcBorders>
      </w:tcPr>
    </w:tblStylePr>
    <w:tblStylePr w:type="swCell">
      <w:tblPr/>
      <w:tcPr>
        <w:tcBorders>
          <w:top w:color="000000" w:space="0" w:sz="4" w:themeColor="text1" w:val="double"/>
          <w:right w:space="0" w:sz="0" w:val="nil"/>
        </w:tcBorders>
      </w:tcPr>
    </w:tblStylePr>
  </w:style>
  <w:style w:type="table" w:styleId="ListTable3-Accent1">
    <w:name w:val="List Table 3 Accent 1"/>
    <w:basedOn w:val="TableNormal"/>
    <w:uiPriority w:val="48"/>
    <w:rsid w:val="00687316"/>
    <w:pPr>
      <w:spacing w:after="0" w:line="240" w:lineRule="auto"/>
    </w:pPr>
    <w:tblPr>
      <w:tblStyleRowBandSize w:val="1"/>
      <w:tblStyleColBandSize w:val="1"/>
      <w:tblBorders>
        <w:top w:color="4472c4" w:space="0" w:sz="4" w:themeColor="accent1" w:val="single"/>
        <w:left w:color="4472c4" w:space="0" w:sz="4" w:themeColor="accent1" w:val="single"/>
        <w:bottom w:color="4472c4" w:space="0" w:sz="4" w:themeColor="accent1" w:val="single"/>
        <w:right w:color="4472c4" w:space="0" w:sz="4" w:themeColor="accent1" w:val="single"/>
      </w:tblBorders>
    </w:tblPr>
    <w:tblStylePr w:type="firstRow">
      <w:rPr>
        <w:b w:val="1"/>
        <w:bCs w:val="1"/>
        <w:color w:val="ffffff" w:themeColor="background1"/>
      </w:rPr>
      <w:tblPr/>
      <w:tcPr>
        <w:shd w:color="auto" w:fill="4472c4" w:themeFill="accent1" w:val="clear"/>
      </w:tcPr>
    </w:tblStylePr>
    <w:tblStylePr w:type="lastRow">
      <w:rPr>
        <w:b w:val="1"/>
        <w:bCs w:val="1"/>
      </w:rPr>
      <w:tblPr/>
      <w:tcPr>
        <w:tcBorders>
          <w:top w:color="4472c4" w:space="0" w:sz="4" w:themeColor="accent1"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4472c4" w:space="0" w:sz="4" w:themeColor="accent1" w:val="single"/>
          <w:right w:color="4472c4" w:space="0" w:sz="4" w:themeColor="accent1" w:val="single"/>
        </w:tcBorders>
      </w:tcPr>
    </w:tblStylePr>
    <w:tblStylePr w:type="band1Horz">
      <w:tblPr/>
      <w:tcPr>
        <w:tcBorders>
          <w:top w:color="4472c4" w:space="0" w:sz="4" w:themeColor="accent1" w:val="single"/>
          <w:bottom w:color="4472c4" w:space="0" w:sz="4" w:themeColor="accent1"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4472c4" w:space="0" w:sz="4" w:themeColor="accent1" w:val="double"/>
          <w:left w:space="0" w:sz="0" w:val="nil"/>
        </w:tcBorders>
      </w:tcPr>
    </w:tblStylePr>
    <w:tblStylePr w:type="swCell">
      <w:tblPr/>
      <w:tcPr>
        <w:tcBorders>
          <w:top w:color="4472c4" w:space="0" w:sz="4" w:themeColor="accent1" w:val="double"/>
          <w:right w:space="0" w:sz="0" w:val="nil"/>
        </w:tcBorders>
      </w:tcPr>
    </w:tblStylePr>
  </w:style>
  <w:style w:type="table" w:styleId="ListTable3-Accent2">
    <w:name w:val="List Table 3 Accent 2"/>
    <w:basedOn w:val="TableNormal"/>
    <w:uiPriority w:val="48"/>
    <w:rsid w:val="00687316"/>
    <w:pPr>
      <w:spacing w:after="0" w:line="240" w:lineRule="auto"/>
    </w:pPr>
    <w:tblPr>
      <w:tblStyleRowBandSize w:val="1"/>
      <w:tblStyleColBandSize w:val="1"/>
      <w:tblBorders>
        <w:top w:color="ed7d31" w:space="0" w:sz="4" w:themeColor="accent2" w:val="single"/>
        <w:left w:color="ed7d31" w:space="0" w:sz="4" w:themeColor="accent2" w:val="single"/>
        <w:bottom w:color="ed7d31" w:space="0" w:sz="4" w:themeColor="accent2" w:val="single"/>
        <w:right w:color="ed7d31" w:space="0" w:sz="4" w:themeColor="accent2" w:val="single"/>
      </w:tblBorders>
    </w:tblPr>
    <w:tblStylePr w:type="firstRow">
      <w:rPr>
        <w:b w:val="1"/>
        <w:bCs w:val="1"/>
        <w:color w:val="ffffff" w:themeColor="background1"/>
      </w:rPr>
      <w:tblPr/>
      <w:tcPr>
        <w:shd w:color="auto" w:fill="ed7d31" w:themeFill="accent2" w:val="clear"/>
      </w:tcPr>
    </w:tblStylePr>
    <w:tblStylePr w:type="lastRow">
      <w:rPr>
        <w:b w:val="1"/>
        <w:bCs w:val="1"/>
      </w:rPr>
      <w:tblPr/>
      <w:tcPr>
        <w:tcBorders>
          <w:top w:color="ed7d31" w:space="0" w:sz="4" w:themeColor="accent2"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ed7d31" w:space="0" w:sz="4" w:themeColor="accent2" w:val="single"/>
          <w:right w:color="ed7d31" w:space="0" w:sz="4" w:themeColor="accent2" w:val="single"/>
        </w:tcBorders>
      </w:tcPr>
    </w:tblStylePr>
    <w:tblStylePr w:type="band1Horz">
      <w:tblPr/>
      <w:tcPr>
        <w:tcBorders>
          <w:top w:color="ed7d31" w:space="0" w:sz="4" w:themeColor="accent2" w:val="single"/>
          <w:bottom w:color="ed7d31" w:space="0" w:sz="4" w:themeColor="accent2"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ed7d31" w:space="0" w:sz="4" w:themeColor="accent2" w:val="double"/>
          <w:left w:space="0" w:sz="0" w:val="nil"/>
        </w:tcBorders>
      </w:tcPr>
    </w:tblStylePr>
    <w:tblStylePr w:type="swCell">
      <w:tblPr/>
      <w:tcPr>
        <w:tcBorders>
          <w:top w:color="ed7d31" w:space="0" w:sz="4" w:themeColor="accent2" w:val="double"/>
          <w:right w:space="0" w:sz="0" w:val="nil"/>
        </w:tcBorders>
      </w:tcPr>
    </w:tblStylePr>
  </w:style>
  <w:style w:type="table" w:styleId="ListTable3-Accent3">
    <w:name w:val="List Table 3 Accent 3"/>
    <w:basedOn w:val="TableNormal"/>
    <w:uiPriority w:val="48"/>
    <w:rsid w:val="00687316"/>
    <w:pPr>
      <w:spacing w:after="0" w:line="240" w:lineRule="auto"/>
    </w:pPr>
    <w:tblPr>
      <w:tblStyleRowBandSize w:val="1"/>
      <w:tblStyleColBandSize w:val="1"/>
      <w:tblBorders>
        <w:top w:color="a5a5a5" w:space="0" w:sz="4" w:themeColor="accent3" w:val="single"/>
        <w:left w:color="a5a5a5" w:space="0" w:sz="4" w:themeColor="accent3" w:val="single"/>
        <w:bottom w:color="a5a5a5" w:space="0" w:sz="4" w:themeColor="accent3" w:val="single"/>
        <w:right w:color="a5a5a5" w:space="0" w:sz="4" w:themeColor="accent3" w:val="single"/>
      </w:tblBorders>
    </w:tblPr>
    <w:tblStylePr w:type="firstRow">
      <w:rPr>
        <w:b w:val="1"/>
        <w:bCs w:val="1"/>
        <w:color w:val="ffffff" w:themeColor="background1"/>
      </w:rPr>
      <w:tblPr/>
      <w:tcPr>
        <w:shd w:color="auto" w:fill="a5a5a5" w:themeFill="accent3" w:val="clear"/>
      </w:tcPr>
    </w:tblStylePr>
    <w:tblStylePr w:type="lastRow">
      <w:rPr>
        <w:b w:val="1"/>
        <w:bCs w:val="1"/>
      </w:rPr>
      <w:tblPr/>
      <w:tcPr>
        <w:tcBorders>
          <w:top w:color="a5a5a5" w:space="0" w:sz="4" w:themeColor="accent3"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a5a5a5" w:space="0" w:sz="4" w:themeColor="accent3" w:val="single"/>
          <w:right w:color="a5a5a5" w:space="0" w:sz="4" w:themeColor="accent3" w:val="single"/>
        </w:tcBorders>
      </w:tcPr>
    </w:tblStylePr>
    <w:tblStylePr w:type="band1Horz">
      <w:tblPr/>
      <w:tcPr>
        <w:tcBorders>
          <w:top w:color="a5a5a5" w:space="0" w:sz="4" w:themeColor="accent3" w:val="single"/>
          <w:bottom w:color="a5a5a5" w:space="0" w:sz="4" w:themeColor="accent3"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a5a5a5" w:space="0" w:sz="4" w:themeColor="accent3" w:val="double"/>
          <w:left w:space="0" w:sz="0" w:val="nil"/>
        </w:tcBorders>
      </w:tcPr>
    </w:tblStylePr>
    <w:tblStylePr w:type="swCell">
      <w:tblPr/>
      <w:tcPr>
        <w:tcBorders>
          <w:top w:color="a5a5a5" w:space="0" w:sz="4" w:themeColor="accent3" w:val="double"/>
          <w:right w:space="0" w:sz="0" w:val="nil"/>
        </w:tcBorders>
      </w:tcPr>
    </w:tblStylePr>
  </w:style>
  <w:style w:type="table" w:styleId="ListTable3-Accent4">
    <w:name w:val="List Table 3 Accent 4"/>
    <w:basedOn w:val="TableNormal"/>
    <w:uiPriority w:val="48"/>
    <w:rsid w:val="00687316"/>
    <w:pPr>
      <w:spacing w:after="0" w:line="240" w:lineRule="auto"/>
    </w:pPr>
    <w:tblPr>
      <w:tblStyleRowBandSize w:val="1"/>
      <w:tblStyleColBandSize w:val="1"/>
      <w:tblBorders>
        <w:top w:color="ffc000" w:space="0" w:sz="4" w:themeColor="accent4" w:val="single"/>
        <w:left w:color="ffc000" w:space="0" w:sz="4" w:themeColor="accent4" w:val="single"/>
        <w:bottom w:color="ffc000" w:space="0" w:sz="4" w:themeColor="accent4" w:val="single"/>
        <w:right w:color="ffc000" w:space="0" w:sz="4" w:themeColor="accent4" w:val="single"/>
      </w:tblBorders>
    </w:tblPr>
    <w:tblStylePr w:type="firstRow">
      <w:rPr>
        <w:b w:val="1"/>
        <w:bCs w:val="1"/>
        <w:color w:val="ffffff" w:themeColor="background1"/>
      </w:rPr>
      <w:tblPr/>
      <w:tcPr>
        <w:shd w:color="auto" w:fill="ffc000" w:themeFill="accent4" w:val="clear"/>
      </w:tcPr>
    </w:tblStylePr>
    <w:tblStylePr w:type="lastRow">
      <w:rPr>
        <w:b w:val="1"/>
        <w:bCs w:val="1"/>
      </w:rPr>
      <w:tblPr/>
      <w:tcPr>
        <w:tcBorders>
          <w:top w:color="ffc000" w:space="0" w:sz="4" w:themeColor="accent4"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ffc000" w:space="0" w:sz="4" w:themeColor="accent4" w:val="single"/>
          <w:right w:color="ffc000" w:space="0" w:sz="4" w:themeColor="accent4" w:val="single"/>
        </w:tcBorders>
      </w:tcPr>
    </w:tblStylePr>
    <w:tblStylePr w:type="band1Horz">
      <w:tblPr/>
      <w:tcPr>
        <w:tcBorders>
          <w:top w:color="ffc000" w:space="0" w:sz="4" w:themeColor="accent4" w:val="single"/>
          <w:bottom w:color="ffc000" w:space="0" w:sz="4" w:themeColor="accent4"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ffc000" w:space="0" w:sz="4" w:themeColor="accent4" w:val="double"/>
          <w:left w:space="0" w:sz="0" w:val="nil"/>
        </w:tcBorders>
      </w:tcPr>
    </w:tblStylePr>
    <w:tblStylePr w:type="swCell">
      <w:tblPr/>
      <w:tcPr>
        <w:tcBorders>
          <w:top w:color="ffc000" w:space="0" w:sz="4" w:themeColor="accent4" w:val="double"/>
          <w:right w:space="0" w:sz="0" w:val="nil"/>
        </w:tcBorders>
      </w:tcPr>
    </w:tblStylePr>
  </w:style>
  <w:style w:type="table" w:styleId="ListTable3-Accent5">
    <w:name w:val="List Table 3 Accent 5"/>
    <w:basedOn w:val="TableNormal"/>
    <w:uiPriority w:val="48"/>
    <w:rsid w:val="00687316"/>
    <w:pPr>
      <w:spacing w:after="0" w:line="240" w:lineRule="auto"/>
    </w:pPr>
    <w:tblPr>
      <w:tblStyleRowBandSize w:val="1"/>
      <w:tblStyleColBandSize w:val="1"/>
      <w:tblBorders>
        <w:top w:color="5b9bd5" w:space="0" w:sz="4" w:themeColor="accent5" w:val="single"/>
        <w:left w:color="5b9bd5" w:space="0" w:sz="4" w:themeColor="accent5" w:val="single"/>
        <w:bottom w:color="5b9bd5" w:space="0" w:sz="4" w:themeColor="accent5" w:val="single"/>
        <w:right w:color="5b9bd5" w:space="0" w:sz="4" w:themeColor="accent5" w:val="single"/>
      </w:tblBorders>
    </w:tblPr>
    <w:tblStylePr w:type="firstRow">
      <w:rPr>
        <w:b w:val="1"/>
        <w:bCs w:val="1"/>
        <w:color w:val="ffffff" w:themeColor="background1"/>
      </w:rPr>
      <w:tblPr/>
      <w:tcPr>
        <w:shd w:color="auto" w:fill="5b9bd5" w:themeFill="accent5" w:val="clear"/>
      </w:tcPr>
    </w:tblStylePr>
    <w:tblStylePr w:type="lastRow">
      <w:rPr>
        <w:b w:val="1"/>
        <w:bCs w:val="1"/>
      </w:rPr>
      <w:tblPr/>
      <w:tcPr>
        <w:tcBorders>
          <w:top w:color="5b9bd5" w:space="0" w:sz="4" w:themeColor="accent5"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5b9bd5" w:space="0" w:sz="4" w:themeColor="accent5" w:val="single"/>
          <w:right w:color="5b9bd5" w:space="0" w:sz="4" w:themeColor="accent5" w:val="single"/>
        </w:tcBorders>
      </w:tcPr>
    </w:tblStylePr>
    <w:tblStylePr w:type="band1Horz">
      <w:tblPr/>
      <w:tcPr>
        <w:tcBorders>
          <w:top w:color="5b9bd5" w:space="0" w:sz="4" w:themeColor="accent5" w:val="single"/>
          <w:bottom w:color="5b9bd5" w:space="0" w:sz="4" w:themeColor="accent5"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5b9bd5" w:space="0" w:sz="4" w:themeColor="accent5" w:val="double"/>
          <w:left w:space="0" w:sz="0" w:val="nil"/>
        </w:tcBorders>
      </w:tcPr>
    </w:tblStylePr>
    <w:tblStylePr w:type="swCell">
      <w:tblPr/>
      <w:tcPr>
        <w:tcBorders>
          <w:top w:color="5b9bd5" w:space="0" w:sz="4" w:themeColor="accent5" w:val="double"/>
          <w:right w:space="0" w:sz="0" w:val="nil"/>
        </w:tcBorders>
      </w:tcPr>
    </w:tblStylePr>
  </w:style>
  <w:style w:type="table" w:styleId="ListTable3-Accent6">
    <w:name w:val="List Table 3 Accent 6"/>
    <w:basedOn w:val="TableNormal"/>
    <w:uiPriority w:val="48"/>
    <w:rsid w:val="00687316"/>
    <w:pPr>
      <w:spacing w:after="0" w:line="240" w:lineRule="auto"/>
    </w:pPr>
    <w:tblPr>
      <w:tblStyleRowBandSize w:val="1"/>
      <w:tblStyleColBandSize w:val="1"/>
      <w:tblBorders>
        <w:top w:color="70ad47" w:space="0" w:sz="4" w:themeColor="accent6" w:val="single"/>
        <w:left w:color="70ad47" w:space="0" w:sz="4" w:themeColor="accent6" w:val="single"/>
        <w:bottom w:color="70ad47" w:space="0" w:sz="4" w:themeColor="accent6" w:val="single"/>
        <w:right w:color="70ad47" w:space="0" w:sz="4" w:themeColor="accent6" w:val="single"/>
      </w:tblBorders>
    </w:tblPr>
    <w:tblStylePr w:type="firstRow">
      <w:rPr>
        <w:b w:val="1"/>
        <w:bCs w:val="1"/>
        <w:color w:val="ffffff" w:themeColor="background1"/>
      </w:rPr>
      <w:tblPr/>
      <w:tcPr>
        <w:shd w:color="auto" w:fill="70ad47" w:themeFill="accent6" w:val="clear"/>
      </w:tcPr>
    </w:tblStylePr>
    <w:tblStylePr w:type="lastRow">
      <w:rPr>
        <w:b w:val="1"/>
        <w:bCs w:val="1"/>
      </w:rPr>
      <w:tblPr/>
      <w:tcPr>
        <w:tcBorders>
          <w:top w:color="70ad47" w:space="0" w:sz="4" w:themeColor="accent6"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70ad47" w:space="0" w:sz="4" w:themeColor="accent6" w:val="single"/>
          <w:right w:color="70ad47" w:space="0" w:sz="4" w:themeColor="accent6" w:val="single"/>
        </w:tcBorders>
      </w:tcPr>
    </w:tblStylePr>
    <w:tblStylePr w:type="band1Horz">
      <w:tblPr/>
      <w:tcPr>
        <w:tcBorders>
          <w:top w:color="70ad47" w:space="0" w:sz="4" w:themeColor="accent6" w:val="single"/>
          <w:bottom w:color="70ad47" w:space="0" w:sz="4" w:themeColor="accent6"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70ad47" w:space="0" w:sz="4" w:themeColor="accent6" w:val="double"/>
          <w:left w:space="0" w:sz="0" w:val="nil"/>
        </w:tcBorders>
      </w:tcPr>
    </w:tblStylePr>
    <w:tblStylePr w:type="swCell">
      <w:tblPr/>
      <w:tcPr>
        <w:tcBorders>
          <w:top w:color="70ad47" w:space="0" w:sz="4" w:themeColor="accent6" w:val="double"/>
          <w:right w:space="0" w:sz="0" w:val="nil"/>
        </w:tcBorders>
      </w:tcPr>
    </w:tblStylePr>
  </w:style>
  <w:style w:type="table" w:styleId="ListTable4">
    <w:name w:val="List Table 4"/>
    <w:basedOn w:val="TableNormal"/>
    <w:uiPriority w:val="49"/>
    <w:rsid w:val="00687316"/>
    <w:pPr>
      <w:spacing w:after="0" w:line="240" w:lineRule="auto"/>
    </w:pPr>
    <w:tblPr>
      <w:tblStyleRowBandSize w:val="1"/>
      <w:tblStyleColBandSize w:val="1"/>
      <w:tblBorders>
        <w:top w:color="666666" w:space="0" w:sz="4" w:themeColor="text1" w:themeTint="000099" w:val="single"/>
        <w:left w:color="666666" w:space="0" w:sz="4" w:themeColor="text1" w:themeTint="000099" w:val="single"/>
        <w:bottom w:color="666666" w:space="0" w:sz="4" w:themeColor="text1" w:themeTint="000099" w:val="single"/>
        <w:right w:color="666666" w:space="0" w:sz="4" w:themeColor="text1" w:themeTint="000099" w:val="single"/>
        <w:insideH w:color="666666" w:space="0" w:sz="4" w:themeColor="text1" w:themeTint="000099" w:val="single"/>
      </w:tblBorders>
    </w:tblPr>
    <w:tblStylePr w:type="firstRow">
      <w:rPr>
        <w:b w:val="1"/>
        <w:bCs w:val="1"/>
        <w:color w:val="ffffff" w:themeColor="background1"/>
      </w:rPr>
      <w:tblPr/>
      <w:tcPr>
        <w:tcBorders>
          <w:top w:color="000000" w:space="0" w:sz="4" w:themeColor="text1" w:val="single"/>
          <w:left w:color="000000" w:space="0" w:sz="4" w:themeColor="text1" w:val="single"/>
          <w:bottom w:color="000000" w:space="0" w:sz="4" w:themeColor="text1" w:val="single"/>
          <w:right w:color="000000" w:space="0" w:sz="4" w:themeColor="text1" w:val="single"/>
          <w:insideH w:space="0" w:sz="0" w:val="nil"/>
        </w:tcBorders>
        <w:shd w:color="auto" w:fill="000000" w:themeFill="text1" w:val="clear"/>
      </w:tcPr>
    </w:tblStylePr>
    <w:tblStylePr w:type="lastRow">
      <w:rPr>
        <w:b w:val="1"/>
        <w:bCs w:val="1"/>
      </w:rPr>
      <w:tblPr/>
      <w:tcPr>
        <w:tcBorders>
          <w:top w:color="666666" w:space="0" w:sz="4" w:themeColor="text1" w:themeTint="000099"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ListTable4-Accent1">
    <w:name w:val="List Table 4 Accent 1"/>
    <w:basedOn w:val="TableNormal"/>
    <w:uiPriority w:val="49"/>
    <w:rsid w:val="00687316"/>
    <w:pPr>
      <w:spacing w:after="0" w:line="240" w:lineRule="auto"/>
    </w:pPr>
    <w:tblPr>
      <w:tblStyleRowBandSize w:val="1"/>
      <w:tblStyleColBandSize w:val="1"/>
      <w:tblBorders>
        <w:top w:color="8eaadb" w:space="0" w:sz="4" w:themeColor="accent1" w:themeTint="000099" w:val="single"/>
        <w:left w:color="8eaadb" w:space="0" w:sz="4" w:themeColor="accent1" w:themeTint="000099" w:val="single"/>
        <w:bottom w:color="8eaadb" w:space="0" w:sz="4" w:themeColor="accent1" w:themeTint="000099" w:val="single"/>
        <w:right w:color="8eaadb" w:space="0" w:sz="4" w:themeColor="accent1" w:themeTint="000099" w:val="single"/>
        <w:insideH w:color="8eaadb" w:space="0" w:sz="4" w:themeColor="accent1" w:themeTint="000099" w:val="single"/>
      </w:tblBorders>
    </w:tblPr>
    <w:tblStylePr w:type="firstRow">
      <w:rPr>
        <w:b w:val="1"/>
        <w:bCs w:val="1"/>
        <w:color w:val="ffffff" w:themeColor="background1"/>
      </w:rPr>
      <w:tblPr/>
      <w:tcPr>
        <w:tcBorders>
          <w:top w:color="4472c4" w:space="0" w:sz="4" w:themeColor="accent1" w:val="single"/>
          <w:left w:color="4472c4" w:space="0" w:sz="4" w:themeColor="accent1" w:val="single"/>
          <w:bottom w:color="4472c4" w:space="0" w:sz="4" w:themeColor="accent1" w:val="single"/>
          <w:right w:color="4472c4" w:space="0" w:sz="4" w:themeColor="accent1" w:val="single"/>
          <w:insideH w:space="0" w:sz="0" w:val="nil"/>
        </w:tcBorders>
        <w:shd w:color="auto" w:fill="4472c4" w:themeFill="accent1" w:val="clear"/>
      </w:tcPr>
    </w:tblStylePr>
    <w:tblStylePr w:type="lastRow">
      <w:rPr>
        <w:b w:val="1"/>
        <w:bCs w:val="1"/>
      </w:rPr>
      <w:tblPr/>
      <w:tcPr>
        <w:tcBorders>
          <w:top w:color="8eaadb" w:space="0" w:sz="4" w:themeColor="accent1" w:themeTint="000099" w:val="double"/>
        </w:tcBorders>
      </w:tcPr>
    </w:tblStylePr>
    <w:tblStylePr w:type="firstCol">
      <w:rPr>
        <w:b w:val="1"/>
        <w:bCs w:val="1"/>
      </w:rPr>
    </w:tblStylePr>
    <w:tblStylePr w:type="lastCol">
      <w:rPr>
        <w:b w:val="1"/>
        <w:bCs w:val="1"/>
      </w:rPr>
    </w:tblStylePr>
    <w:tblStylePr w:type="band1Vert">
      <w:tblPr/>
      <w:tcPr>
        <w:shd w:color="auto" w:fill="d9e2f3" w:themeFill="accent1" w:themeFillTint="000033" w:val="clear"/>
      </w:tcPr>
    </w:tblStylePr>
    <w:tblStylePr w:type="band1Horz">
      <w:tblPr/>
      <w:tcPr>
        <w:shd w:color="auto" w:fill="d9e2f3" w:themeFill="accent1" w:themeFillTint="000033" w:val="clear"/>
      </w:tcPr>
    </w:tblStylePr>
  </w:style>
  <w:style w:type="table" w:styleId="ListTable4-Accent2">
    <w:name w:val="List Table 4 Accent 2"/>
    <w:basedOn w:val="TableNormal"/>
    <w:uiPriority w:val="49"/>
    <w:rsid w:val="00687316"/>
    <w:pPr>
      <w:spacing w:after="0" w:line="240" w:lineRule="auto"/>
    </w:pPr>
    <w:tblPr>
      <w:tblStyleRowBandSize w:val="1"/>
      <w:tblStyleColBandSize w:val="1"/>
      <w:tblBorders>
        <w:top w:color="f4b083" w:space="0" w:sz="4" w:themeColor="accent2" w:themeTint="000099" w:val="single"/>
        <w:left w:color="f4b083" w:space="0" w:sz="4" w:themeColor="accent2" w:themeTint="000099" w:val="single"/>
        <w:bottom w:color="f4b083" w:space="0" w:sz="4" w:themeColor="accent2" w:themeTint="000099" w:val="single"/>
        <w:right w:color="f4b083" w:space="0" w:sz="4" w:themeColor="accent2" w:themeTint="000099" w:val="single"/>
        <w:insideH w:color="f4b083" w:space="0" w:sz="4" w:themeColor="accent2" w:themeTint="000099" w:val="single"/>
      </w:tblBorders>
    </w:tblPr>
    <w:tblStylePr w:type="firstRow">
      <w:rPr>
        <w:b w:val="1"/>
        <w:bCs w:val="1"/>
        <w:color w:val="ffffff" w:themeColor="background1"/>
      </w:rPr>
      <w:tblPr/>
      <w:tcPr>
        <w:tcBorders>
          <w:top w:color="ed7d31" w:space="0" w:sz="4" w:themeColor="accent2" w:val="single"/>
          <w:left w:color="ed7d31" w:space="0" w:sz="4" w:themeColor="accent2" w:val="single"/>
          <w:bottom w:color="ed7d31" w:space="0" w:sz="4" w:themeColor="accent2" w:val="single"/>
          <w:right w:color="ed7d31" w:space="0" w:sz="4" w:themeColor="accent2" w:val="single"/>
          <w:insideH w:space="0" w:sz="0" w:val="nil"/>
        </w:tcBorders>
        <w:shd w:color="auto" w:fill="ed7d31" w:themeFill="accent2" w:val="clear"/>
      </w:tcPr>
    </w:tblStylePr>
    <w:tblStylePr w:type="lastRow">
      <w:rPr>
        <w:b w:val="1"/>
        <w:bCs w:val="1"/>
      </w:rPr>
      <w:tblPr/>
      <w:tcPr>
        <w:tcBorders>
          <w:top w:color="f4b083" w:space="0" w:sz="4" w:themeColor="accent2" w:themeTint="000099" w:val="double"/>
        </w:tcBorders>
      </w:tcPr>
    </w:tblStylePr>
    <w:tblStylePr w:type="firstCol">
      <w:rPr>
        <w:b w:val="1"/>
        <w:bCs w:val="1"/>
      </w:rPr>
    </w:tblStylePr>
    <w:tblStylePr w:type="lastCol">
      <w:rPr>
        <w:b w:val="1"/>
        <w:bCs w:val="1"/>
      </w:rPr>
    </w:tblStylePr>
    <w:tblStylePr w:type="band1Vert">
      <w:tblPr/>
      <w:tcPr>
        <w:shd w:color="auto" w:fill="fbe4d5" w:themeFill="accent2" w:themeFillTint="000033" w:val="clear"/>
      </w:tcPr>
    </w:tblStylePr>
    <w:tblStylePr w:type="band1Horz">
      <w:tblPr/>
      <w:tcPr>
        <w:shd w:color="auto" w:fill="fbe4d5" w:themeFill="accent2" w:themeFillTint="000033" w:val="clear"/>
      </w:tcPr>
    </w:tblStylePr>
  </w:style>
  <w:style w:type="table" w:styleId="ListTable4-Accent3">
    <w:name w:val="List Table 4 Accent 3"/>
    <w:basedOn w:val="TableNormal"/>
    <w:uiPriority w:val="49"/>
    <w:rsid w:val="00687316"/>
    <w:pPr>
      <w:spacing w:after="0" w:line="240" w:lineRule="auto"/>
    </w:pPr>
    <w:tblPr>
      <w:tblStyleRowBandSize w:val="1"/>
      <w:tblStyleColBandSize w:val="1"/>
      <w:tblBorders>
        <w:top w:color="c9c9c9" w:space="0" w:sz="4" w:themeColor="accent3" w:themeTint="000099" w:val="single"/>
        <w:left w:color="c9c9c9" w:space="0" w:sz="4" w:themeColor="accent3" w:themeTint="000099" w:val="single"/>
        <w:bottom w:color="c9c9c9" w:space="0" w:sz="4" w:themeColor="accent3" w:themeTint="000099" w:val="single"/>
        <w:right w:color="c9c9c9" w:space="0" w:sz="4" w:themeColor="accent3" w:themeTint="000099" w:val="single"/>
        <w:insideH w:color="c9c9c9" w:space="0" w:sz="4" w:themeColor="accent3" w:themeTint="000099" w:val="single"/>
      </w:tblBorders>
    </w:tblPr>
    <w:tblStylePr w:type="firstRow">
      <w:rPr>
        <w:b w:val="1"/>
        <w:bCs w:val="1"/>
        <w:color w:val="ffffff" w:themeColor="background1"/>
      </w:rPr>
      <w:tblPr/>
      <w:tcPr>
        <w:tcBorders>
          <w:top w:color="a5a5a5" w:space="0" w:sz="4" w:themeColor="accent3" w:val="single"/>
          <w:left w:color="a5a5a5" w:space="0" w:sz="4" w:themeColor="accent3" w:val="single"/>
          <w:bottom w:color="a5a5a5" w:space="0" w:sz="4" w:themeColor="accent3" w:val="single"/>
          <w:right w:color="a5a5a5" w:space="0" w:sz="4" w:themeColor="accent3" w:val="single"/>
          <w:insideH w:space="0" w:sz="0" w:val="nil"/>
        </w:tcBorders>
        <w:shd w:color="auto" w:fill="a5a5a5" w:themeFill="accent3" w:val="clear"/>
      </w:tcPr>
    </w:tblStylePr>
    <w:tblStylePr w:type="lastRow">
      <w:rPr>
        <w:b w:val="1"/>
        <w:bCs w:val="1"/>
      </w:rPr>
      <w:tblPr/>
      <w:tcPr>
        <w:tcBorders>
          <w:top w:color="c9c9c9" w:space="0" w:sz="4" w:themeColor="accent3" w:themeTint="000099" w:val="double"/>
        </w:tcBorders>
      </w:tcPr>
    </w:tblStylePr>
    <w:tblStylePr w:type="firstCol">
      <w:rPr>
        <w:b w:val="1"/>
        <w:bCs w:val="1"/>
      </w:rPr>
    </w:tblStylePr>
    <w:tblStylePr w:type="lastCol">
      <w:rPr>
        <w:b w:val="1"/>
        <w:bCs w:val="1"/>
      </w:r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style>
  <w:style w:type="table" w:styleId="ListTable4-Accent4">
    <w:name w:val="List Table 4 Accent 4"/>
    <w:basedOn w:val="TableNormal"/>
    <w:uiPriority w:val="49"/>
    <w:rsid w:val="00687316"/>
    <w:pPr>
      <w:spacing w:after="0" w:line="240" w:lineRule="auto"/>
    </w:pPr>
    <w:tblPr>
      <w:tblStyleRowBandSize w:val="1"/>
      <w:tblStyleColBandSize w:val="1"/>
      <w:tblBorders>
        <w:top w:color="ffd966" w:space="0" w:sz="4" w:themeColor="accent4" w:themeTint="000099" w:val="single"/>
        <w:left w:color="ffd966" w:space="0" w:sz="4" w:themeColor="accent4" w:themeTint="000099" w:val="single"/>
        <w:bottom w:color="ffd966" w:space="0" w:sz="4" w:themeColor="accent4" w:themeTint="000099" w:val="single"/>
        <w:right w:color="ffd966" w:space="0" w:sz="4" w:themeColor="accent4" w:themeTint="000099" w:val="single"/>
        <w:insideH w:color="ffd966" w:space="0" w:sz="4" w:themeColor="accent4" w:themeTint="000099" w:val="single"/>
      </w:tblBorders>
    </w:tblPr>
    <w:tblStylePr w:type="firstRow">
      <w:rPr>
        <w:b w:val="1"/>
        <w:bCs w:val="1"/>
        <w:color w:val="ffffff" w:themeColor="background1"/>
      </w:rPr>
      <w:tblPr/>
      <w:tcPr>
        <w:tcBorders>
          <w:top w:color="ffc000" w:space="0" w:sz="4" w:themeColor="accent4" w:val="single"/>
          <w:left w:color="ffc000" w:space="0" w:sz="4" w:themeColor="accent4" w:val="single"/>
          <w:bottom w:color="ffc000" w:space="0" w:sz="4" w:themeColor="accent4" w:val="single"/>
          <w:right w:color="ffc000" w:space="0" w:sz="4" w:themeColor="accent4" w:val="single"/>
          <w:insideH w:space="0" w:sz="0" w:val="nil"/>
        </w:tcBorders>
        <w:shd w:color="auto" w:fill="ffc000" w:themeFill="accent4" w:val="clear"/>
      </w:tcPr>
    </w:tblStylePr>
    <w:tblStylePr w:type="lastRow">
      <w:rPr>
        <w:b w:val="1"/>
        <w:bCs w:val="1"/>
      </w:rPr>
      <w:tblPr/>
      <w:tcPr>
        <w:tcBorders>
          <w:top w:color="ffd966" w:space="0" w:sz="4" w:themeColor="accent4" w:themeTint="000099" w:val="double"/>
        </w:tcBorders>
      </w:tcPr>
    </w:tblStylePr>
    <w:tblStylePr w:type="firstCol">
      <w:rPr>
        <w:b w:val="1"/>
        <w:bCs w:val="1"/>
      </w:rPr>
    </w:tblStylePr>
    <w:tblStylePr w:type="lastCol">
      <w:rPr>
        <w:b w:val="1"/>
        <w:bCs w:val="1"/>
      </w:r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style>
  <w:style w:type="table" w:styleId="ListTable4-Accent5">
    <w:name w:val="List Table 4 Accent 5"/>
    <w:basedOn w:val="TableNormal"/>
    <w:uiPriority w:val="49"/>
    <w:rsid w:val="00687316"/>
    <w:pPr>
      <w:spacing w:after="0" w:line="240" w:lineRule="auto"/>
    </w:pPr>
    <w:tblPr>
      <w:tblStyleRowBandSize w:val="1"/>
      <w:tblStyleColBandSize w:val="1"/>
      <w:tblBorders>
        <w:top w:color="9cc2e5" w:space="0" w:sz="4" w:themeColor="accent5" w:themeTint="000099" w:val="single"/>
        <w:left w:color="9cc2e5" w:space="0" w:sz="4" w:themeColor="accent5" w:themeTint="000099" w:val="single"/>
        <w:bottom w:color="9cc2e5" w:space="0" w:sz="4" w:themeColor="accent5" w:themeTint="000099" w:val="single"/>
        <w:right w:color="9cc2e5" w:space="0" w:sz="4" w:themeColor="accent5" w:themeTint="000099" w:val="single"/>
        <w:insideH w:color="9cc2e5" w:space="0" w:sz="4" w:themeColor="accent5" w:themeTint="000099" w:val="single"/>
      </w:tblBorders>
    </w:tblPr>
    <w:tblStylePr w:type="firstRow">
      <w:rPr>
        <w:b w:val="1"/>
        <w:bCs w:val="1"/>
        <w:color w:val="ffffff" w:themeColor="background1"/>
      </w:rPr>
      <w:tblPr/>
      <w:tcPr>
        <w:tcBorders>
          <w:top w:color="5b9bd5" w:space="0" w:sz="4" w:themeColor="accent5" w:val="single"/>
          <w:left w:color="5b9bd5" w:space="0" w:sz="4" w:themeColor="accent5" w:val="single"/>
          <w:bottom w:color="5b9bd5" w:space="0" w:sz="4" w:themeColor="accent5" w:val="single"/>
          <w:right w:color="5b9bd5" w:space="0" w:sz="4" w:themeColor="accent5" w:val="single"/>
          <w:insideH w:space="0" w:sz="0" w:val="nil"/>
        </w:tcBorders>
        <w:shd w:color="auto" w:fill="5b9bd5" w:themeFill="accent5" w:val="clear"/>
      </w:tcPr>
    </w:tblStylePr>
    <w:tblStylePr w:type="lastRow">
      <w:rPr>
        <w:b w:val="1"/>
        <w:bCs w:val="1"/>
      </w:rPr>
      <w:tblPr/>
      <w:tcPr>
        <w:tcBorders>
          <w:top w:color="9cc2e5" w:space="0" w:sz="4" w:themeColor="accent5" w:themeTint="000099" w:val="double"/>
        </w:tcBorders>
      </w:tcPr>
    </w:tblStylePr>
    <w:tblStylePr w:type="firstCol">
      <w:rPr>
        <w:b w:val="1"/>
        <w:bCs w:val="1"/>
      </w:rPr>
    </w:tblStylePr>
    <w:tblStylePr w:type="lastCol">
      <w:rPr>
        <w:b w:val="1"/>
        <w:bCs w:val="1"/>
      </w:rPr>
    </w:tblStylePr>
    <w:tblStylePr w:type="band1Vert">
      <w:tblPr/>
      <w:tcPr>
        <w:shd w:color="auto" w:fill="deeaf6" w:themeFill="accent5" w:themeFillTint="000033" w:val="clear"/>
      </w:tcPr>
    </w:tblStylePr>
    <w:tblStylePr w:type="band1Horz">
      <w:tblPr/>
      <w:tcPr>
        <w:shd w:color="auto" w:fill="deeaf6" w:themeFill="accent5" w:themeFillTint="000033" w:val="clear"/>
      </w:tcPr>
    </w:tblStylePr>
  </w:style>
  <w:style w:type="table" w:styleId="ListTable4-Accent6">
    <w:name w:val="List Table 4 Accent 6"/>
    <w:basedOn w:val="TableNormal"/>
    <w:uiPriority w:val="49"/>
    <w:rsid w:val="00687316"/>
    <w:pPr>
      <w:spacing w:after="0" w:line="240" w:lineRule="auto"/>
    </w:pPr>
    <w:tblPr>
      <w:tblStyleRowBandSize w:val="1"/>
      <w:tblStyleColBandSize w:val="1"/>
      <w:tblBorders>
        <w:top w:color="a8d08d" w:space="0" w:sz="4" w:themeColor="accent6" w:themeTint="000099" w:val="single"/>
        <w:left w:color="a8d08d" w:space="0" w:sz="4" w:themeColor="accent6" w:themeTint="000099" w:val="single"/>
        <w:bottom w:color="a8d08d" w:space="0" w:sz="4" w:themeColor="accent6" w:themeTint="000099" w:val="single"/>
        <w:right w:color="a8d08d" w:space="0" w:sz="4" w:themeColor="accent6" w:themeTint="000099" w:val="single"/>
        <w:insideH w:color="a8d08d" w:space="0" w:sz="4" w:themeColor="accent6" w:themeTint="000099" w:val="single"/>
      </w:tblBorders>
    </w:tblPr>
    <w:tblStylePr w:type="firstRow">
      <w:rPr>
        <w:b w:val="1"/>
        <w:bCs w:val="1"/>
        <w:color w:val="ffffff" w:themeColor="background1"/>
      </w:rPr>
      <w:tblPr/>
      <w:tcPr>
        <w:tcBorders>
          <w:top w:color="70ad47" w:space="0" w:sz="4" w:themeColor="accent6" w:val="single"/>
          <w:left w:color="70ad47" w:space="0" w:sz="4" w:themeColor="accent6" w:val="single"/>
          <w:bottom w:color="70ad47" w:space="0" w:sz="4" w:themeColor="accent6" w:val="single"/>
          <w:right w:color="70ad47" w:space="0" w:sz="4" w:themeColor="accent6" w:val="single"/>
          <w:insideH w:space="0" w:sz="0" w:val="nil"/>
        </w:tcBorders>
        <w:shd w:color="auto" w:fill="70ad47" w:themeFill="accent6" w:val="clear"/>
      </w:tcPr>
    </w:tblStylePr>
    <w:tblStylePr w:type="lastRow">
      <w:rPr>
        <w:b w:val="1"/>
        <w:bCs w:val="1"/>
      </w:rPr>
      <w:tblPr/>
      <w:tcPr>
        <w:tcBorders>
          <w:top w:color="a8d08d" w:space="0" w:sz="4" w:themeColor="accent6" w:themeTint="000099" w:val="double"/>
        </w:tcBorders>
      </w:tcPr>
    </w:tblStylePr>
    <w:tblStylePr w:type="firstCol">
      <w:rPr>
        <w:b w:val="1"/>
        <w:bCs w:val="1"/>
      </w:rPr>
    </w:tblStylePr>
    <w:tblStylePr w:type="lastCol">
      <w:rPr>
        <w:b w:val="1"/>
        <w:bCs w:val="1"/>
      </w:rPr>
    </w:tblStylePr>
    <w:tblStylePr w:type="band1Vert">
      <w:tblPr/>
      <w:tcPr>
        <w:shd w:color="auto" w:fill="e2efd9" w:themeFill="accent6" w:themeFillTint="000033" w:val="clear"/>
      </w:tcPr>
    </w:tblStylePr>
    <w:tblStylePr w:type="band1Horz">
      <w:tblPr/>
      <w:tcPr>
        <w:shd w:color="auto" w:fill="e2efd9" w:themeFill="accent6" w:themeFillTint="000033" w:val="clear"/>
      </w:tcPr>
    </w:tblStylePr>
  </w:style>
  <w:style w:type="table" w:styleId="ListTable5Dark">
    <w:name w:val="List Table 5 Dark"/>
    <w:basedOn w:val="TableNormal"/>
    <w:uiPriority w:val="50"/>
    <w:rsid w:val="00687316"/>
    <w:pPr>
      <w:spacing w:after="0" w:line="240" w:lineRule="auto"/>
    </w:pPr>
    <w:rPr>
      <w:color w:val="ffffff" w:themeColor="background1"/>
    </w:rPr>
    <w:tblPr>
      <w:tblStyleRowBandSize w:val="1"/>
      <w:tblStyleColBandSize w:val="1"/>
      <w:tblBorders>
        <w:top w:color="000000" w:space="0" w:sz="24" w:themeColor="text1" w:val="single"/>
        <w:left w:color="000000" w:space="0" w:sz="24" w:themeColor="text1" w:val="single"/>
        <w:bottom w:color="000000" w:space="0" w:sz="24" w:themeColor="text1" w:val="single"/>
        <w:right w:color="000000" w:space="0" w:sz="24" w:themeColor="text1" w:val="single"/>
      </w:tblBorders>
    </w:tblPr>
    <w:tcPr>
      <w:shd w:color="auto" w:fill="000000" w:themeFill="text1"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5Dark-Accent1">
    <w:name w:val="List Table 5 Dark Accent 1"/>
    <w:basedOn w:val="TableNormal"/>
    <w:uiPriority w:val="50"/>
    <w:rsid w:val="00687316"/>
    <w:pPr>
      <w:spacing w:after="0" w:line="240" w:lineRule="auto"/>
    </w:pPr>
    <w:rPr>
      <w:color w:val="ffffff" w:themeColor="background1"/>
    </w:rPr>
    <w:tblPr>
      <w:tblStyleRowBandSize w:val="1"/>
      <w:tblStyleColBandSize w:val="1"/>
      <w:tblBorders>
        <w:top w:color="4472c4" w:space="0" w:sz="24" w:themeColor="accent1" w:val="single"/>
        <w:left w:color="4472c4" w:space="0" w:sz="24" w:themeColor="accent1" w:val="single"/>
        <w:bottom w:color="4472c4" w:space="0" w:sz="24" w:themeColor="accent1" w:val="single"/>
        <w:right w:color="4472c4" w:space="0" w:sz="24" w:themeColor="accent1" w:val="single"/>
      </w:tblBorders>
    </w:tblPr>
    <w:tcPr>
      <w:shd w:color="auto" w:fill="4472c4" w:themeFill="accent1"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5Dark-Accent2">
    <w:name w:val="List Table 5 Dark Accent 2"/>
    <w:basedOn w:val="TableNormal"/>
    <w:uiPriority w:val="50"/>
    <w:rsid w:val="00687316"/>
    <w:pPr>
      <w:spacing w:after="0" w:line="240" w:lineRule="auto"/>
    </w:pPr>
    <w:rPr>
      <w:color w:val="ffffff" w:themeColor="background1"/>
    </w:rPr>
    <w:tblPr>
      <w:tblStyleRowBandSize w:val="1"/>
      <w:tblStyleColBandSize w:val="1"/>
      <w:tblBorders>
        <w:top w:color="ed7d31" w:space="0" w:sz="24" w:themeColor="accent2" w:val="single"/>
        <w:left w:color="ed7d31" w:space="0" w:sz="24" w:themeColor="accent2" w:val="single"/>
        <w:bottom w:color="ed7d31" w:space="0" w:sz="24" w:themeColor="accent2" w:val="single"/>
        <w:right w:color="ed7d31" w:space="0" w:sz="24" w:themeColor="accent2" w:val="single"/>
      </w:tblBorders>
    </w:tblPr>
    <w:tcPr>
      <w:shd w:color="auto" w:fill="ed7d31" w:themeFill="accent2"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5Dark-Accent3">
    <w:name w:val="List Table 5 Dark Accent 3"/>
    <w:basedOn w:val="TableNormal"/>
    <w:uiPriority w:val="50"/>
    <w:rsid w:val="00687316"/>
    <w:pPr>
      <w:spacing w:after="0" w:line="240" w:lineRule="auto"/>
    </w:pPr>
    <w:rPr>
      <w:color w:val="ffffff" w:themeColor="background1"/>
    </w:rPr>
    <w:tblPr>
      <w:tblStyleRowBandSize w:val="1"/>
      <w:tblStyleColBandSize w:val="1"/>
      <w:tblBorders>
        <w:top w:color="a5a5a5" w:space="0" w:sz="24" w:themeColor="accent3" w:val="single"/>
        <w:left w:color="a5a5a5" w:space="0" w:sz="24" w:themeColor="accent3" w:val="single"/>
        <w:bottom w:color="a5a5a5" w:space="0" w:sz="24" w:themeColor="accent3" w:val="single"/>
        <w:right w:color="a5a5a5" w:space="0" w:sz="24" w:themeColor="accent3" w:val="single"/>
      </w:tblBorders>
    </w:tblPr>
    <w:tcPr>
      <w:shd w:color="auto" w:fill="a5a5a5" w:themeFill="accent3"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5Dark-Accent4">
    <w:name w:val="List Table 5 Dark Accent 4"/>
    <w:basedOn w:val="TableNormal"/>
    <w:uiPriority w:val="50"/>
    <w:rsid w:val="00687316"/>
    <w:pPr>
      <w:spacing w:after="0" w:line="240" w:lineRule="auto"/>
    </w:pPr>
    <w:rPr>
      <w:color w:val="ffffff" w:themeColor="background1"/>
    </w:rPr>
    <w:tblPr>
      <w:tblStyleRowBandSize w:val="1"/>
      <w:tblStyleColBandSize w:val="1"/>
      <w:tblBorders>
        <w:top w:color="ffc000" w:space="0" w:sz="24" w:themeColor="accent4" w:val="single"/>
        <w:left w:color="ffc000" w:space="0" w:sz="24" w:themeColor="accent4" w:val="single"/>
        <w:bottom w:color="ffc000" w:space="0" w:sz="24" w:themeColor="accent4" w:val="single"/>
        <w:right w:color="ffc000" w:space="0" w:sz="24" w:themeColor="accent4" w:val="single"/>
      </w:tblBorders>
    </w:tblPr>
    <w:tcPr>
      <w:shd w:color="auto" w:fill="ffc000" w:themeFill="accent4"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5Dark-Accent5">
    <w:name w:val="List Table 5 Dark Accent 5"/>
    <w:basedOn w:val="TableNormal"/>
    <w:uiPriority w:val="50"/>
    <w:rsid w:val="00687316"/>
    <w:pPr>
      <w:spacing w:after="0" w:line="240" w:lineRule="auto"/>
    </w:pPr>
    <w:rPr>
      <w:color w:val="ffffff" w:themeColor="background1"/>
    </w:rPr>
    <w:tblPr>
      <w:tblStyleRowBandSize w:val="1"/>
      <w:tblStyleColBandSize w:val="1"/>
      <w:tblBorders>
        <w:top w:color="5b9bd5" w:space="0" w:sz="24" w:themeColor="accent5" w:val="single"/>
        <w:left w:color="5b9bd5" w:space="0" w:sz="24" w:themeColor="accent5" w:val="single"/>
        <w:bottom w:color="5b9bd5" w:space="0" w:sz="24" w:themeColor="accent5" w:val="single"/>
        <w:right w:color="5b9bd5" w:space="0" w:sz="24" w:themeColor="accent5" w:val="single"/>
      </w:tblBorders>
    </w:tblPr>
    <w:tcPr>
      <w:shd w:color="auto" w:fill="5b9bd5" w:themeFill="accent5"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5Dark-Accent6">
    <w:name w:val="List Table 5 Dark Accent 6"/>
    <w:basedOn w:val="TableNormal"/>
    <w:uiPriority w:val="50"/>
    <w:rsid w:val="00687316"/>
    <w:pPr>
      <w:spacing w:after="0" w:line="240" w:lineRule="auto"/>
    </w:pPr>
    <w:rPr>
      <w:color w:val="ffffff" w:themeColor="background1"/>
    </w:rPr>
    <w:tblPr>
      <w:tblStyleRowBandSize w:val="1"/>
      <w:tblStyleColBandSize w:val="1"/>
      <w:tblBorders>
        <w:top w:color="70ad47" w:space="0" w:sz="24" w:themeColor="accent6" w:val="single"/>
        <w:left w:color="70ad47" w:space="0" w:sz="24" w:themeColor="accent6" w:val="single"/>
        <w:bottom w:color="70ad47" w:space="0" w:sz="24" w:themeColor="accent6" w:val="single"/>
        <w:right w:color="70ad47" w:space="0" w:sz="24" w:themeColor="accent6" w:val="single"/>
      </w:tblBorders>
    </w:tblPr>
    <w:tcPr>
      <w:shd w:color="auto" w:fill="70ad47" w:themeFill="accent6"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6Colorful">
    <w:name w:val="List Table 6 Colorful"/>
    <w:basedOn w:val="TableNormal"/>
    <w:uiPriority w:val="51"/>
    <w:rsid w:val="00687316"/>
    <w:pPr>
      <w:spacing w:after="0" w:line="240" w:lineRule="auto"/>
    </w:pPr>
    <w:rPr>
      <w:color w:val="000000" w:themeColor="text1"/>
    </w:rPr>
    <w:tblPr>
      <w:tblStyleRowBandSize w:val="1"/>
      <w:tblStyleColBandSize w:val="1"/>
      <w:tblBorders>
        <w:top w:color="000000" w:space="0" w:sz="4" w:themeColor="text1" w:val="single"/>
        <w:bottom w:color="000000" w:space="0" w:sz="4" w:themeColor="text1" w:val="single"/>
      </w:tblBorders>
    </w:tblPr>
    <w:tblStylePr w:type="firstRow">
      <w:rPr>
        <w:b w:val="1"/>
        <w:bCs w:val="1"/>
      </w:rPr>
      <w:tblPr/>
      <w:tcPr>
        <w:tcBorders>
          <w:bottom w:color="000000" w:space="0" w:sz="4" w:themeColor="text1" w:val="single"/>
        </w:tcBorders>
      </w:tcPr>
    </w:tblStylePr>
    <w:tblStylePr w:type="lastRow">
      <w:rPr>
        <w:b w:val="1"/>
        <w:bCs w:val="1"/>
      </w:rPr>
      <w:tblPr/>
      <w:tcPr>
        <w:tcBorders>
          <w:top w:color="000000" w:space="0" w:sz="4" w:themeColor="text1"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ListTable6Colorful-Accent1">
    <w:name w:val="List Table 6 Colorful Accent 1"/>
    <w:basedOn w:val="TableNormal"/>
    <w:uiPriority w:val="51"/>
    <w:rsid w:val="00687316"/>
    <w:pPr>
      <w:spacing w:after="0" w:line="240" w:lineRule="auto"/>
    </w:pPr>
    <w:rPr>
      <w:color w:val="2f5496" w:themeColor="accent1" w:themeShade="0000BF"/>
    </w:rPr>
    <w:tblPr>
      <w:tblStyleRowBandSize w:val="1"/>
      <w:tblStyleColBandSize w:val="1"/>
      <w:tblBorders>
        <w:top w:color="4472c4" w:space="0" w:sz="4" w:themeColor="accent1" w:val="single"/>
        <w:bottom w:color="4472c4" w:space="0" w:sz="4" w:themeColor="accent1" w:val="single"/>
      </w:tblBorders>
    </w:tblPr>
    <w:tblStylePr w:type="firstRow">
      <w:rPr>
        <w:b w:val="1"/>
        <w:bCs w:val="1"/>
      </w:rPr>
      <w:tblPr/>
      <w:tcPr>
        <w:tcBorders>
          <w:bottom w:color="4472c4" w:space="0" w:sz="4" w:themeColor="accent1" w:val="single"/>
        </w:tcBorders>
      </w:tcPr>
    </w:tblStylePr>
    <w:tblStylePr w:type="lastRow">
      <w:rPr>
        <w:b w:val="1"/>
        <w:bCs w:val="1"/>
      </w:rPr>
      <w:tblPr/>
      <w:tcPr>
        <w:tcBorders>
          <w:top w:color="4472c4" w:space="0" w:sz="4" w:themeColor="accent1" w:val="double"/>
        </w:tcBorders>
      </w:tcPr>
    </w:tblStylePr>
    <w:tblStylePr w:type="firstCol">
      <w:rPr>
        <w:b w:val="1"/>
        <w:bCs w:val="1"/>
      </w:rPr>
    </w:tblStylePr>
    <w:tblStylePr w:type="lastCol">
      <w:rPr>
        <w:b w:val="1"/>
        <w:bCs w:val="1"/>
      </w:rPr>
    </w:tblStylePr>
    <w:tblStylePr w:type="band1Vert">
      <w:tblPr/>
      <w:tcPr>
        <w:shd w:color="auto" w:fill="d9e2f3" w:themeFill="accent1" w:themeFillTint="000033" w:val="clear"/>
      </w:tcPr>
    </w:tblStylePr>
    <w:tblStylePr w:type="band1Horz">
      <w:tblPr/>
      <w:tcPr>
        <w:shd w:color="auto" w:fill="d9e2f3" w:themeFill="accent1" w:themeFillTint="000033" w:val="clear"/>
      </w:tcPr>
    </w:tblStylePr>
  </w:style>
  <w:style w:type="table" w:styleId="ListTable6Colorful-Accent2">
    <w:name w:val="List Table 6 Colorful Accent 2"/>
    <w:basedOn w:val="TableNormal"/>
    <w:uiPriority w:val="51"/>
    <w:rsid w:val="00687316"/>
    <w:pPr>
      <w:spacing w:after="0" w:line="240" w:lineRule="auto"/>
    </w:pPr>
    <w:rPr>
      <w:color w:val="c45911" w:themeColor="accent2" w:themeShade="0000BF"/>
    </w:rPr>
    <w:tblPr>
      <w:tblStyleRowBandSize w:val="1"/>
      <w:tblStyleColBandSize w:val="1"/>
      <w:tblBorders>
        <w:top w:color="ed7d31" w:space="0" w:sz="4" w:themeColor="accent2" w:val="single"/>
        <w:bottom w:color="ed7d31" w:space="0" w:sz="4" w:themeColor="accent2" w:val="single"/>
      </w:tblBorders>
    </w:tblPr>
    <w:tblStylePr w:type="firstRow">
      <w:rPr>
        <w:b w:val="1"/>
        <w:bCs w:val="1"/>
      </w:rPr>
      <w:tblPr/>
      <w:tcPr>
        <w:tcBorders>
          <w:bottom w:color="ed7d31" w:space="0" w:sz="4" w:themeColor="accent2" w:val="single"/>
        </w:tcBorders>
      </w:tcPr>
    </w:tblStylePr>
    <w:tblStylePr w:type="lastRow">
      <w:rPr>
        <w:b w:val="1"/>
        <w:bCs w:val="1"/>
      </w:rPr>
      <w:tblPr/>
      <w:tcPr>
        <w:tcBorders>
          <w:top w:color="ed7d31" w:space="0" w:sz="4" w:themeColor="accent2" w:val="double"/>
        </w:tcBorders>
      </w:tcPr>
    </w:tblStylePr>
    <w:tblStylePr w:type="firstCol">
      <w:rPr>
        <w:b w:val="1"/>
        <w:bCs w:val="1"/>
      </w:rPr>
    </w:tblStylePr>
    <w:tblStylePr w:type="lastCol">
      <w:rPr>
        <w:b w:val="1"/>
        <w:bCs w:val="1"/>
      </w:rPr>
    </w:tblStylePr>
    <w:tblStylePr w:type="band1Vert">
      <w:tblPr/>
      <w:tcPr>
        <w:shd w:color="auto" w:fill="fbe4d5" w:themeFill="accent2" w:themeFillTint="000033" w:val="clear"/>
      </w:tcPr>
    </w:tblStylePr>
    <w:tblStylePr w:type="band1Horz">
      <w:tblPr/>
      <w:tcPr>
        <w:shd w:color="auto" w:fill="fbe4d5" w:themeFill="accent2" w:themeFillTint="000033" w:val="clear"/>
      </w:tcPr>
    </w:tblStylePr>
  </w:style>
  <w:style w:type="table" w:styleId="ListTable6Colorful-Accent3">
    <w:name w:val="List Table 6 Colorful Accent 3"/>
    <w:basedOn w:val="TableNormal"/>
    <w:uiPriority w:val="51"/>
    <w:rsid w:val="00687316"/>
    <w:pPr>
      <w:spacing w:after="0" w:line="240" w:lineRule="auto"/>
    </w:pPr>
    <w:rPr>
      <w:color w:val="7b7b7b" w:themeColor="accent3" w:themeShade="0000BF"/>
    </w:rPr>
    <w:tblPr>
      <w:tblStyleRowBandSize w:val="1"/>
      <w:tblStyleColBandSize w:val="1"/>
      <w:tblBorders>
        <w:top w:color="a5a5a5" w:space="0" w:sz="4" w:themeColor="accent3" w:val="single"/>
        <w:bottom w:color="a5a5a5" w:space="0" w:sz="4" w:themeColor="accent3" w:val="single"/>
      </w:tblBorders>
    </w:tblPr>
    <w:tblStylePr w:type="firstRow">
      <w:rPr>
        <w:b w:val="1"/>
        <w:bCs w:val="1"/>
      </w:rPr>
      <w:tblPr/>
      <w:tcPr>
        <w:tcBorders>
          <w:bottom w:color="a5a5a5" w:space="0" w:sz="4" w:themeColor="accent3" w:val="single"/>
        </w:tcBorders>
      </w:tcPr>
    </w:tblStylePr>
    <w:tblStylePr w:type="lastRow">
      <w:rPr>
        <w:b w:val="1"/>
        <w:bCs w:val="1"/>
      </w:rPr>
      <w:tblPr/>
      <w:tcPr>
        <w:tcBorders>
          <w:top w:color="a5a5a5" w:space="0" w:sz="4" w:themeColor="accent3" w:val="double"/>
        </w:tcBorders>
      </w:tcPr>
    </w:tblStylePr>
    <w:tblStylePr w:type="firstCol">
      <w:rPr>
        <w:b w:val="1"/>
        <w:bCs w:val="1"/>
      </w:rPr>
    </w:tblStylePr>
    <w:tblStylePr w:type="lastCol">
      <w:rPr>
        <w:b w:val="1"/>
        <w:bCs w:val="1"/>
      </w:r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style>
  <w:style w:type="table" w:styleId="ListTable6Colorful-Accent4">
    <w:name w:val="List Table 6 Colorful Accent 4"/>
    <w:basedOn w:val="TableNormal"/>
    <w:uiPriority w:val="51"/>
    <w:rsid w:val="00687316"/>
    <w:pPr>
      <w:spacing w:after="0" w:line="240" w:lineRule="auto"/>
    </w:pPr>
    <w:rPr>
      <w:color w:val="bf8f00" w:themeColor="accent4" w:themeShade="0000BF"/>
    </w:rPr>
    <w:tblPr>
      <w:tblStyleRowBandSize w:val="1"/>
      <w:tblStyleColBandSize w:val="1"/>
      <w:tblBorders>
        <w:top w:color="ffc000" w:space="0" w:sz="4" w:themeColor="accent4" w:val="single"/>
        <w:bottom w:color="ffc000" w:space="0" w:sz="4" w:themeColor="accent4" w:val="single"/>
      </w:tblBorders>
    </w:tblPr>
    <w:tblStylePr w:type="firstRow">
      <w:rPr>
        <w:b w:val="1"/>
        <w:bCs w:val="1"/>
      </w:rPr>
      <w:tblPr/>
      <w:tcPr>
        <w:tcBorders>
          <w:bottom w:color="ffc000" w:space="0" w:sz="4" w:themeColor="accent4" w:val="single"/>
        </w:tcBorders>
      </w:tcPr>
    </w:tblStylePr>
    <w:tblStylePr w:type="lastRow">
      <w:rPr>
        <w:b w:val="1"/>
        <w:bCs w:val="1"/>
      </w:rPr>
      <w:tblPr/>
      <w:tcPr>
        <w:tcBorders>
          <w:top w:color="ffc000" w:space="0" w:sz="4" w:themeColor="accent4" w:val="double"/>
        </w:tcBorders>
      </w:tcPr>
    </w:tblStylePr>
    <w:tblStylePr w:type="firstCol">
      <w:rPr>
        <w:b w:val="1"/>
        <w:bCs w:val="1"/>
      </w:rPr>
    </w:tblStylePr>
    <w:tblStylePr w:type="lastCol">
      <w:rPr>
        <w:b w:val="1"/>
        <w:bCs w:val="1"/>
      </w:r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style>
  <w:style w:type="table" w:styleId="ListTable6Colorful-Accent5">
    <w:name w:val="List Table 6 Colorful Accent 5"/>
    <w:basedOn w:val="TableNormal"/>
    <w:uiPriority w:val="51"/>
    <w:rsid w:val="00687316"/>
    <w:pPr>
      <w:spacing w:after="0" w:line="240" w:lineRule="auto"/>
    </w:pPr>
    <w:rPr>
      <w:color w:val="2e74b5" w:themeColor="accent5" w:themeShade="0000BF"/>
    </w:rPr>
    <w:tblPr>
      <w:tblStyleRowBandSize w:val="1"/>
      <w:tblStyleColBandSize w:val="1"/>
      <w:tblBorders>
        <w:top w:color="5b9bd5" w:space="0" w:sz="4" w:themeColor="accent5" w:val="single"/>
        <w:bottom w:color="5b9bd5" w:space="0" w:sz="4" w:themeColor="accent5" w:val="single"/>
      </w:tblBorders>
    </w:tblPr>
    <w:tblStylePr w:type="firstRow">
      <w:rPr>
        <w:b w:val="1"/>
        <w:bCs w:val="1"/>
      </w:rPr>
      <w:tblPr/>
      <w:tcPr>
        <w:tcBorders>
          <w:bottom w:color="5b9bd5" w:space="0" w:sz="4" w:themeColor="accent5" w:val="single"/>
        </w:tcBorders>
      </w:tcPr>
    </w:tblStylePr>
    <w:tblStylePr w:type="lastRow">
      <w:rPr>
        <w:b w:val="1"/>
        <w:bCs w:val="1"/>
      </w:rPr>
      <w:tblPr/>
      <w:tcPr>
        <w:tcBorders>
          <w:top w:color="5b9bd5" w:space="0" w:sz="4" w:themeColor="accent5" w:val="double"/>
        </w:tcBorders>
      </w:tcPr>
    </w:tblStylePr>
    <w:tblStylePr w:type="firstCol">
      <w:rPr>
        <w:b w:val="1"/>
        <w:bCs w:val="1"/>
      </w:rPr>
    </w:tblStylePr>
    <w:tblStylePr w:type="lastCol">
      <w:rPr>
        <w:b w:val="1"/>
        <w:bCs w:val="1"/>
      </w:rPr>
    </w:tblStylePr>
    <w:tblStylePr w:type="band1Vert">
      <w:tblPr/>
      <w:tcPr>
        <w:shd w:color="auto" w:fill="deeaf6" w:themeFill="accent5" w:themeFillTint="000033" w:val="clear"/>
      </w:tcPr>
    </w:tblStylePr>
    <w:tblStylePr w:type="band1Horz">
      <w:tblPr/>
      <w:tcPr>
        <w:shd w:color="auto" w:fill="deeaf6" w:themeFill="accent5" w:themeFillTint="000033" w:val="clear"/>
      </w:tcPr>
    </w:tblStylePr>
  </w:style>
  <w:style w:type="table" w:styleId="ListTable6Colorful-Accent6">
    <w:name w:val="List Table 6 Colorful Accent 6"/>
    <w:basedOn w:val="TableNormal"/>
    <w:uiPriority w:val="51"/>
    <w:rsid w:val="00687316"/>
    <w:pPr>
      <w:spacing w:after="0" w:line="240" w:lineRule="auto"/>
    </w:pPr>
    <w:rPr>
      <w:color w:val="538135" w:themeColor="accent6" w:themeShade="0000BF"/>
    </w:rPr>
    <w:tblPr>
      <w:tblStyleRowBandSize w:val="1"/>
      <w:tblStyleColBandSize w:val="1"/>
      <w:tblBorders>
        <w:top w:color="70ad47" w:space="0" w:sz="4" w:themeColor="accent6" w:val="single"/>
        <w:bottom w:color="70ad47" w:space="0" w:sz="4" w:themeColor="accent6" w:val="single"/>
      </w:tblBorders>
    </w:tblPr>
    <w:tblStylePr w:type="firstRow">
      <w:rPr>
        <w:b w:val="1"/>
        <w:bCs w:val="1"/>
      </w:rPr>
      <w:tblPr/>
      <w:tcPr>
        <w:tcBorders>
          <w:bottom w:color="70ad47" w:space="0" w:sz="4" w:themeColor="accent6" w:val="single"/>
        </w:tcBorders>
      </w:tcPr>
    </w:tblStylePr>
    <w:tblStylePr w:type="lastRow">
      <w:rPr>
        <w:b w:val="1"/>
        <w:bCs w:val="1"/>
      </w:rPr>
      <w:tblPr/>
      <w:tcPr>
        <w:tcBorders>
          <w:top w:color="70ad47" w:space="0" w:sz="4" w:themeColor="accent6" w:val="double"/>
        </w:tcBorders>
      </w:tcPr>
    </w:tblStylePr>
    <w:tblStylePr w:type="firstCol">
      <w:rPr>
        <w:b w:val="1"/>
        <w:bCs w:val="1"/>
      </w:rPr>
    </w:tblStylePr>
    <w:tblStylePr w:type="lastCol">
      <w:rPr>
        <w:b w:val="1"/>
        <w:bCs w:val="1"/>
      </w:rPr>
    </w:tblStylePr>
    <w:tblStylePr w:type="band1Vert">
      <w:tblPr/>
      <w:tcPr>
        <w:shd w:color="auto" w:fill="e2efd9" w:themeFill="accent6" w:themeFillTint="000033" w:val="clear"/>
      </w:tcPr>
    </w:tblStylePr>
    <w:tblStylePr w:type="band1Horz">
      <w:tblPr/>
      <w:tcPr>
        <w:shd w:color="auto" w:fill="e2efd9" w:themeFill="accent6" w:themeFillTint="000033" w:val="clear"/>
      </w:tcPr>
    </w:tblStylePr>
  </w:style>
  <w:style w:type="table" w:styleId="ListTable7Colorful">
    <w:name w:val="List Table 7 Colorful"/>
    <w:basedOn w:val="TableNormal"/>
    <w:uiPriority w:val="52"/>
    <w:rsid w:val="00687316"/>
    <w:pPr>
      <w:spacing w:after="0" w:line="240" w:lineRule="auto"/>
    </w:pPr>
    <w:rPr>
      <w:color w:val="000000" w:themeColor="text1"/>
    </w:rPr>
    <w:tblPr>
      <w:tblStyleRowBandSize w:val="1"/>
      <w:tblStyleColBandSize w:val="1"/>
    </w:tblPr>
    <w:tblStylePr w:type="firstRow">
      <w:rPr>
        <w:rFonts w:asciiTheme="majorHAnsi" w:cstheme="majorBidi" w:eastAsiaTheme="majorEastAsia" w:hAnsiTheme="majorHAnsi"/>
        <w:i w:val="1"/>
        <w:iCs w:val="1"/>
        <w:sz w:val="26"/>
      </w:rPr>
      <w:tblPr/>
      <w:tcPr>
        <w:tcBorders>
          <w:bottom w:color="000000" w:space="0" w:sz="4" w:themeColor="text1"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000000" w:space="0" w:sz="4" w:themeColor="text1"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000000" w:space="0" w:sz="4" w:themeColor="text1"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000000" w:space="0" w:sz="4" w:themeColor="text1" w:val="single"/>
        </w:tcBorders>
        <w:shd w:color="auto" w:fill="ffffff" w:themeFill="background1" w:val="clear"/>
      </w:tc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Table7Colorful-Accent1">
    <w:name w:val="List Table 7 Colorful Accent 1"/>
    <w:basedOn w:val="TableNormal"/>
    <w:uiPriority w:val="52"/>
    <w:rsid w:val="00687316"/>
    <w:pPr>
      <w:spacing w:after="0" w:line="240" w:lineRule="auto"/>
    </w:pPr>
    <w:rPr>
      <w:color w:val="2f5496" w:themeColor="accent1"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4472c4" w:space="0" w:sz="4" w:themeColor="accent1"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4472c4" w:space="0" w:sz="4" w:themeColor="accent1"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4472c4" w:space="0" w:sz="4" w:themeColor="accent1"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4472c4" w:space="0" w:sz="4" w:themeColor="accent1" w:val="single"/>
        </w:tcBorders>
        <w:shd w:color="auto" w:fill="ffffff" w:themeFill="background1" w:val="clear"/>
      </w:tcPr>
    </w:tblStylePr>
    <w:tblStylePr w:type="band1Vert">
      <w:tblPr/>
      <w:tcPr>
        <w:shd w:color="auto" w:fill="d9e2f3" w:themeFill="accent1" w:themeFillTint="000033" w:val="clear"/>
      </w:tcPr>
    </w:tblStylePr>
    <w:tblStylePr w:type="band1Horz">
      <w:tblPr/>
      <w:tcPr>
        <w:shd w:color="auto" w:fill="d9e2f3" w:themeFill="accent1"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Table7Colorful-Accent2">
    <w:name w:val="List Table 7 Colorful Accent 2"/>
    <w:basedOn w:val="TableNormal"/>
    <w:uiPriority w:val="52"/>
    <w:rsid w:val="00687316"/>
    <w:pPr>
      <w:spacing w:after="0" w:line="240" w:lineRule="auto"/>
    </w:pPr>
    <w:rPr>
      <w:color w:val="c45911" w:themeColor="accent2"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ed7d31" w:space="0" w:sz="4" w:themeColor="accent2"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ed7d31" w:space="0" w:sz="4" w:themeColor="accent2"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ed7d31" w:space="0" w:sz="4" w:themeColor="accent2"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ed7d31" w:space="0" w:sz="4" w:themeColor="accent2" w:val="single"/>
        </w:tcBorders>
        <w:shd w:color="auto" w:fill="ffffff" w:themeFill="background1" w:val="clear"/>
      </w:tcPr>
    </w:tblStylePr>
    <w:tblStylePr w:type="band1Vert">
      <w:tblPr/>
      <w:tcPr>
        <w:shd w:color="auto" w:fill="fbe4d5" w:themeFill="accent2" w:themeFillTint="000033" w:val="clear"/>
      </w:tcPr>
    </w:tblStylePr>
    <w:tblStylePr w:type="band1Horz">
      <w:tblPr/>
      <w:tcPr>
        <w:shd w:color="auto" w:fill="fbe4d5" w:themeFill="accent2"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Table7Colorful-Accent3">
    <w:name w:val="List Table 7 Colorful Accent 3"/>
    <w:basedOn w:val="TableNormal"/>
    <w:uiPriority w:val="52"/>
    <w:rsid w:val="00687316"/>
    <w:pPr>
      <w:spacing w:after="0" w:line="240" w:lineRule="auto"/>
    </w:pPr>
    <w:rPr>
      <w:color w:val="7b7b7b" w:themeColor="accent3"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a5a5a5" w:space="0" w:sz="4" w:themeColor="accent3"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a5a5a5" w:space="0" w:sz="4" w:themeColor="accent3"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a5a5a5" w:space="0" w:sz="4" w:themeColor="accent3"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a5a5a5" w:space="0" w:sz="4" w:themeColor="accent3" w:val="single"/>
        </w:tcBorders>
        <w:shd w:color="auto" w:fill="ffffff" w:themeFill="background1" w:val="clear"/>
      </w:tc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Table7Colorful-Accent4">
    <w:name w:val="List Table 7 Colorful Accent 4"/>
    <w:basedOn w:val="TableNormal"/>
    <w:uiPriority w:val="52"/>
    <w:rsid w:val="00687316"/>
    <w:pPr>
      <w:spacing w:after="0" w:line="240" w:lineRule="auto"/>
    </w:pPr>
    <w:rPr>
      <w:color w:val="bf8f00" w:themeColor="accent4"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ffc000" w:space="0" w:sz="4" w:themeColor="accent4"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ffc000" w:space="0" w:sz="4" w:themeColor="accent4"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ffc000" w:space="0" w:sz="4" w:themeColor="accent4"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ffc000" w:space="0" w:sz="4" w:themeColor="accent4" w:val="single"/>
        </w:tcBorders>
        <w:shd w:color="auto" w:fill="ffffff" w:themeFill="background1" w:val="clear"/>
      </w:tc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Table7Colorful-Accent5">
    <w:name w:val="List Table 7 Colorful Accent 5"/>
    <w:basedOn w:val="TableNormal"/>
    <w:uiPriority w:val="52"/>
    <w:rsid w:val="00687316"/>
    <w:pPr>
      <w:spacing w:after="0" w:line="240" w:lineRule="auto"/>
    </w:pPr>
    <w:rPr>
      <w:color w:val="2e74b5" w:themeColor="accent5"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5b9bd5" w:space="0" w:sz="4" w:themeColor="accent5"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5b9bd5" w:space="0" w:sz="4" w:themeColor="accent5"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5b9bd5" w:space="0" w:sz="4" w:themeColor="accent5"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5b9bd5" w:space="0" w:sz="4" w:themeColor="accent5" w:val="single"/>
        </w:tcBorders>
        <w:shd w:color="auto" w:fill="ffffff" w:themeFill="background1" w:val="clear"/>
      </w:tcPr>
    </w:tblStylePr>
    <w:tblStylePr w:type="band1Vert">
      <w:tblPr/>
      <w:tcPr>
        <w:shd w:color="auto" w:fill="deeaf6" w:themeFill="accent5" w:themeFillTint="000033" w:val="clear"/>
      </w:tcPr>
    </w:tblStylePr>
    <w:tblStylePr w:type="band1Horz">
      <w:tblPr/>
      <w:tcPr>
        <w:shd w:color="auto" w:fill="deeaf6" w:themeFill="accent5"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Table7Colorful-Accent6">
    <w:name w:val="List Table 7 Colorful Accent 6"/>
    <w:basedOn w:val="TableNormal"/>
    <w:uiPriority w:val="52"/>
    <w:rsid w:val="00687316"/>
    <w:pPr>
      <w:spacing w:after="0" w:line="240" w:lineRule="auto"/>
    </w:pPr>
    <w:rPr>
      <w:color w:val="538135" w:themeColor="accent6"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70ad47" w:space="0" w:sz="4" w:themeColor="accent6"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70ad47" w:space="0" w:sz="4" w:themeColor="accent6"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70ad47" w:space="0" w:sz="4" w:themeColor="accent6"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70ad47" w:space="0" w:sz="4" w:themeColor="accent6" w:val="single"/>
        </w:tcBorders>
        <w:shd w:color="auto" w:fill="ffffff" w:themeFill="background1" w:val="clear"/>
      </w:tcPr>
    </w:tblStylePr>
    <w:tblStylePr w:type="band1Vert">
      <w:tblPr/>
      <w:tcPr>
        <w:shd w:color="auto" w:fill="e2efd9" w:themeFill="accent6" w:themeFillTint="000033" w:val="clear"/>
      </w:tcPr>
    </w:tblStylePr>
    <w:tblStylePr w:type="band1Horz">
      <w:tblPr/>
      <w:tcPr>
        <w:shd w:color="auto" w:fill="e2efd9" w:themeFill="accent6"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paragraph" w:styleId="MacroText">
    <w:name w:val="macro"/>
    <w:link w:val="MacroTextChar"/>
    <w:uiPriority w:val="99"/>
    <w:semiHidden w:val="1"/>
    <w:unhideWhenUsed w:val="1"/>
    <w:rsid w:val="0068731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lang w:val="en-GB"/>
    </w:rPr>
  </w:style>
  <w:style w:type="character" w:styleId="MacroTextChar" w:customStyle="1">
    <w:name w:val="Macro Text Char"/>
    <w:basedOn w:val="DefaultParagraphFont"/>
    <w:link w:val="MacroText"/>
    <w:uiPriority w:val="99"/>
    <w:semiHidden w:val="1"/>
    <w:rsid w:val="00687316"/>
    <w:rPr>
      <w:rFonts w:ascii="Consolas" w:hAnsi="Consolas"/>
      <w:sz w:val="20"/>
      <w:szCs w:val="20"/>
      <w:lang w:val="en-GB"/>
    </w:rPr>
  </w:style>
  <w:style w:type="table" w:styleId="MediumGrid1">
    <w:name w:val="Medium Grid 1"/>
    <w:basedOn w:val="TableNormal"/>
    <w:uiPriority w:val="67"/>
    <w:semiHidden w:val="1"/>
    <w:unhideWhenUsed w:val="1"/>
    <w:rsid w:val="00687316"/>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semiHidden w:val="1"/>
    <w:unhideWhenUsed w:val="1"/>
    <w:rsid w:val="00687316"/>
    <w:pPr>
      <w:spacing w:after="0" w:line="240" w:lineRule="auto"/>
    </w:pPr>
    <w:tblPr>
      <w:tblStyleRowBandSize w:val="1"/>
      <w:tblStyleColBandSize w:val="1"/>
      <w:tblBorders>
        <w:top w:color="7295d2" w:space="0" w:sz="8" w:themeColor="accent1" w:themeTint="0000BF" w:val="single"/>
        <w:left w:color="7295d2" w:space="0" w:sz="8" w:themeColor="accent1" w:themeTint="0000BF" w:val="single"/>
        <w:bottom w:color="7295d2" w:space="0" w:sz="8" w:themeColor="accent1" w:themeTint="0000BF" w:val="single"/>
        <w:right w:color="7295d2" w:space="0" w:sz="8" w:themeColor="accent1" w:themeTint="0000BF" w:val="single"/>
        <w:insideH w:color="7295d2" w:space="0" w:sz="8" w:themeColor="accent1" w:themeTint="0000BF" w:val="single"/>
        <w:insideV w:color="7295d2" w:space="0" w:sz="8" w:themeColor="accent1" w:themeTint="0000BF" w:val="single"/>
      </w:tblBorders>
    </w:tblPr>
    <w:tcPr>
      <w:shd w:color="auto" w:fill="d0dbf0" w:themeFill="accent1" w:themeFillTint="00003F" w:val="clear"/>
    </w:tcPr>
    <w:tblStylePr w:type="firstRow">
      <w:rPr>
        <w:b w:val="1"/>
        <w:bCs w:val="1"/>
      </w:rPr>
    </w:tblStylePr>
    <w:tblStylePr w:type="lastRow">
      <w:rPr>
        <w:b w:val="1"/>
        <w:bCs w:val="1"/>
      </w:rPr>
      <w:tblPr/>
      <w:tcPr>
        <w:tcBorders>
          <w:top w:color="7295d2"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1b8e1" w:themeFill="accent1" w:themeFillTint="00007F" w:val="clear"/>
      </w:tcPr>
    </w:tblStylePr>
    <w:tblStylePr w:type="band1Horz">
      <w:tblPr/>
      <w:tcPr>
        <w:shd w:color="auto" w:fill="a1b8e1" w:themeFill="accent1" w:themeFillTint="00007F" w:val="clear"/>
      </w:tcPr>
    </w:tblStylePr>
  </w:style>
  <w:style w:type="table" w:styleId="MediumGrid1-Accent2">
    <w:name w:val="Medium Grid 1 Accent 2"/>
    <w:basedOn w:val="TableNormal"/>
    <w:uiPriority w:val="67"/>
    <w:semiHidden w:val="1"/>
    <w:unhideWhenUsed w:val="1"/>
    <w:rsid w:val="00687316"/>
    <w:pPr>
      <w:spacing w:after="0" w:line="240" w:lineRule="auto"/>
    </w:pPr>
    <w:tblPr>
      <w:tblStyleRowBandSize w:val="1"/>
      <w:tblStyleColBandSize w:val="1"/>
      <w:tblBorders>
        <w:top w:color="f19d64" w:space="0" w:sz="8" w:themeColor="accent2" w:themeTint="0000BF" w:val="single"/>
        <w:left w:color="f19d64" w:space="0" w:sz="8" w:themeColor="accent2" w:themeTint="0000BF" w:val="single"/>
        <w:bottom w:color="f19d64" w:space="0" w:sz="8" w:themeColor="accent2" w:themeTint="0000BF" w:val="single"/>
        <w:right w:color="f19d64" w:space="0" w:sz="8" w:themeColor="accent2" w:themeTint="0000BF" w:val="single"/>
        <w:insideH w:color="f19d64" w:space="0" w:sz="8" w:themeColor="accent2" w:themeTint="0000BF" w:val="single"/>
        <w:insideV w:color="f19d64" w:space="0" w:sz="8" w:themeColor="accent2" w:themeTint="0000BF" w:val="single"/>
      </w:tblBorders>
    </w:tblPr>
    <w:tcPr>
      <w:shd w:color="auto" w:fill="fadecb" w:themeFill="accent2" w:themeFillTint="00003F" w:val="clear"/>
    </w:tcPr>
    <w:tblStylePr w:type="firstRow">
      <w:rPr>
        <w:b w:val="1"/>
        <w:bCs w:val="1"/>
      </w:rPr>
    </w:tblStylePr>
    <w:tblStylePr w:type="lastRow">
      <w:rPr>
        <w:b w:val="1"/>
        <w:bCs w:val="1"/>
      </w:rPr>
      <w:tblPr/>
      <w:tcPr>
        <w:tcBorders>
          <w:top w:color="f19d64"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f6be98" w:themeFill="accent2" w:themeFillTint="00007F" w:val="clear"/>
      </w:tcPr>
    </w:tblStylePr>
    <w:tblStylePr w:type="band1Horz">
      <w:tblPr/>
      <w:tcPr>
        <w:shd w:color="auto" w:fill="f6be98" w:themeFill="accent2" w:themeFillTint="00007F" w:val="clear"/>
      </w:tcPr>
    </w:tblStylePr>
  </w:style>
  <w:style w:type="table" w:styleId="MediumGrid1-Accent3">
    <w:name w:val="Medium Grid 1 Accent 3"/>
    <w:basedOn w:val="TableNormal"/>
    <w:uiPriority w:val="67"/>
    <w:semiHidden w:val="1"/>
    <w:unhideWhenUsed w:val="1"/>
    <w:rsid w:val="00687316"/>
    <w:pPr>
      <w:spacing w:after="0" w:line="240" w:lineRule="auto"/>
    </w:pPr>
    <w:tblPr>
      <w:tblStyleRowBandSize w:val="1"/>
      <w:tblStyleColBandSize w:val="1"/>
      <w:tblBorders>
        <w:top w:color="bbbbbb" w:space="0" w:sz="8" w:themeColor="accent3" w:themeTint="0000BF" w:val="single"/>
        <w:left w:color="bbbbbb" w:space="0" w:sz="8" w:themeColor="accent3" w:themeTint="0000BF" w:val="single"/>
        <w:bottom w:color="bbbbbb" w:space="0" w:sz="8" w:themeColor="accent3" w:themeTint="0000BF" w:val="single"/>
        <w:right w:color="bbbbbb" w:space="0" w:sz="8" w:themeColor="accent3" w:themeTint="0000BF" w:val="single"/>
        <w:insideH w:color="bbbbbb" w:space="0" w:sz="8" w:themeColor="accent3" w:themeTint="0000BF" w:val="single"/>
        <w:insideV w:color="bbbbbb" w:space="0" w:sz="8" w:themeColor="accent3" w:themeTint="0000BF" w:val="single"/>
      </w:tblBorders>
    </w:tblPr>
    <w:tcPr>
      <w:shd w:color="auto" w:fill="e8e8e8" w:themeFill="accent3" w:themeFillTint="00003F" w:val="clear"/>
    </w:tcPr>
    <w:tblStylePr w:type="firstRow">
      <w:rPr>
        <w:b w:val="1"/>
        <w:bCs w:val="1"/>
      </w:rPr>
    </w:tblStylePr>
    <w:tblStylePr w:type="lastRow">
      <w:rPr>
        <w:b w:val="1"/>
        <w:bCs w:val="1"/>
      </w:rPr>
      <w:tblPr/>
      <w:tcPr>
        <w:tcBorders>
          <w:top w:color="bbbbbb"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d2d2d2" w:themeFill="accent3" w:themeFillTint="00007F" w:val="clear"/>
      </w:tcPr>
    </w:tblStylePr>
    <w:tblStylePr w:type="band1Horz">
      <w:tblPr/>
      <w:tcPr>
        <w:shd w:color="auto" w:fill="d2d2d2" w:themeFill="accent3" w:themeFillTint="00007F" w:val="clear"/>
      </w:tcPr>
    </w:tblStylePr>
  </w:style>
  <w:style w:type="table" w:styleId="MediumGrid1-Accent4">
    <w:name w:val="Medium Grid 1 Accent 4"/>
    <w:basedOn w:val="TableNormal"/>
    <w:uiPriority w:val="67"/>
    <w:semiHidden w:val="1"/>
    <w:unhideWhenUsed w:val="1"/>
    <w:rsid w:val="00687316"/>
    <w:pPr>
      <w:spacing w:after="0" w:line="240" w:lineRule="auto"/>
    </w:pPr>
    <w:tblPr>
      <w:tblStyleRowBandSize w:val="1"/>
      <w:tblStyleColBandSize w:val="1"/>
      <w:tblBorders>
        <w:top w:color="ffcf40" w:space="0" w:sz="8" w:themeColor="accent4" w:themeTint="0000BF" w:val="single"/>
        <w:left w:color="ffcf40" w:space="0" w:sz="8" w:themeColor="accent4" w:themeTint="0000BF" w:val="single"/>
        <w:bottom w:color="ffcf40" w:space="0" w:sz="8" w:themeColor="accent4" w:themeTint="0000BF" w:val="single"/>
        <w:right w:color="ffcf40" w:space="0" w:sz="8" w:themeColor="accent4" w:themeTint="0000BF" w:val="single"/>
        <w:insideH w:color="ffcf40" w:space="0" w:sz="8" w:themeColor="accent4" w:themeTint="0000BF" w:val="single"/>
        <w:insideV w:color="ffcf40" w:space="0" w:sz="8" w:themeColor="accent4" w:themeTint="0000BF" w:val="single"/>
      </w:tblBorders>
    </w:tblPr>
    <w:tcPr>
      <w:shd w:color="auto" w:fill="ffefc0" w:themeFill="accent4" w:themeFillTint="00003F" w:val="clear"/>
    </w:tcPr>
    <w:tblStylePr w:type="firstRow">
      <w:rPr>
        <w:b w:val="1"/>
        <w:bCs w:val="1"/>
      </w:rPr>
    </w:tblStylePr>
    <w:tblStylePr w:type="lastRow">
      <w:rPr>
        <w:b w:val="1"/>
        <w:bCs w:val="1"/>
      </w:rPr>
      <w:tblPr/>
      <w:tcPr>
        <w:tcBorders>
          <w:top w:color="ffcf40"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ffdf80" w:themeFill="accent4" w:themeFillTint="00007F" w:val="clear"/>
      </w:tcPr>
    </w:tblStylePr>
    <w:tblStylePr w:type="band1Horz">
      <w:tblPr/>
      <w:tcPr>
        <w:shd w:color="auto" w:fill="ffdf80" w:themeFill="accent4" w:themeFillTint="00007F" w:val="clear"/>
      </w:tcPr>
    </w:tblStylePr>
  </w:style>
  <w:style w:type="table" w:styleId="MediumGrid1-Accent5">
    <w:name w:val="Medium Grid 1 Accent 5"/>
    <w:basedOn w:val="TableNormal"/>
    <w:uiPriority w:val="67"/>
    <w:semiHidden w:val="1"/>
    <w:unhideWhenUsed w:val="1"/>
    <w:rsid w:val="00687316"/>
    <w:pPr>
      <w:spacing w:after="0" w:line="240" w:lineRule="auto"/>
    </w:pPr>
    <w:tblPr>
      <w:tblStyleRowBandSize w:val="1"/>
      <w:tblStyleColBandSize w:val="1"/>
      <w:tblBorders>
        <w:top w:color="84b3df" w:space="0" w:sz="8" w:themeColor="accent5" w:themeTint="0000BF" w:val="single"/>
        <w:left w:color="84b3df" w:space="0" w:sz="8" w:themeColor="accent5" w:themeTint="0000BF" w:val="single"/>
        <w:bottom w:color="84b3df" w:space="0" w:sz="8" w:themeColor="accent5" w:themeTint="0000BF" w:val="single"/>
        <w:right w:color="84b3df" w:space="0" w:sz="8" w:themeColor="accent5" w:themeTint="0000BF" w:val="single"/>
        <w:insideH w:color="84b3df" w:space="0" w:sz="8" w:themeColor="accent5" w:themeTint="0000BF" w:val="single"/>
        <w:insideV w:color="84b3df" w:space="0" w:sz="8" w:themeColor="accent5" w:themeTint="0000BF" w:val="single"/>
      </w:tblBorders>
    </w:tblPr>
    <w:tcPr>
      <w:shd w:color="auto" w:fill="d6e6f4" w:themeFill="accent5" w:themeFillTint="00003F" w:val="clear"/>
    </w:tcPr>
    <w:tblStylePr w:type="firstRow">
      <w:rPr>
        <w:b w:val="1"/>
        <w:bCs w:val="1"/>
      </w:rPr>
    </w:tblStylePr>
    <w:tblStylePr w:type="lastRow">
      <w:rPr>
        <w:b w:val="1"/>
        <w:bCs w:val="1"/>
      </w:rPr>
      <w:tblPr/>
      <w:tcPr>
        <w:tcBorders>
          <w:top w:color="84b3df"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dccea" w:themeFill="accent5" w:themeFillTint="00007F" w:val="clear"/>
      </w:tcPr>
    </w:tblStylePr>
    <w:tblStylePr w:type="band1Horz">
      <w:tblPr/>
      <w:tcPr>
        <w:shd w:color="auto" w:fill="adccea" w:themeFill="accent5" w:themeFillTint="00007F" w:val="clear"/>
      </w:tcPr>
    </w:tblStylePr>
  </w:style>
  <w:style w:type="table" w:styleId="MediumGrid1-Accent6">
    <w:name w:val="Medium Grid 1 Accent 6"/>
    <w:basedOn w:val="TableNormal"/>
    <w:uiPriority w:val="67"/>
    <w:semiHidden w:val="1"/>
    <w:unhideWhenUsed w:val="1"/>
    <w:rsid w:val="00687316"/>
    <w:pPr>
      <w:spacing w:after="0" w:line="240" w:lineRule="auto"/>
    </w:pPr>
    <w:tblPr>
      <w:tblStyleRowBandSize w:val="1"/>
      <w:tblStyleColBandSize w:val="1"/>
      <w:tblBorders>
        <w:top w:color="93c571" w:space="0" w:sz="8" w:themeColor="accent6" w:themeTint="0000BF" w:val="single"/>
        <w:left w:color="93c571" w:space="0" w:sz="8" w:themeColor="accent6" w:themeTint="0000BF" w:val="single"/>
        <w:bottom w:color="93c571" w:space="0" w:sz="8" w:themeColor="accent6" w:themeTint="0000BF" w:val="single"/>
        <w:right w:color="93c571" w:space="0" w:sz="8" w:themeColor="accent6" w:themeTint="0000BF" w:val="single"/>
        <w:insideH w:color="93c571" w:space="0" w:sz="8" w:themeColor="accent6" w:themeTint="0000BF" w:val="single"/>
        <w:insideV w:color="93c571" w:space="0" w:sz="8" w:themeColor="accent6" w:themeTint="0000BF" w:val="single"/>
      </w:tblBorders>
    </w:tblPr>
    <w:tcPr>
      <w:shd w:color="auto" w:fill="dbebd0" w:themeFill="accent6" w:themeFillTint="00003F" w:val="clear"/>
    </w:tcPr>
    <w:tblStylePr w:type="firstRow">
      <w:rPr>
        <w:b w:val="1"/>
        <w:bCs w:val="1"/>
      </w:rPr>
    </w:tblStylePr>
    <w:tblStylePr w:type="lastRow">
      <w:rPr>
        <w:b w:val="1"/>
        <w:bCs w:val="1"/>
      </w:rPr>
      <w:tblPr/>
      <w:tcPr>
        <w:tcBorders>
          <w:top w:color="93c571"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b7d8a0" w:themeFill="accent6" w:themeFillTint="00007F" w:val="clear"/>
      </w:tcPr>
    </w:tblStylePr>
    <w:tblStylePr w:type="band1Horz">
      <w:tblPr/>
      <w:tcPr>
        <w:shd w:color="auto" w:fill="b7d8a0" w:themeFill="accent6" w:themeFillTint="00007F" w:val="clear"/>
      </w:tcPr>
    </w:tblStylePr>
  </w:style>
  <w:style w:type="table" w:styleId="MediumGrid2">
    <w:name w:val="Medium Grid 2"/>
    <w:basedOn w:val="TableNormal"/>
    <w:uiPriority w:val="68"/>
    <w:semiHidden w:val="1"/>
    <w:unhideWhenUsed w:val="1"/>
    <w:rsid w:val="00687316"/>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semiHidden w:val="1"/>
    <w:unhideWhenUsed w:val="1"/>
    <w:rsid w:val="00687316"/>
    <w:pPr>
      <w:spacing w:after="0" w:line="240" w:lineRule="auto"/>
    </w:pPr>
    <w:rPr>
      <w:rFonts w:asciiTheme="majorHAnsi" w:cstheme="majorBidi" w:eastAsiaTheme="majorEastAsia" w:hAnsiTheme="majorHAnsi"/>
      <w:color w:val="000000" w:themeColor="text1"/>
    </w:rPr>
    <w:tblPr>
      <w:tblStyleRowBandSize w:val="1"/>
      <w:tblStyleColBandSize w:val="1"/>
      <w:tblBorders>
        <w:top w:color="4472c4" w:space="0" w:sz="8" w:themeColor="accent1" w:val="single"/>
        <w:left w:color="4472c4" w:space="0" w:sz="8" w:themeColor="accent1" w:val="single"/>
        <w:bottom w:color="4472c4" w:space="0" w:sz="8" w:themeColor="accent1" w:val="single"/>
        <w:right w:color="4472c4" w:space="0" w:sz="8" w:themeColor="accent1" w:val="single"/>
        <w:insideH w:color="4472c4" w:space="0" w:sz="8" w:themeColor="accent1" w:val="single"/>
        <w:insideV w:color="4472c4" w:space="0" w:sz="8" w:themeColor="accent1" w:val="single"/>
      </w:tblBorders>
    </w:tblPr>
    <w:tcPr>
      <w:shd w:color="auto" w:fill="d0dbf0" w:themeFill="accent1" w:themeFillTint="00003F" w:val="clear"/>
    </w:tcPr>
    <w:tblStylePr w:type="firstRow">
      <w:rPr>
        <w:b w:val="1"/>
        <w:bCs w:val="1"/>
        <w:color w:val="000000" w:themeColor="text1"/>
      </w:rPr>
      <w:tblPr/>
      <w:tcPr>
        <w:shd w:color="auto" w:fill="ecf1f9"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9e2f3" w:themeFill="accent1" w:themeFillTint="000033" w:val="clear"/>
      </w:tcPr>
    </w:tblStylePr>
    <w:tblStylePr w:type="band1Vert">
      <w:tblPr/>
      <w:tcPr>
        <w:shd w:color="auto" w:fill="a1b8e1" w:themeFill="accent1" w:themeFillTint="00007F" w:val="clear"/>
      </w:tcPr>
    </w:tblStylePr>
    <w:tblStylePr w:type="band1Horz">
      <w:tblPr/>
      <w:tcPr>
        <w:tcBorders>
          <w:insideH w:color="4472c4" w:space="0" w:sz="6" w:themeColor="accent1" w:val="single"/>
          <w:insideV w:color="4472c4" w:space="0" w:sz="6" w:themeColor="accent1" w:val="single"/>
        </w:tcBorders>
        <w:shd w:color="auto" w:fill="a1b8e1"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semiHidden w:val="1"/>
    <w:unhideWhenUsed w:val="1"/>
    <w:rsid w:val="00687316"/>
    <w:pPr>
      <w:spacing w:after="0" w:line="240" w:lineRule="auto"/>
    </w:pPr>
    <w:rPr>
      <w:rFonts w:asciiTheme="majorHAnsi" w:cstheme="majorBidi" w:eastAsiaTheme="majorEastAsia" w:hAnsiTheme="majorHAnsi"/>
      <w:color w:val="000000" w:themeColor="text1"/>
    </w:rPr>
    <w:tblPr>
      <w:tblStyleRowBandSize w:val="1"/>
      <w:tblStyleColBandSize w:val="1"/>
      <w:tblBorders>
        <w:top w:color="ed7d31" w:space="0" w:sz="8" w:themeColor="accent2" w:val="single"/>
        <w:left w:color="ed7d31" w:space="0" w:sz="8" w:themeColor="accent2" w:val="single"/>
        <w:bottom w:color="ed7d31" w:space="0" w:sz="8" w:themeColor="accent2" w:val="single"/>
        <w:right w:color="ed7d31" w:space="0" w:sz="8" w:themeColor="accent2" w:val="single"/>
        <w:insideH w:color="ed7d31" w:space="0" w:sz="8" w:themeColor="accent2" w:val="single"/>
        <w:insideV w:color="ed7d31" w:space="0" w:sz="8" w:themeColor="accent2" w:val="single"/>
      </w:tblBorders>
    </w:tblPr>
    <w:tcPr>
      <w:shd w:color="auto" w:fill="fadecb" w:themeFill="accent2" w:themeFillTint="00003F" w:val="clear"/>
    </w:tcPr>
    <w:tblStylePr w:type="firstRow">
      <w:rPr>
        <w:b w:val="1"/>
        <w:bCs w:val="1"/>
        <w:color w:val="000000" w:themeColor="text1"/>
      </w:rPr>
      <w:tblPr/>
      <w:tcPr>
        <w:shd w:color="auto" w:fill="fdf2ea"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be4d5" w:themeFill="accent2" w:themeFillTint="000033" w:val="clear"/>
      </w:tcPr>
    </w:tblStylePr>
    <w:tblStylePr w:type="band1Vert">
      <w:tblPr/>
      <w:tcPr>
        <w:shd w:color="auto" w:fill="f6be98" w:themeFill="accent2" w:themeFillTint="00007F" w:val="clear"/>
      </w:tcPr>
    </w:tblStylePr>
    <w:tblStylePr w:type="band1Horz">
      <w:tblPr/>
      <w:tcPr>
        <w:tcBorders>
          <w:insideH w:color="ed7d31" w:space="0" w:sz="6" w:themeColor="accent2" w:val="single"/>
          <w:insideV w:color="ed7d31" w:space="0" w:sz="6" w:themeColor="accent2" w:val="single"/>
        </w:tcBorders>
        <w:shd w:color="auto" w:fill="f6be98"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semiHidden w:val="1"/>
    <w:unhideWhenUsed w:val="1"/>
    <w:rsid w:val="00687316"/>
    <w:pPr>
      <w:spacing w:after="0" w:line="240" w:lineRule="auto"/>
    </w:pPr>
    <w:rPr>
      <w:rFonts w:asciiTheme="majorHAnsi" w:cstheme="majorBidi" w:eastAsiaTheme="majorEastAsia" w:hAnsiTheme="majorHAnsi"/>
      <w:color w:val="000000" w:themeColor="text1"/>
    </w:rPr>
    <w:tblPr>
      <w:tblStyleRowBandSize w:val="1"/>
      <w:tblStyleColBandSize w:val="1"/>
      <w:tblBorders>
        <w:top w:color="a5a5a5" w:space="0" w:sz="8" w:themeColor="accent3" w:val="single"/>
        <w:left w:color="a5a5a5" w:space="0" w:sz="8" w:themeColor="accent3" w:val="single"/>
        <w:bottom w:color="a5a5a5" w:space="0" w:sz="8" w:themeColor="accent3" w:val="single"/>
        <w:right w:color="a5a5a5" w:space="0" w:sz="8" w:themeColor="accent3" w:val="single"/>
        <w:insideH w:color="a5a5a5" w:space="0" w:sz="8" w:themeColor="accent3" w:val="single"/>
        <w:insideV w:color="a5a5a5" w:space="0" w:sz="8" w:themeColor="accent3" w:val="single"/>
      </w:tblBorders>
    </w:tblPr>
    <w:tcPr>
      <w:shd w:color="auto" w:fill="e8e8e8" w:themeFill="accent3" w:themeFillTint="00003F" w:val="clear"/>
    </w:tcPr>
    <w:tblStylePr w:type="firstRow">
      <w:rPr>
        <w:b w:val="1"/>
        <w:bCs w:val="1"/>
        <w:color w:val="000000" w:themeColor="text1"/>
      </w:rPr>
      <w:tblPr/>
      <w:tcPr>
        <w:shd w:color="auto" w:fill="f6f6f6"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deded" w:themeFill="accent3" w:themeFillTint="000033" w:val="clear"/>
      </w:tcPr>
    </w:tblStylePr>
    <w:tblStylePr w:type="band1Vert">
      <w:tblPr/>
      <w:tcPr>
        <w:shd w:color="auto" w:fill="d2d2d2" w:themeFill="accent3" w:themeFillTint="00007F" w:val="clear"/>
      </w:tcPr>
    </w:tblStylePr>
    <w:tblStylePr w:type="band1Horz">
      <w:tblPr/>
      <w:tcPr>
        <w:tcBorders>
          <w:insideH w:color="a5a5a5" w:space="0" w:sz="6" w:themeColor="accent3" w:val="single"/>
          <w:insideV w:color="a5a5a5" w:space="0" w:sz="6" w:themeColor="accent3" w:val="single"/>
        </w:tcBorders>
        <w:shd w:color="auto" w:fill="d2d2d2"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semiHidden w:val="1"/>
    <w:unhideWhenUsed w:val="1"/>
    <w:rsid w:val="00687316"/>
    <w:pPr>
      <w:spacing w:after="0" w:line="240" w:lineRule="auto"/>
    </w:pPr>
    <w:rPr>
      <w:rFonts w:asciiTheme="majorHAnsi" w:cstheme="majorBidi" w:eastAsiaTheme="majorEastAsia" w:hAnsiTheme="majorHAnsi"/>
      <w:color w:val="000000" w:themeColor="text1"/>
    </w:rPr>
    <w:tblPr>
      <w:tblStyleRowBandSize w:val="1"/>
      <w:tblStyleColBandSize w:val="1"/>
      <w:tblBorders>
        <w:top w:color="ffc000" w:space="0" w:sz="8" w:themeColor="accent4" w:val="single"/>
        <w:left w:color="ffc000" w:space="0" w:sz="8" w:themeColor="accent4" w:val="single"/>
        <w:bottom w:color="ffc000" w:space="0" w:sz="8" w:themeColor="accent4" w:val="single"/>
        <w:right w:color="ffc000" w:space="0" w:sz="8" w:themeColor="accent4" w:val="single"/>
        <w:insideH w:color="ffc000" w:space="0" w:sz="8" w:themeColor="accent4" w:val="single"/>
        <w:insideV w:color="ffc000" w:space="0" w:sz="8" w:themeColor="accent4" w:val="single"/>
      </w:tblBorders>
    </w:tblPr>
    <w:tcPr>
      <w:shd w:color="auto" w:fill="ffefc0" w:themeFill="accent4" w:themeFillTint="00003F" w:val="clear"/>
    </w:tcPr>
    <w:tblStylePr w:type="firstRow">
      <w:rPr>
        <w:b w:val="1"/>
        <w:bCs w:val="1"/>
        <w:color w:val="000000" w:themeColor="text1"/>
      </w:rPr>
      <w:tblPr/>
      <w:tcPr>
        <w:shd w:color="auto" w:fill="fff8e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ff2cc" w:themeFill="accent4" w:themeFillTint="000033" w:val="clear"/>
      </w:tcPr>
    </w:tblStylePr>
    <w:tblStylePr w:type="band1Vert">
      <w:tblPr/>
      <w:tcPr>
        <w:shd w:color="auto" w:fill="ffdf80" w:themeFill="accent4" w:themeFillTint="00007F" w:val="clear"/>
      </w:tcPr>
    </w:tblStylePr>
    <w:tblStylePr w:type="band1Horz">
      <w:tblPr/>
      <w:tcPr>
        <w:tcBorders>
          <w:insideH w:color="ffc000" w:space="0" w:sz="6" w:themeColor="accent4" w:val="single"/>
          <w:insideV w:color="ffc000" w:space="0" w:sz="6" w:themeColor="accent4" w:val="single"/>
        </w:tcBorders>
        <w:shd w:color="auto" w:fill="ffdf8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semiHidden w:val="1"/>
    <w:unhideWhenUsed w:val="1"/>
    <w:rsid w:val="00687316"/>
    <w:pPr>
      <w:spacing w:after="0" w:line="240" w:lineRule="auto"/>
    </w:pPr>
    <w:rPr>
      <w:rFonts w:asciiTheme="majorHAnsi" w:cstheme="majorBidi" w:eastAsiaTheme="majorEastAsia" w:hAnsiTheme="majorHAnsi"/>
      <w:color w:val="000000" w:themeColor="text1"/>
    </w:rPr>
    <w:tblPr>
      <w:tblStyleRowBandSize w:val="1"/>
      <w:tblStyleColBandSize w:val="1"/>
      <w:tblBorders>
        <w:top w:color="5b9bd5" w:space="0" w:sz="8" w:themeColor="accent5" w:val="single"/>
        <w:left w:color="5b9bd5" w:space="0" w:sz="8" w:themeColor="accent5" w:val="single"/>
        <w:bottom w:color="5b9bd5" w:space="0" w:sz="8" w:themeColor="accent5" w:val="single"/>
        <w:right w:color="5b9bd5" w:space="0" w:sz="8" w:themeColor="accent5" w:val="single"/>
        <w:insideH w:color="5b9bd5" w:space="0" w:sz="8" w:themeColor="accent5" w:val="single"/>
        <w:insideV w:color="5b9bd5" w:space="0" w:sz="8" w:themeColor="accent5" w:val="single"/>
      </w:tblBorders>
    </w:tblPr>
    <w:tcPr>
      <w:shd w:color="auto" w:fill="d6e6f4" w:themeFill="accent5" w:themeFillTint="00003F" w:val="clear"/>
    </w:tcPr>
    <w:tblStylePr w:type="firstRow">
      <w:rPr>
        <w:b w:val="1"/>
        <w:bCs w:val="1"/>
        <w:color w:val="000000" w:themeColor="text1"/>
      </w:rPr>
      <w:tblPr/>
      <w:tcPr>
        <w:shd w:color="auto" w:fill="eef5fb"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eeaf6" w:themeFill="accent5" w:themeFillTint="000033" w:val="clear"/>
      </w:tcPr>
    </w:tblStylePr>
    <w:tblStylePr w:type="band1Vert">
      <w:tblPr/>
      <w:tcPr>
        <w:shd w:color="auto" w:fill="adccea" w:themeFill="accent5" w:themeFillTint="00007F" w:val="clear"/>
      </w:tcPr>
    </w:tblStylePr>
    <w:tblStylePr w:type="band1Horz">
      <w:tblPr/>
      <w:tcPr>
        <w:tcBorders>
          <w:insideH w:color="5b9bd5" w:space="0" w:sz="6" w:themeColor="accent5" w:val="single"/>
          <w:insideV w:color="5b9bd5" w:space="0" w:sz="6" w:themeColor="accent5" w:val="single"/>
        </w:tcBorders>
        <w:shd w:color="auto" w:fill="adccea"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semiHidden w:val="1"/>
    <w:unhideWhenUsed w:val="1"/>
    <w:rsid w:val="00687316"/>
    <w:pPr>
      <w:spacing w:after="0" w:line="240" w:lineRule="auto"/>
    </w:pPr>
    <w:rPr>
      <w:rFonts w:asciiTheme="majorHAnsi" w:cstheme="majorBidi" w:eastAsiaTheme="majorEastAsia" w:hAnsiTheme="majorHAnsi"/>
      <w:color w:val="000000" w:themeColor="text1"/>
    </w:rPr>
    <w:tblPr>
      <w:tblStyleRowBandSize w:val="1"/>
      <w:tblStyleColBandSize w:val="1"/>
      <w:tblBorders>
        <w:top w:color="70ad47" w:space="0" w:sz="8" w:themeColor="accent6" w:val="single"/>
        <w:left w:color="70ad47" w:space="0" w:sz="8" w:themeColor="accent6" w:val="single"/>
        <w:bottom w:color="70ad47" w:space="0" w:sz="8" w:themeColor="accent6" w:val="single"/>
        <w:right w:color="70ad47" w:space="0" w:sz="8" w:themeColor="accent6" w:val="single"/>
        <w:insideH w:color="70ad47" w:space="0" w:sz="8" w:themeColor="accent6" w:val="single"/>
        <w:insideV w:color="70ad47" w:space="0" w:sz="8" w:themeColor="accent6" w:val="single"/>
      </w:tblBorders>
    </w:tblPr>
    <w:tcPr>
      <w:shd w:color="auto" w:fill="dbebd0" w:themeFill="accent6" w:themeFillTint="00003F" w:val="clear"/>
    </w:tcPr>
    <w:tblStylePr w:type="firstRow">
      <w:rPr>
        <w:b w:val="1"/>
        <w:bCs w:val="1"/>
        <w:color w:val="000000" w:themeColor="text1"/>
      </w:rPr>
      <w:tblPr/>
      <w:tcPr>
        <w:shd w:color="auto" w:fill="f0f7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2efd9" w:themeFill="accent6" w:themeFillTint="000033" w:val="clear"/>
      </w:tcPr>
    </w:tblStylePr>
    <w:tblStylePr w:type="band1Vert">
      <w:tblPr/>
      <w:tcPr>
        <w:shd w:color="auto" w:fill="b7d8a0" w:themeFill="accent6" w:themeFillTint="00007F" w:val="clear"/>
      </w:tcPr>
    </w:tblStylePr>
    <w:tblStylePr w:type="band1Horz">
      <w:tblPr/>
      <w:tcPr>
        <w:tcBorders>
          <w:insideH w:color="70ad47" w:space="0" w:sz="6" w:themeColor="accent6" w:val="single"/>
          <w:insideV w:color="70ad47" w:space="0" w:sz="6" w:themeColor="accent6" w:val="single"/>
        </w:tcBorders>
        <w:shd w:color="auto" w:fill="b7d8a0"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semiHidden w:val="1"/>
    <w:unhideWhenUsed w:val="1"/>
    <w:rsid w:val="00687316"/>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semiHidden w:val="1"/>
    <w:unhideWhenUsed w:val="1"/>
    <w:rsid w:val="00687316"/>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0dbf0"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472c4"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472c4"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472c4"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472c4"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1b8e1"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1b8e1" w:themeFill="accent1" w:themeFillTint="00007F" w:val="clear"/>
      </w:tcPr>
    </w:tblStylePr>
  </w:style>
  <w:style w:type="table" w:styleId="MediumGrid3-Accent2">
    <w:name w:val="Medium Grid 3 Accent 2"/>
    <w:basedOn w:val="TableNormal"/>
    <w:uiPriority w:val="69"/>
    <w:semiHidden w:val="1"/>
    <w:unhideWhenUsed w:val="1"/>
    <w:rsid w:val="00687316"/>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adecb"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ed7d31"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ed7d31"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ed7d31"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ed7d31"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6be98"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6be98" w:themeFill="accent2" w:themeFillTint="00007F" w:val="clear"/>
      </w:tcPr>
    </w:tblStylePr>
  </w:style>
  <w:style w:type="table" w:styleId="MediumGrid3-Accent3">
    <w:name w:val="Medium Grid 3 Accent 3"/>
    <w:basedOn w:val="TableNormal"/>
    <w:uiPriority w:val="69"/>
    <w:semiHidden w:val="1"/>
    <w:unhideWhenUsed w:val="1"/>
    <w:rsid w:val="00687316"/>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8e8e8"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a5a5a5"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a5a5a5"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a5a5a5"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a5a5a5"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2d2d2"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2d2d2" w:themeFill="accent3" w:themeFillTint="00007F" w:val="clear"/>
      </w:tcPr>
    </w:tblStylePr>
  </w:style>
  <w:style w:type="table" w:styleId="MediumGrid3-Accent4">
    <w:name w:val="Medium Grid 3 Accent 4"/>
    <w:basedOn w:val="TableNormal"/>
    <w:uiPriority w:val="69"/>
    <w:semiHidden w:val="1"/>
    <w:unhideWhenUsed w:val="1"/>
    <w:rsid w:val="00687316"/>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fefc0"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fc000"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fc000"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fc000"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fc000"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fdf8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fdf80" w:themeFill="accent4" w:themeFillTint="00007F" w:val="clear"/>
      </w:tcPr>
    </w:tblStylePr>
  </w:style>
  <w:style w:type="table" w:styleId="MediumGrid3-Accent5">
    <w:name w:val="Medium Grid 3 Accent 5"/>
    <w:basedOn w:val="TableNormal"/>
    <w:uiPriority w:val="69"/>
    <w:semiHidden w:val="1"/>
    <w:unhideWhenUsed w:val="1"/>
    <w:rsid w:val="00687316"/>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6e6f4"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5b9bd5"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5b9bd5"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5b9bd5"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5b9bd5"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dccea"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dccea" w:themeFill="accent5" w:themeFillTint="00007F" w:val="clear"/>
      </w:tcPr>
    </w:tblStylePr>
  </w:style>
  <w:style w:type="table" w:styleId="MediumGrid3-Accent6">
    <w:name w:val="Medium Grid 3 Accent 6"/>
    <w:basedOn w:val="TableNormal"/>
    <w:uiPriority w:val="69"/>
    <w:semiHidden w:val="1"/>
    <w:unhideWhenUsed w:val="1"/>
    <w:rsid w:val="00687316"/>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beb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70ad47"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70ad47"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70ad47"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70ad47"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7d8a0"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7d8a0" w:themeFill="accent6" w:themeFillTint="00007F" w:val="clear"/>
      </w:tcPr>
    </w:tblStylePr>
  </w:style>
  <w:style w:type="table" w:styleId="MediumList1">
    <w:name w:val="Medium List 1"/>
    <w:basedOn w:val="TableNormal"/>
    <w:uiPriority w:val="65"/>
    <w:semiHidden w:val="1"/>
    <w:unhideWhenUsed w:val="1"/>
    <w:rsid w:val="00687316"/>
    <w:pPr>
      <w:spacing w:after="0" w:line="240" w:lineRule="auto"/>
    </w:pPr>
    <w:rPr>
      <w:color w:val="000000" w:themeColor="text1"/>
    </w:rPr>
    <w:tblPr>
      <w:tblStyleRowBandSize w:val="1"/>
      <w:tblStyleColBandSize w:val="1"/>
      <w:tblBorders>
        <w:top w:color="000000" w:space="0" w:sz="8" w:themeColor="text1" w:val="single"/>
        <w:bottom w:color="000000" w:space="0" w:sz="8" w:themeColor="text1" w:val="single"/>
      </w:tblBorders>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44546a"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semiHidden w:val="1"/>
    <w:unhideWhenUsed w:val="1"/>
    <w:rsid w:val="00687316"/>
    <w:pPr>
      <w:spacing w:after="0" w:line="240" w:lineRule="auto"/>
    </w:pPr>
    <w:rPr>
      <w:color w:val="000000" w:themeColor="text1"/>
    </w:rPr>
    <w:tblPr>
      <w:tblStyleRowBandSize w:val="1"/>
      <w:tblStyleColBandSize w:val="1"/>
      <w:tblBorders>
        <w:top w:color="4472c4" w:space="0" w:sz="8" w:themeColor="accent1" w:val="single"/>
        <w:bottom w:color="4472c4" w:space="0" w:sz="8" w:themeColor="accent1" w:val="single"/>
      </w:tblBorders>
    </w:tblPr>
    <w:tblStylePr w:type="firstRow">
      <w:rPr>
        <w:rFonts w:asciiTheme="majorHAnsi" w:cstheme="majorBidi" w:eastAsiaTheme="majorEastAsia" w:hAnsiTheme="majorHAnsi"/>
      </w:rPr>
      <w:tblPr/>
      <w:tcPr>
        <w:tcBorders>
          <w:top w:space="0" w:sz="0" w:val="nil"/>
          <w:bottom w:color="4472c4" w:space="0" w:sz="8" w:themeColor="accent1" w:val="single"/>
        </w:tcBorders>
      </w:tcPr>
    </w:tblStylePr>
    <w:tblStylePr w:type="lastRow">
      <w:rPr>
        <w:b w:val="1"/>
        <w:bCs w:val="1"/>
        <w:color w:val="44546a" w:themeColor="text2"/>
      </w:rPr>
      <w:tblPr/>
      <w:tcPr>
        <w:tcBorders>
          <w:top w:color="4472c4" w:space="0" w:sz="8" w:themeColor="accent1" w:val="single"/>
          <w:bottom w:color="4472c4" w:space="0" w:sz="8" w:themeColor="accent1" w:val="single"/>
        </w:tcBorders>
      </w:tcPr>
    </w:tblStylePr>
    <w:tblStylePr w:type="firstCol">
      <w:rPr>
        <w:b w:val="1"/>
        <w:bCs w:val="1"/>
      </w:rPr>
    </w:tblStylePr>
    <w:tblStylePr w:type="lastCol">
      <w:rPr>
        <w:b w:val="1"/>
        <w:bCs w:val="1"/>
      </w:rPr>
      <w:tblPr/>
      <w:tcPr>
        <w:tcBorders>
          <w:top w:color="4472c4" w:space="0" w:sz="8" w:themeColor="accent1" w:val="single"/>
          <w:bottom w:color="4472c4" w:space="0" w:sz="8" w:themeColor="accent1" w:val="single"/>
        </w:tcBorders>
      </w:tcPr>
    </w:tblStylePr>
    <w:tblStylePr w:type="band1Vert">
      <w:tblPr/>
      <w:tcPr>
        <w:shd w:color="auto" w:fill="d0dbf0" w:themeFill="accent1" w:themeFillTint="00003F" w:val="clear"/>
      </w:tcPr>
    </w:tblStylePr>
    <w:tblStylePr w:type="band1Horz">
      <w:tblPr/>
      <w:tcPr>
        <w:shd w:color="auto" w:fill="d0dbf0" w:themeFill="accent1" w:themeFillTint="00003F" w:val="clear"/>
      </w:tcPr>
    </w:tblStylePr>
  </w:style>
  <w:style w:type="table" w:styleId="MediumList1-Accent2">
    <w:name w:val="Medium List 1 Accent 2"/>
    <w:basedOn w:val="TableNormal"/>
    <w:uiPriority w:val="65"/>
    <w:semiHidden w:val="1"/>
    <w:unhideWhenUsed w:val="1"/>
    <w:rsid w:val="00687316"/>
    <w:pPr>
      <w:spacing w:after="0" w:line="240" w:lineRule="auto"/>
    </w:pPr>
    <w:rPr>
      <w:color w:val="000000" w:themeColor="text1"/>
    </w:rPr>
    <w:tblPr>
      <w:tblStyleRowBandSize w:val="1"/>
      <w:tblStyleColBandSize w:val="1"/>
      <w:tblBorders>
        <w:top w:color="ed7d31" w:space="0" w:sz="8" w:themeColor="accent2" w:val="single"/>
        <w:bottom w:color="ed7d31" w:space="0" w:sz="8" w:themeColor="accent2" w:val="single"/>
      </w:tblBorders>
    </w:tblPr>
    <w:tblStylePr w:type="firstRow">
      <w:rPr>
        <w:rFonts w:asciiTheme="majorHAnsi" w:cstheme="majorBidi" w:eastAsiaTheme="majorEastAsia" w:hAnsiTheme="majorHAnsi"/>
      </w:rPr>
      <w:tblPr/>
      <w:tcPr>
        <w:tcBorders>
          <w:top w:space="0" w:sz="0" w:val="nil"/>
          <w:bottom w:color="ed7d31" w:space="0" w:sz="8" w:themeColor="accent2" w:val="single"/>
        </w:tcBorders>
      </w:tcPr>
    </w:tblStylePr>
    <w:tblStylePr w:type="lastRow">
      <w:rPr>
        <w:b w:val="1"/>
        <w:bCs w:val="1"/>
        <w:color w:val="44546a" w:themeColor="text2"/>
      </w:rPr>
      <w:tblPr/>
      <w:tcPr>
        <w:tcBorders>
          <w:top w:color="ed7d31" w:space="0" w:sz="8" w:themeColor="accent2" w:val="single"/>
          <w:bottom w:color="ed7d31" w:space="0" w:sz="8" w:themeColor="accent2" w:val="single"/>
        </w:tcBorders>
      </w:tcPr>
    </w:tblStylePr>
    <w:tblStylePr w:type="firstCol">
      <w:rPr>
        <w:b w:val="1"/>
        <w:bCs w:val="1"/>
      </w:rPr>
    </w:tblStylePr>
    <w:tblStylePr w:type="lastCol">
      <w:rPr>
        <w:b w:val="1"/>
        <w:bCs w:val="1"/>
      </w:rPr>
      <w:tblPr/>
      <w:tcPr>
        <w:tcBorders>
          <w:top w:color="ed7d31" w:space="0" w:sz="8" w:themeColor="accent2" w:val="single"/>
          <w:bottom w:color="ed7d31" w:space="0" w:sz="8" w:themeColor="accent2" w:val="single"/>
        </w:tcBorders>
      </w:tcPr>
    </w:tblStylePr>
    <w:tblStylePr w:type="band1Vert">
      <w:tblPr/>
      <w:tcPr>
        <w:shd w:color="auto" w:fill="fadecb" w:themeFill="accent2" w:themeFillTint="00003F" w:val="clear"/>
      </w:tcPr>
    </w:tblStylePr>
    <w:tblStylePr w:type="band1Horz">
      <w:tblPr/>
      <w:tcPr>
        <w:shd w:color="auto" w:fill="fadecb" w:themeFill="accent2" w:themeFillTint="00003F" w:val="clear"/>
      </w:tcPr>
    </w:tblStylePr>
  </w:style>
  <w:style w:type="table" w:styleId="MediumList1-Accent3">
    <w:name w:val="Medium List 1 Accent 3"/>
    <w:basedOn w:val="TableNormal"/>
    <w:uiPriority w:val="65"/>
    <w:semiHidden w:val="1"/>
    <w:unhideWhenUsed w:val="1"/>
    <w:rsid w:val="00687316"/>
    <w:pPr>
      <w:spacing w:after="0" w:line="240" w:lineRule="auto"/>
    </w:pPr>
    <w:rPr>
      <w:color w:val="000000" w:themeColor="text1"/>
    </w:rPr>
    <w:tblPr>
      <w:tblStyleRowBandSize w:val="1"/>
      <w:tblStyleColBandSize w:val="1"/>
      <w:tblBorders>
        <w:top w:color="a5a5a5" w:space="0" w:sz="8" w:themeColor="accent3" w:val="single"/>
        <w:bottom w:color="a5a5a5" w:space="0" w:sz="8" w:themeColor="accent3" w:val="single"/>
      </w:tblBorders>
    </w:tblPr>
    <w:tblStylePr w:type="firstRow">
      <w:rPr>
        <w:rFonts w:asciiTheme="majorHAnsi" w:cstheme="majorBidi" w:eastAsiaTheme="majorEastAsia" w:hAnsiTheme="majorHAnsi"/>
      </w:rPr>
      <w:tblPr/>
      <w:tcPr>
        <w:tcBorders>
          <w:top w:space="0" w:sz="0" w:val="nil"/>
          <w:bottom w:color="a5a5a5" w:space="0" w:sz="8" w:themeColor="accent3" w:val="single"/>
        </w:tcBorders>
      </w:tcPr>
    </w:tblStylePr>
    <w:tblStylePr w:type="lastRow">
      <w:rPr>
        <w:b w:val="1"/>
        <w:bCs w:val="1"/>
        <w:color w:val="44546a" w:themeColor="text2"/>
      </w:rPr>
      <w:tblPr/>
      <w:tcPr>
        <w:tcBorders>
          <w:top w:color="a5a5a5" w:space="0" w:sz="8" w:themeColor="accent3" w:val="single"/>
          <w:bottom w:color="a5a5a5" w:space="0" w:sz="8" w:themeColor="accent3" w:val="single"/>
        </w:tcBorders>
      </w:tcPr>
    </w:tblStylePr>
    <w:tblStylePr w:type="firstCol">
      <w:rPr>
        <w:b w:val="1"/>
        <w:bCs w:val="1"/>
      </w:rPr>
    </w:tblStylePr>
    <w:tblStylePr w:type="lastCol">
      <w:rPr>
        <w:b w:val="1"/>
        <w:bCs w:val="1"/>
      </w:rPr>
      <w:tblPr/>
      <w:tcPr>
        <w:tcBorders>
          <w:top w:color="a5a5a5" w:space="0" w:sz="8" w:themeColor="accent3" w:val="single"/>
          <w:bottom w:color="a5a5a5" w:space="0" w:sz="8" w:themeColor="accent3" w:val="single"/>
        </w:tcBorders>
      </w:tcPr>
    </w:tblStylePr>
    <w:tblStylePr w:type="band1Vert">
      <w:tblPr/>
      <w:tcPr>
        <w:shd w:color="auto" w:fill="e8e8e8" w:themeFill="accent3" w:themeFillTint="00003F" w:val="clear"/>
      </w:tcPr>
    </w:tblStylePr>
    <w:tblStylePr w:type="band1Horz">
      <w:tblPr/>
      <w:tcPr>
        <w:shd w:color="auto" w:fill="e8e8e8" w:themeFill="accent3" w:themeFillTint="00003F" w:val="clear"/>
      </w:tcPr>
    </w:tblStylePr>
  </w:style>
  <w:style w:type="table" w:styleId="MediumList1-Accent4">
    <w:name w:val="Medium List 1 Accent 4"/>
    <w:basedOn w:val="TableNormal"/>
    <w:uiPriority w:val="65"/>
    <w:semiHidden w:val="1"/>
    <w:unhideWhenUsed w:val="1"/>
    <w:rsid w:val="00687316"/>
    <w:pPr>
      <w:spacing w:after="0" w:line="240" w:lineRule="auto"/>
    </w:pPr>
    <w:rPr>
      <w:color w:val="000000" w:themeColor="text1"/>
    </w:rPr>
    <w:tblPr>
      <w:tblStyleRowBandSize w:val="1"/>
      <w:tblStyleColBandSize w:val="1"/>
      <w:tblBorders>
        <w:top w:color="ffc000" w:space="0" w:sz="8" w:themeColor="accent4" w:val="single"/>
        <w:bottom w:color="ffc000" w:space="0" w:sz="8" w:themeColor="accent4" w:val="single"/>
      </w:tblBorders>
    </w:tblPr>
    <w:tblStylePr w:type="firstRow">
      <w:rPr>
        <w:rFonts w:asciiTheme="majorHAnsi" w:cstheme="majorBidi" w:eastAsiaTheme="majorEastAsia" w:hAnsiTheme="majorHAnsi"/>
      </w:rPr>
      <w:tblPr/>
      <w:tcPr>
        <w:tcBorders>
          <w:top w:space="0" w:sz="0" w:val="nil"/>
          <w:bottom w:color="ffc000" w:space="0" w:sz="8" w:themeColor="accent4" w:val="single"/>
        </w:tcBorders>
      </w:tcPr>
    </w:tblStylePr>
    <w:tblStylePr w:type="lastRow">
      <w:rPr>
        <w:b w:val="1"/>
        <w:bCs w:val="1"/>
        <w:color w:val="44546a" w:themeColor="text2"/>
      </w:rPr>
      <w:tblPr/>
      <w:tcPr>
        <w:tcBorders>
          <w:top w:color="ffc000" w:space="0" w:sz="8" w:themeColor="accent4" w:val="single"/>
          <w:bottom w:color="ffc000" w:space="0" w:sz="8" w:themeColor="accent4" w:val="single"/>
        </w:tcBorders>
      </w:tcPr>
    </w:tblStylePr>
    <w:tblStylePr w:type="firstCol">
      <w:rPr>
        <w:b w:val="1"/>
        <w:bCs w:val="1"/>
      </w:rPr>
    </w:tblStylePr>
    <w:tblStylePr w:type="lastCol">
      <w:rPr>
        <w:b w:val="1"/>
        <w:bCs w:val="1"/>
      </w:rPr>
      <w:tblPr/>
      <w:tcPr>
        <w:tcBorders>
          <w:top w:color="ffc000" w:space="0" w:sz="8" w:themeColor="accent4" w:val="single"/>
          <w:bottom w:color="ffc000" w:space="0" w:sz="8" w:themeColor="accent4" w:val="single"/>
        </w:tcBorders>
      </w:tcPr>
    </w:tblStylePr>
    <w:tblStylePr w:type="band1Vert">
      <w:tblPr/>
      <w:tcPr>
        <w:shd w:color="auto" w:fill="ffefc0" w:themeFill="accent4" w:themeFillTint="00003F" w:val="clear"/>
      </w:tcPr>
    </w:tblStylePr>
    <w:tblStylePr w:type="band1Horz">
      <w:tblPr/>
      <w:tcPr>
        <w:shd w:color="auto" w:fill="ffefc0" w:themeFill="accent4" w:themeFillTint="00003F" w:val="clear"/>
      </w:tcPr>
    </w:tblStylePr>
  </w:style>
  <w:style w:type="table" w:styleId="MediumList1-Accent5">
    <w:name w:val="Medium List 1 Accent 5"/>
    <w:basedOn w:val="TableNormal"/>
    <w:uiPriority w:val="65"/>
    <w:semiHidden w:val="1"/>
    <w:unhideWhenUsed w:val="1"/>
    <w:rsid w:val="00687316"/>
    <w:pPr>
      <w:spacing w:after="0" w:line="240" w:lineRule="auto"/>
    </w:pPr>
    <w:rPr>
      <w:color w:val="000000" w:themeColor="text1"/>
    </w:rPr>
    <w:tblPr>
      <w:tblStyleRowBandSize w:val="1"/>
      <w:tblStyleColBandSize w:val="1"/>
      <w:tblBorders>
        <w:top w:color="5b9bd5" w:space="0" w:sz="8" w:themeColor="accent5" w:val="single"/>
        <w:bottom w:color="5b9bd5" w:space="0" w:sz="8" w:themeColor="accent5" w:val="single"/>
      </w:tblBorders>
    </w:tblPr>
    <w:tblStylePr w:type="firstRow">
      <w:rPr>
        <w:rFonts w:asciiTheme="majorHAnsi" w:cstheme="majorBidi" w:eastAsiaTheme="majorEastAsia" w:hAnsiTheme="majorHAnsi"/>
      </w:rPr>
      <w:tblPr/>
      <w:tcPr>
        <w:tcBorders>
          <w:top w:space="0" w:sz="0" w:val="nil"/>
          <w:bottom w:color="5b9bd5" w:space="0" w:sz="8" w:themeColor="accent5" w:val="single"/>
        </w:tcBorders>
      </w:tcPr>
    </w:tblStylePr>
    <w:tblStylePr w:type="lastRow">
      <w:rPr>
        <w:b w:val="1"/>
        <w:bCs w:val="1"/>
        <w:color w:val="44546a" w:themeColor="text2"/>
      </w:rPr>
      <w:tblPr/>
      <w:tcPr>
        <w:tcBorders>
          <w:top w:color="5b9bd5" w:space="0" w:sz="8" w:themeColor="accent5" w:val="single"/>
          <w:bottom w:color="5b9bd5" w:space="0" w:sz="8" w:themeColor="accent5" w:val="single"/>
        </w:tcBorders>
      </w:tcPr>
    </w:tblStylePr>
    <w:tblStylePr w:type="firstCol">
      <w:rPr>
        <w:b w:val="1"/>
        <w:bCs w:val="1"/>
      </w:rPr>
    </w:tblStylePr>
    <w:tblStylePr w:type="lastCol">
      <w:rPr>
        <w:b w:val="1"/>
        <w:bCs w:val="1"/>
      </w:rPr>
      <w:tblPr/>
      <w:tcPr>
        <w:tcBorders>
          <w:top w:color="5b9bd5" w:space="0" w:sz="8" w:themeColor="accent5" w:val="single"/>
          <w:bottom w:color="5b9bd5" w:space="0" w:sz="8" w:themeColor="accent5" w:val="single"/>
        </w:tcBorders>
      </w:tcPr>
    </w:tblStylePr>
    <w:tblStylePr w:type="band1Vert">
      <w:tblPr/>
      <w:tcPr>
        <w:shd w:color="auto" w:fill="d6e6f4" w:themeFill="accent5" w:themeFillTint="00003F" w:val="clear"/>
      </w:tcPr>
    </w:tblStylePr>
    <w:tblStylePr w:type="band1Horz">
      <w:tblPr/>
      <w:tcPr>
        <w:shd w:color="auto" w:fill="d6e6f4" w:themeFill="accent5" w:themeFillTint="00003F" w:val="clear"/>
      </w:tcPr>
    </w:tblStylePr>
  </w:style>
  <w:style w:type="table" w:styleId="MediumList1-Accent6">
    <w:name w:val="Medium List 1 Accent 6"/>
    <w:basedOn w:val="TableNormal"/>
    <w:uiPriority w:val="65"/>
    <w:semiHidden w:val="1"/>
    <w:unhideWhenUsed w:val="1"/>
    <w:rsid w:val="00687316"/>
    <w:pPr>
      <w:spacing w:after="0" w:line="240" w:lineRule="auto"/>
    </w:pPr>
    <w:rPr>
      <w:color w:val="000000" w:themeColor="text1"/>
    </w:rPr>
    <w:tblPr>
      <w:tblStyleRowBandSize w:val="1"/>
      <w:tblStyleColBandSize w:val="1"/>
      <w:tblBorders>
        <w:top w:color="70ad47" w:space="0" w:sz="8" w:themeColor="accent6" w:val="single"/>
        <w:bottom w:color="70ad47" w:space="0" w:sz="8" w:themeColor="accent6" w:val="single"/>
      </w:tblBorders>
    </w:tblPr>
    <w:tblStylePr w:type="firstRow">
      <w:rPr>
        <w:rFonts w:asciiTheme="majorHAnsi" w:cstheme="majorBidi" w:eastAsiaTheme="majorEastAsia" w:hAnsiTheme="majorHAnsi"/>
      </w:rPr>
      <w:tblPr/>
      <w:tcPr>
        <w:tcBorders>
          <w:top w:space="0" w:sz="0" w:val="nil"/>
          <w:bottom w:color="70ad47" w:space="0" w:sz="8" w:themeColor="accent6" w:val="single"/>
        </w:tcBorders>
      </w:tcPr>
    </w:tblStylePr>
    <w:tblStylePr w:type="lastRow">
      <w:rPr>
        <w:b w:val="1"/>
        <w:bCs w:val="1"/>
        <w:color w:val="44546a" w:themeColor="text2"/>
      </w:rPr>
      <w:tblPr/>
      <w:tcPr>
        <w:tcBorders>
          <w:top w:color="70ad47" w:space="0" w:sz="8" w:themeColor="accent6" w:val="single"/>
          <w:bottom w:color="70ad47" w:space="0" w:sz="8" w:themeColor="accent6" w:val="single"/>
        </w:tcBorders>
      </w:tcPr>
    </w:tblStylePr>
    <w:tblStylePr w:type="firstCol">
      <w:rPr>
        <w:b w:val="1"/>
        <w:bCs w:val="1"/>
      </w:rPr>
    </w:tblStylePr>
    <w:tblStylePr w:type="lastCol">
      <w:rPr>
        <w:b w:val="1"/>
        <w:bCs w:val="1"/>
      </w:rPr>
      <w:tblPr/>
      <w:tcPr>
        <w:tcBorders>
          <w:top w:color="70ad47" w:space="0" w:sz="8" w:themeColor="accent6" w:val="single"/>
          <w:bottom w:color="70ad47" w:space="0" w:sz="8" w:themeColor="accent6" w:val="single"/>
        </w:tcBorders>
      </w:tcPr>
    </w:tblStylePr>
    <w:tblStylePr w:type="band1Vert">
      <w:tblPr/>
      <w:tcPr>
        <w:shd w:color="auto" w:fill="dbebd0" w:themeFill="accent6" w:themeFillTint="00003F" w:val="clear"/>
      </w:tcPr>
    </w:tblStylePr>
    <w:tblStylePr w:type="band1Horz">
      <w:tblPr/>
      <w:tcPr>
        <w:shd w:color="auto" w:fill="dbebd0" w:themeFill="accent6" w:themeFillTint="00003F" w:val="clear"/>
      </w:tcPr>
    </w:tblStylePr>
  </w:style>
  <w:style w:type="table" w:styleId="MediumList2">
    <w:name w:val="Medium List 2"/>
    <w:basedOn w:val="TableNormal"/>
    <w:uiPriority w:val="66"/>
    <w:semiHidden w:val="1"/>
    <w:unhideWhenUsed w:val="1"/>
    <w:rsid w:val="00687316"/>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semiHidden w:val="1"/>
    <w:unhideWhenUsed w:val="1"/>
    <w:rsid w:val="00687316"/>
    <w:pPr>
      <w:spacing w:after="0" w:line="240" w:lineRule="auto"/>
    </w:pPr>
    <w:rPr>
      <w:rFonts w:asciiTheme="majorHAnsi" w:cstheme="majorBidi" w:eastAsiaTheme="majorEastAsia" w:hAnsiTheme="majorHAnsi"/>
      <w:color w:val="000000" w:themeColor="text1"/>
    </w:rPr>
    <w:tblPr>
      <w:tblStyleRowBandSize w:val="1"/>
      <w:tblStyleColBandSize w:val="1"/>
      <w:tblBorders>
        <w:top w:color="4472c4" w:space="0" w:sz="8" w:themeColor="accent1" w:val="single"/>
        <w:left w:color="4472c4" w:space="0" w:sz="8" w:themeColor="accent1" w:val="single"/>
        <w:bottom w:color="4472c4" w:space="0" w:sz="8" w:themeColor="accent1" w:val="single"/>
        <w:right w:color="4472c4" w:space="0" w:sz="8" w:themeColor="accent1" w:val="single"/>
      </w:tblBorders>
    </w:tblPr>
    <w:tblStylePr w:type="firstRow">
      <w:rPr>
        <w:sz w:val="24"/>
        <w:szCs w:val="24"/>
      </w:rPr>
      <w:tblPr/>
      <w:tcPr>
        <w:tcBorders>
          <w:top w:space="0" w:sz="0" w:val="nil"/>
          <w:left w:space="0" w:sz="0" w:val="nil"/>
          <w:bottom w:color="4472c4"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472c4"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472c4"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472c4"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0dbf0" w:themeFill="accent1" w:themeFillTint="00003F" w:val="clear"/>
      </w:tcPr>
    </w:tblStylePr>
    <w:tblStylePr w:type="band1Horz">
      <w:tblPr/>
      <w:tcPr>
        <w:tcBorders>
          <w:top w:space="0" w:sz="0" w:val="nil"/>
          <w:bottom w:space="0" w:sz="0" w:val="nil"/>
          <w:insideH w:space="0" w:sz="0" w:val="nil"/>
          <w:insideV w:space="0" w:sz="0" w:val="nil"/>
        </w:tcBorders>
        <w:shd w:color="auto" w:fill="d0dbf0"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semiHidden w:val="1"/>
    <w:unhideWhenUsed w:val="1"/>
    <w:rsid w:val="00687316"/>
    <w:pPr>
      <w:spacing w:after="0" w:line="240" w:lineRule="auto"/>
    </w:pPr>
    <w:rPr>
      <w:rFonts w:asciiTheme="majorHAnsi" w:cstheme="majorBidi" w:eastAsiaTheme="majorEastAsia" w:hAnsiTheme="majorHAnsi"/>
      <w:color w:val="000000" w:themeColor="text1"/>
    </w:rPr>
    <w:tblPr>
      <w:tblStyleRowBandSize w:val="1"/>
      <w:tblStyleColBandSize w:val="1"/>
      <w:tblBorders>
        <w:top w:color="ed7d31" w:space="0" w:sz="8" w:themeColor="accent2" w:val="single"/>
        <w:left w:color="ed7d31" w:space="0" w:sz="8" w:themeColor="accent2" w:val="single"/>
        <w:bottom w:color="ed7d31" w:space="0" w:sz="8" w:themeColor="accent2" w:val="single"/>
        <w:right w:color="ed7d31" w:space="0" w:sz="8" w:themeColor="accent2" w:val="single"/>
      </w:tblBorders>
    </w:tblPr>
    <w:tblStylePr w:type="firstRow">
      <w:rPr>
        <w:sz w:val="24"/>
        <w:szCs w:val="24"/>
      </w:rPr>
      <w:tblPr/>
      <w:tcPr>
        <w:tcBorders>
          <w:top w:space="0" w:sz="0" w:val="nil"/>
          <w:left w:space="0" w:sz="0" w:val="nil"/>
          <w:bottom w:color="ed7d31"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ed7d31"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ed7d31"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ed7d31"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adecb" w:themeFill="accent2" w:themeFillTint="00003F" w:val="clear"/>
      </w:tcPr>
    </w:tblStylePr>
    <w:tblStylePr w:type="band1Horz">
      <w:tblPr/>
      <w:tcPr>
        <w:tcBorders>
          <w:top w:space="0" w:sz="0" w:val="nil"/>
          <w:bottom w:space="0" w:sz="0" w:val="nil"/>
          <w:insideH w:space="0" w:sz="0" w:val="nil"/>
          <w:insideV w:space="0" w:sz="0" w:val="nil"/>
        </w:tcBorders>
        <w:shd w:color="auto" w:fill="fadecb"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semiHidden w:val="1"/>
    <w:unhideWhenUsed w:val="1"/>
    <w:rsid w:val="00687316"/>
    <w:pPr>
      <w:spacing w:after="0" w:line="240" w:lineRule="auto"/>
    </w:pPr>
    <w:rPr>
      <w:rFonts w:asciiTheme="majorHAnsi" w:cstheme="majorBidi" w:eastAsiaTheme="majorEastAsia" w:hAnsiTheme="majorHAnsi"/>
      <w:color w:val="000000" w:themeColor="text1"/>
    </w:rPr>
    <w:tblPr>
      <w:tblStyleRowBandSize w:val="1"/>
      <w:tblStyleColBandSize w:val="1"/>
      <w:tblBorders>
        <w:top w:color="a5a5a5" w:space="0" w:sz="8" w:themeColor="accent3" w:val="single"/>
        <w:left w:color="a5a5a5" w:space="0" w:sz="8" w:themeColor="accent3" w:val="single"/>
        <w:bottom w:color="a5a5a5" w:space="0" w:sz="8" w:themeColor="accent3" w:val="single"/>
        <w:right w:color="a5a5a5" w:space="0" w:sz="8" w:themeColor="accent3" w:val="single"/>
      </w:tblBorders>
    </w:tblPr>
    <w:tblStylePr w:type="firstRow">
      <w:rPr>
        <w:sz w:val="24"/>
        <w:szCs w:val="24"/>
      </w:rPr>
      <w:tblPr/>
      <w:tcPr>
        <w:tcBorders>
          <w:top w:space="0" w:sz="0" w:val="nil"/>
          <w:left w:space="0" w:sz="0" w:val="nil"/>
          <w:bottom w:color="a5a5a5"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a5a5a5"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a5a5a5"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a5a5a5"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8e8e8" w:themeFill="accent3" w:themeFillTint="00003F" w:val="clear"/>
      </w:tcPr>
    </w:tblStylePr>
    <w:tblStylePr w:type="band1Horz">
      <w:tblPr/>
      <w:tcPr>
        <w:tcBorders>
          <w:top w:space="0" w:sz="0" w:val="nil"/>
          <w:bottom w:space="0" w:sz="0" w:val="nil"/>
          <w:insideH w:space="0" w:sz="0" w:val="nil"/>
          <w:insideV w:space="0" w:sz="0" w:val="nil"/>
        </w:tcBorders>
        <w:shd w:color="auto" w:fill="e8e8e8"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semiHidden w:val="1"/>
    <w:unhideWhenUsed w:val="1"/>
    <w:rsid w:val="00687316"/>
    <w:pPr>
      <w:spacing w:after="0" w:line="240" w:lineRule="auto"/>
    </w:pPr>
    <w:rPr>
      <w:rFonts w:asciiTheme="majorHAnsi" w:cstheme="majorBidi" w:eastAsiaTheme="majorEastAsia" w:hAnsiTheme="majorHAnsi"/>
      <w:color w:val="000000" w:themeColor="text1"/>
    </w:rPr>
    <w:tblPr>
      <w:tblStyleRowBandSize w:val="1"/>
      <w:tblStyleColBandSize w:val="1"/>
      <w:tblBorders>
        <w:top w:color="ffc000" w:space="0" w:sz="8" w:themeColor="accent4" w:val="single"/>
        <w:left w:color="ffc000" w:space="0" w:sz="8" w:themeColor="accent4" w:val="single"/>
        <w:bottom w:color="ffc000" w:space="0" w:sz="8" w:themeColor="accent4" w:val="single"/>
        <w:right w:color="ffc000" w:space="0" w:sz="8" w:themeColor="accent4" w:val="single"/>
      </w:tblBorders>
    </w:tblPr>
    <w:tblStylePr w:type="firstRow">
      <w:rPr>
        <w:sz w:val="24"/>
        <w:szCs w:val="24"/>
      </w:rPr>
      <w:tblPr/>
      <w:tcPr>
        <w:tcBorders>
          <w:top w:space="0" w:sz="0" w:val="nil"/>
          <w:left w:space="0" w:sz="0" w:val="nil"/>
          <w:bottom w:color="ffc000"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ffc000"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fc000"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ffc000"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fefc0" w:themeFill="accent4" w:themeFillTint="00003F" w:val="clear"/>
      </w:tcPr>
    </w:tblStylePr>
    <w:tblStylePr w:type="band1Horz">
      <w:tblPr/>
      <w:tcPr>
        <w:tcBorders>
          <w:top w:space="0" w:sz="0" w:val="nil"/>
          <w:bottom w:space="0" w:sz="0" w:val="nil"/>
          <w:insideH w:space="0" w:sz="0" w:val="nil"/>
          <w:insideV w:space="0" w:sz="0" w:val="nil"/>
        </w:tcBorders>
        <w:shd w:color="auto" w:fill="ffefc0"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semiHidden w:val="1"/>
    <w:unhideWhenUsed w:val="1"/>
    <w:rsid w:val="00687316"/>
    <w:pPr>
      <w:spacing w:after="0" w:line="240" w:lineRule="auto"/>
    </w:pPr>
    <w:rPr>
      <w:rFonts w:asciiTheme="majorHAnsi" w:cstheme="majorBidi" w:eastAsiaTheme="majorEastAsia" w:hAnsiTheme="majorHAnsi"/>
      <w:color w:val="000000" w:themeColor="text1"/>
    </w:rPr>
    <w:tblPr>
      <w:tblStyleRowBandSize w:val="1"/>
      <w:tblStyleColBandSize w:val="1"/>
      <w:tblBorders>
        <w:top w:color="5b9bd5" w:space="0" w:sz="8" w:themeColor="accent5" w:val="single"/>
        <w:left w:color="5b9bd5" w:space="0" w:sz="8" w:themeColor="accent5" w:val="single"/>
        <w:bottom w:color="5b9bd5" w:space="0" w:sz="8" w:themeColor="accent5" w:val="single"/>
        <w:right w:color="5b9bd5" w:space="0" w:sz="8" w:themeColor="accent5" w:val="single"/>
      </w:tblBorders>
    </w:tblPr>
    <w:tblStylePr w:type="firstRow">
      <w:rPr>
        <w:sz w:val="24"/>
        <w:szCs w:val="24"/>
      </w:rPr>
      <w:tblPr/>
      <w:tcPr>
        <w:tcBorders>
          <w:top w:space="0" w:sz="0" w:val="nil"/>
          <w:left w:space="0" w:sz="0" w:val="nil"/>
          <w:bottom w:color="5b9bd5"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5b9bd5"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5b9bd5"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5b9bd5"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6e6f4" w:themeFill="accent5" w:themeFillTint="00003F" w:val="clear"/>
      </w:tcPr>
    </w:tblStylePr>
    <w:tblStylePr w:type="band1Horz">
      <w:tblPr/>
      <w:tcPr>
        <w:tcBorders>
          <w:top w:space="0" w:sz="0" w:val="nil"/>
          <w:bottom w:space="0" w:sz="0" w:val="nil"/>
          <w:insideH w:space="0" w:sz="0" w:val="nil"/>
          <w:insideV w:space="0" w:sz="0" w:val="nil"/>
        </w:tcBorders>
        <w:shd w:color="auto" w:fill="d6e6f4"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semiHidden w:val="1"/>
    <w:unhideWhenUsed w:val="1"/>
    <w:rsid w:val="00687316"/>
    <w:pPr>
      <w:spacing w:after="0" w:line="240" w:lineRule="auto"/>
    </w:pPr>
    <w:rPr>
      <w:rFonts w:asciiTheme="majorHAnsi" w:cstheme="majorBidi" w:eastAsiaTheme="majorEastAsia" w:hAnsiTheme="majorHAnsi"/>
      <w:color w:val="000000" w:themeColor="text1"/>
    </w:rPr>
    <w:tblPr>
      <w:tblStyleRowBandSize w:val="1"/>
      <w:tblStyleColBandSize w:val="1"/>
      <w:tblBorders>
        <w:top w:color="70ad47" w:space="0" w:sz="8" w:themeColor="accent6" w:val="single"/>
        <w:left w:color="70ad47" w:space="0" w:sz="8" w:themeColor="accent6" w:val="single"/>
        <w:bottom w:color="70ad47" w:space="0" w:sz="8" w:themeColor="accent6" w:val="single"/>
        <w:right w:color="70ad47" w:space="0" w:sz="8" w:themeColor="accent6" w:val="single"/>
      </w:tblBorders>
    </w:tblPr>
    <w:tblStylePr w:type="firstRow">
      <w:rPr>
        <w:sz w:val="24"/>
        <w:szCs w:val="24"/>
      </w:rPr>
      <w:tblPr/>
      <w:tcPr>
        <w:tcBorders>
          <w:top w:space="0" w:sz="0" w:val="nil"/>
          <w:left w:space="0" w:sz="0" w:val="nil"/>
          <w:bottom w:color="70ad47"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70ad47"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70ad47"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70ad47"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bebd0" w:themeFill="accent6" w:themeFillTint="00003F" w:val="clear"/>
      </w:tcPr>
    </w:tblStylePr>
    <w:tblStylePr w:type="band1Horz">
      <w:tblPr/>
      <w:tcPr>
        <w:tcBorders>
          <w:top w:space="0" w:sz="0" w:val="nil"/>
          <w:bottom w:space="0" w:sz="0" w:val="nil"/>
          <w:insideH w:space="0" w:sz="0" w:val="nil"/>
          <w:insideV w:space="0" w:sz="0" w:val="nil"/>
        </w:tcBorders>
        <w:shd w:color="auto" w:fill="dbeb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Shading1">
    <w:name w:val="Medium Shading 1"/>
    <w:basedOn w:val="TableNormal"/>
    <w:uiPriority w:val="63"/>
    <w:semiHidden w:val="1"/>
    <w:unhideWhenUsed w:val="1"/>
    <w:rsid w:val="00687316"/>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semiHidden w:val="1"/>
    <w:unhideWhenUsed w:val="1"/>
    <w:rsid w:val="00687316"/>
    <w:pPr>
      <w:spacing w:after="0" w:line="240" w:lineRule="auto"/>
    </w:pPr>
    <w:tblPr>
      <w:tblStyleRowBandSize w:val="1"/>
      <w:tblStyleColBandSize w:val="1"/>
      <w:tblBorders>
        <w:top w:color="7295d2" w:space="0" w:sz="8" w:themeColor="accent1" w:themeTint="0000BF" w:val="single"/>
        <w:left w:color="7295d2" w:space="0" w:sz="8" w:themeColor="accent1" w:themeTint="0000BF" w:val="single"/>
        <w:bottom w:color="7295d2" w:space="0" w:sz="8" w:themeColor="accent1" w:themeTint="0000BF" w:val="single"/>
        <w:right w:color="7295d2" w:space="0" w:sz="8" w:themeColor="accent1" w:themeTint="0000BF" w:val="single"/>
        <w:insideH w:color="7295d2" w:space="0" w:sz="8" w:themeColor="accent1" w:themeTint="0000BF" w:val="single"/>
      </w:tblBorders>
    </w:tblPr>
    <w:tblStylePr w:type="firstRow">
      <w:pPr>
        <w:spacing w:after="0" w:before="0" w:line="240" w:lineRule="auto"/>
      </w:pPr>
      <w:rPr>
        <w:b w:val="1"/>
        <w:bCs w:val="1"/>
        <w:color w:val="ffffff" w:themeColor="background1"/>
      </w:rPr>
      <w:tblPr/>
      <w:tcPr>
        <w:tcBorders>
          <w:top w:color="7295d2" w:space="0" w:sz="8" w:themeColor="accent1" w:themeTint="0000BF" w:val="single"/>
          <w:left w:color="7295d2" w:space="0" w:sz="8" w:themeColor="accent1" w:themeTint="0000BF" w:val="single"/>
          <w:bottom w:color="7295d2" w:space="0" w:sz="8" w:themeColor="accent1" w:themeTint="0000BF" w:val="single"/>
          <w:right w:color="7295d2" w:space="0" w:sz="8" w:themeColor="accent1" w:themeTint="0000BF" w:val="single"/>
          <w:insideH w:space="0" w:sz="0" w:val="nil"/>
          <w:insideV w:space="0" w:sz="0" w:val="nil"/>
        </w:tcBorders>
        <w:shd w:color="auto" w:fill="4472c4" w:themeFill="accent1" w:val="clear"/>
      </w:tcPr>
    </w:tblStylePr>
    <w:tblStylePr w:type="lastRow">
      <w:pPr>
        <w:spacing w:after="0" w:before="0" w:line="240" w:lineRule="auto"/>
      </w:pPr>
      <w:rPr>
        <w:b w:val="1"/>
        <w:bCs w:val="1"/>
      </w:rPr>
      <w:tblPr/>
      <w:tcPr>
        <w:tcBorders>
          <w:top w:color="7295d2" w:space="0" w:sz="6" w:themeColor="accent1" w:themeTint="0000BF" w:val="double"/>
          <w:left w:color="7295d2" w:space="0" w:sz="8" w:themeColor="accent1" w:themeTint="0000BF" w:val="single"/>
          <w:bottom w:color="7295d2" w:space="0" w:sz="8" w:themeColor="accent1" w:themeTint="0000BF" w:val="single"/>
          <w:right w:color="7295d2"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0dbf0" w:themeFill="accent1" w:themeFillTint="00003F" w:val="clear"/>
      </w:tcPr>
    </w:tblStylePr>
    <w:tblStylePr w:type="band1Horz">
      <w:tblPr/>
      <w:tcPr>
        <w:tcBorders>
          <w:insideH w:space="0" w:sz="0" w:val="nil"/>
          <w:insideV w:space="0" w:sz="0" w:val="nil"/>
        </w:tcBorders>
        <w:shd w:color="auto" w:fill="d0dbf0"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semiHidden w:val="1"/>
    <w:unhideWhenUsed w:val="1"/>
    <w:rsid w:val="00687316"/>
    <w:pPr>
      <w:spacing w:after="0" w:line="240" w:lineRule="auto"/>
    </w:pPr>
    <w:tblPr>
      <w:tblStyleRowBandSize w:val="1"/>
      <w:tblStyleColBandSize w:val="1"/>
      <w:tblBorders>
        <w:top w:color="f19d64" w:space="0" w:sz="8" w:themeColor="accent2" w:themeTint="0000BF" w:val="single"/>
        <w:left w:color="f19d64" w:space="0" w:sz="8" w:themeColor="accent2" w:themeTint="0000BF" w:val="single"/>
        <w:bottom w:color="f19d64" w:space="0" w:sz="8" w:themeColor="accent2" w:themeTint="0000BF" w:val="single"/>
        <w:right w:color="f19d64" w:space="0" w:sz="8" w:themeColor="accent2" w:themeTint="0000BF" w:val="single"/>
        <w:insideH w:color="f19d64" w:space="0" w:sz="8" w:themeColor="accent2" w:themeTint="0000BF" w:val="single"/>
      </w:tblBorders>
    </w:tblPr>
    <w:tblStylePr w:type="firstRow">
      <w:pPr>
        <w:spacing w:after="0" w:before="0" w:line="240" w:lineRule="auto"/>
      </w:pPr>
      <w:rPr>
        <w:b w:val="1"/>
        <w:bCs w:val="1"/>
        <w:color w:val="ffffff" w:themeColor="background1"/>
      </w:rPr>
      <w:tblPr/>
      <w:tcPr>
        <w:tcBorders>
          <w:top w:color="f19d64" w:space="0" w:sz="8" w:themeColor="accent2" w:themeTint="0000BF" w:val="single"/>
          <w:left w:color="f19d64" w:space="0" w:sz="8" w:themeColor="accent2" w:themeTint="0000BF" w:val="single"/>
          <w:bottom w:color="f19d64" w:space="0" w:sz="8" w:themeColor="accent2" w:themeTint="0000BF" w:val="single"/>
          <w:right w:color="f19d64" w:space="0" w:sz="8" w:themeColor="accent2" w:themeTint="0000BF" w:val="single"/>
          <w:insideH w:space="0" w:sz="0" w:val="nil"/>
          <w:insideV w:space="0" w:sz="0" w:val="nil"/>
        </w:tcBorders>
        <w:shd w:color="auto" w:fill="ed7d31" w:themeFill="accent2" w:val="clear"/>
      </w:tcPr>
    </w:tblStylePr>
    <w:tblStylePr w:type="lastRow">
      <w:pPr>
        <w:spacing w:after="0" w:before="0" w:line="240" w:lineRule="auto"/>
      </w:pPr>
      <w:rPr>
        <w:b w:val="1"/>
        <w:bCs w:val="1"/>
      </w:rPr>
      <w:tblPr/>
      <w:tcPr>
        <w:tcBorders>
          <w:top w:color="f19d64" w:space="0" w:sz="6" w:themeColor="accent2" w:themeTint="0000BF" w:val="double"/>
          <w:left w:color="f19d64" w:space="0" w:sz="8" w:themeColor="accent2" w:themeTint="0000BF" w:val="single"/>
          <w:bottom w:color="f19d64" w:space="0" w:sz="8" w:themeColor="accent2" w:themeTint="0000BF" w:val="single"/>
          <w:right w:color="f19d64"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adecb" w:themeFill="accent2" w:themeFillTint="00003F" w:val="clear"/>
      </w:tcPr>
    </w:tblStylePr>
    <w:tblStylePr w:type="band1Horz">
      <w:tblPr/>
      <w:tcPr>
        <w:tcBorders>
          <w:insideH w:space="0" w:sz="0" w:val="nil"/>
          <w:insideV w:space="0" w:sz="0" w:val="nil"/>
        </w:tcBorders>
        <w:shd w:color="auto" w:fill="fadecb"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semiHidden w:val="1"/>
    <w:unhideWhenUsed w:val="1"/>
    <w:rsid w:val="00687316"/>
    <w:pPr>
      <w:spacing w:after="0" w:line="240" w:lineRule="auto"/>
    </w:pPr>
    <w:tblPr>
      <w:tblStyleRowBandSize w:val="1"/>
      <w:tblStyleColBandSize w:val="1"/>
      <w:tblBorders>
        <w:top w:color="bbbbbb" w:space="0" w:sz="8" w:themeColor="accent3" w:themeTint="0000BF" w:val="single"/>
        <w:left w:color="bbbbbb" w:space="0" w:sz="8" w:themeColor="accent3" w:themeTint="0000BF" w:val="single"/>
        <w:bottom w:color="bbbbbb" w:space="0" w:sz="8" w:themeColor="accent3" w:themeTint="0000BF" w:val="single"/>
        <w:right w:color="bbbbbb" w:space="0" w:sz="8" w:themeColor="accent3" w:themeTint="0000BF" w:val="single"/>
        <w:insideH w:color="bbbbbb" w:space="0" w:sz="8" w:themeColor="accent3" w:themeTint="0000BF" w:val="single"/>
      </w:tblBorders>
    </w:tblPr>
    <w:tblStylePr w:type="firstRow">
      <w:pPr>
        <w:spacing w:after="0" w:before="0" w:line="240" w:lineRule="auto"/>
      </w:pPr>
      <w:rPr>
        <w:b w:val="1"/>
        <w:bCs w:val="1"/>
        <w:color w:val="ffffff" w:themeColor="background1"/>
      </w:rPr>
      <w:tblPr/>
      <w:tcPr>
        <w:tcBorders>
          <w:top w:color="bbbbbb" w:space="0" w:sz="8" w:themeColor="accent3" w:themeTint="0000BF" w:val="single"/>
          <w:left w:color="bbbbbb" w:space="0" w:sz="8" w:themeColor="accent3" w:themeTint="0000BF" w:val="single"/>
          <w:bottom w:color="bbbbbb" w:space="0" w:sz="8" w:themeColor="accent3" w:themeTint="0000BF" w:val="single"/>
          <w:right w:color="bbbbbb" w:space="0" w:sz="8" w:themeColor="accent3" w:themeTint="0000BF" w:val="single"/>
          <w:insideH w:space="0" w:sz="0" w:val="nil"/>
          <w:insideV w:space="0" w:sz="0" w:val="nil"/>
        </w:tcBorders>
        <w:shd w:color="auto" w:fill="a5a5a5" w:themeFill="accent3" w:val="clear"/>
      </w:tcPr>
    </w:tblStylePr>
    <w:tblStylePr w:type="lastRow">
      <w:pPr>
        <w:spacing w:after="0" w:before="0" w:line="240" w:lineRule="auto"/>
      </w:pPr>
      <w:rPr>
        <w:b w:val="1"/>
        <w:bCs w:val="1"/>
      </w:rPr>
      <w:tblPr/>
      <w:tcPr>
        <w:tcBorders>
          <w:top w:color="bbbbbb" w:space="0" w:sz="6" w:themeColor="accent3" w:themeTint="0000BF" w:val="double"/>
          <w:left w:color="bbbbbb" w:space="0" w:sz="8" w:themeColor="accent3" w:themeTint="0000BF" w:val="single"/>
          <w:bottom w:color="bbbbbb" w:space="0" w:sz="8" w:themeColor="accent3" w:themeTint="0000BF" w:val="single"/>
          <w:right w:color="bbbbbb"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8e8e8" w:themeFill="accent3" w:themeFillTint="00003F" w:val="clear"/>
      </w:tcPr>
    </w:tblStylePr>
    <w:tblStylePr w:type="band1Horz">
      <w:tblPr/>
      <w:tcPr>
        <w:tcBorders>
          <w:insideH w:space="0" w:sz="0" w:val="nil"/>
          <w:insideV w:space="0" w:sz="0" w:val="nil"/>
        </w:tcBorders>
        <w:shd w:color="auto" w:fill="e8e8e8"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semiHidden w:val="1"/>
    <w:unhideWhenUsed w:val="1"/>
    <w:rsid w:val="00687316"/>
    <w:pPr>
      <w:spacing w:after="0" w:line="240" w:lineRule="auto"/>
    </w:pPr>
    <w:tblPr>
      <w:tblStyleRowBandSize w:val="1"/>
      <w:tblStyleColBandSize w:val="1"/>
      <w:tblBorders>
        <w:top w:color="ffcf40" w:space="0" w:sz="8" w:themeColor="accent4" w:themeTint="0000BF" w:val="single"/>
        <w:left w:color="ffcf40" w:space="0" w:sz="8" w:themeColor="accent4" w:themeTint="0000BF" w:val="single"/>
        <w:bottom w:color="ffcf40" w:space="0" w:sz="8" w:themeColor="accent4" w:themeTint="0000BF" w:val="single"/>
        <w:right w:color="ffcf40" w:space="0" w:sz="8" w:themeColor="accent4" w:themeTint="0000BF" w:val="single"/>
        <w:insideH w:color="ffcf40" w:space="0" w:sz="8" w:themeColor="accent4" w:themeTint="0000BF" w:val="single"/>
      </w:tblBorders>
    </w:tblPr>
    <w:tblStylePr w:type="firstRow">
      <w:pPr>
        <w:spacing w:after="0" w:before="0" w:line="240" w:lineRule="auto"/>
      </w:pPr>
      <w:rPr>
        <w:b w:val="1"/>
        <w:bCs w:val="1"/>
        <w:color w:val="ffffff" w:themeColor="background1"/>
      </w:rPr>
      <w:tblPr/>
      <w:tcPr>
        <w:tcBorders>
          <w:top w:color="ffcf40" w:space="0" w:sz="8" w:themeColor="accent4" w:themeTint="0000BF" w:val="single"/>
          <w:left w:color="ffcf40" w:space="0" w:sz="8" w:themeColor="accent4" w:themeTint="0000BF" w:val="single"/>
          <w:bottom w:color="ffcf40" w:space="0" w:sz="8" w:themeColor="accent4" w:themeTint="0000BF" w:val="single"/>
          <w:right w:color="ffcf40" w:space="0" w:sz="8" w:themeColor="accent4" w:themeTint="0000BF" w:val="single"/>
          <w:insideH w:space="0" w:sz="0" w:val="nil"/>
          <w:insideV w:space="0" w:sz="0" w:val="nil"/>
        </w:tcBorders>
        <w:shd w:color="auto" w:fill="ffc000" w:themeFill="accent4" w:val="clear"/>
      </w:tcPr>
    </w:tblStylePr>
    <w:tblStylePr w:type="lastRow">
      <w:pPr>
        <w:spacing w:after="0" w:before="0" w:line="240" w:lineRule="auto"/>
      </w:pPr>
      <w:rPr>
        <w:b w:val="1"/>
        <w:bCs w:val="1"/>
      </w:rPr>
      <w:tblPr/>
      <w:tcPr>
        <w:tcBorders>
          <w:top w:color="ffcf40" w:space="0" w:sz="6" w:themeColor="accent4" w:themeTint="0000BF" w:val="double"/>
          <w:left w:color="ffcf40" w:space="0" w:sz="8" w:themeColor="accent4" w:themeTint="0000BF" w:val="single"/>
          <w:bottom w:color="ffcf40" w:space="0" w:sz="8" w:themeColor="accent4" w:themeTint="0000BF" w:val="single"/>
          <w:right w:color="ffcf40"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fefc0" w:themeFill="accent4" w:themeFillTint="00003F" w:val="clear"/>
      </w:tcPr>
    </w:tblStylePr>
    <w:tblStylePr w:type="band1Horz">
      <w:tblPr/>
      <w:tcPr>
        <w:tcBorders>
          <w:insideH w:space="0" w:sz="0" w:val="nil"/>
          <w:insideV w:space="0" w:sz="0" w:val="nil"/>
        </w:tcBorders>
        <w:shd w:color="auto" w:fill="ffefc0"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semiHidden w:val="1"/>
    <w:unhideWhenUsed w:val="1"/>
    <w:rsid w:val="00687316"/>
    <w:pPr>
      <w:spacing w:after="0" w:line="240" w:lineRule="auto"/>
    </w:pPr>
    <w:tblPr>
      <w:tblStyleRowBandSize w:val="1"/>
      <w:tblStyleColBandSize w:val="1"/>
      <w:tblBorders>
        <w:top w:color="84b3df" w:space="0" w:sz="8" w:themeColor="accent5" w:themeTint="0000BF" w:val="single"/>
        <w:left w:color="84b3df" w:space="0" w:sz="8" w:themeColor="accent5" w:themeTint="0000BF" w:val="single"/>
        <w:bottom w:color="84b3df" w:space="0" w:sz="8" w:themeColor="accent5" w:themeTint="0000BF" w:val="single"/>
        <w:right w:color="84b3df" w:space="0" w:sz="8" w:themeColor="accent5" w:themeTint="0000BF" w:val="single"/>
        <w:insideH w:color="84b3df" w:space="0" w:sz="8" w:themeColor="accent5" w:themeTint="0000BF" w:val="single"/>
      </w:tblBorders>
    </w:tblPr>
    <w:tblStylePr w:type="firstRow">
      <w:pPr>
        <w:spacing w:after="0" w:before="0" w:line="240" w:lineRule="auto"/>
      </w:pPr>
      <w:rPr>
        <w:b w:val="1"/>
        <w:bCs w:val="1"/>
        <w:color w:val="ffffff" w:themeColor="background1"/>
      </w:rPr>
      <w:tblPr/>
      <w:tcPr>
        <w:tcBorders>
          <w:top w:color="84b3df" w:space="0" w:sz="8" w:themeColor="accent5" w:themeTint="0000BF" w:val="single"/>
          <w:left w:color="84b3df" w:space="0" w:sz="8" w:themeColor="accent5" w:themeTint="0000BF" w:val="single"/>
          <w:bottom w:color="84b3df" w:space="0" w:sz="8" w:themeColor="accent5" w:themeTint="0000BF" w:val="single"/>
          <w:right w:color="84b3df" w:space="0" w:sz="8" w:themeColor="accent5" w:themeTint="0000BF" w:val="single"/>
          <w:insideH w:space="0" w:sz="0" w:val="nil"/>
          <w:insideV w:space="0" w:sz="0" w:val="nil"/>
        </w:tcBorders>
        <w:shd w:color="auto" w:fill="5b9bd5" w:themeFill="accent5" w:val="clear"/>
      </w:tcPr>
    </w:tblStylePr>
    <w:tblStylePr w:type="lastRow">
      <w:pPr>
        <w:spacing w:after="0" w:before="0" w:line="240" w:lineRule="auto"/>
      </w:pPr>
      <w:rPr>
        <w:b w:val="1"/>
        <w:bCs w:val="1"/>
      </w:rPr>
      <w:tblPr/>
      <w:tcPr>
        <w:tcBorders>
          <w:top w:color="84b3df" w:space="0" w:sz="6" w:themeColor="accent5" w:themeTint="0000BF" w:val="double"/>
          <w:left w:color="84b3df" w:space="0" w:sz="8" w:themeColor="accent5" w:themeTint="0000BF" w:val="single"/>
          <w:bottom w:color="84b3df" w:space="0" w:sz="8" w:themeColor="accent5" w:themeTint="0000BF" w:val="single"/>
          <w:right w:color="84b3df"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6e6f4" w:themeFill="accent5" w:themeFillTint="00003F" w:val="clear"/>
      </w:tcPr>
    </w:tblStylePr>
    <w:tblStylePr w:type="band1Horz">
      <w:tblPr/>
      <w:tcPr>
        <w:tcBorders>
          <w:insideH w:space="0" w:sz="0" w:val="nil"/>
          <w:insideV w:space="0" w:sz="0" w:val="nil"/>
        </w:tcBorders>
        <w:shd w:color="auto" w:fill="d6e6f4"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semiHidden w:val="1"/>
    <w:unhideWhenUsed w:val="1"/>
    <w:rsid w:val="00687316"/>
    <w:pPr>
      <w:spacing w:after="0" w:line="240" w:lineRule="auto"/>
    </w:pPr>
    <w:tblPr>
      <w:tblStyleRowBandSize w:val="1"/>
      <w:tblStyleColBandSize w:val="1"/>
      <w:tblBorders>
        <w:top w:color="93c571" w:space="0" w:sz="8" w:themeColor="accent6" w:themeTint="0000BF" w:val="single"/>
        <w:left w:color="93c571" w:space="0" w:sz="8" w:themeColor="accent6" w:themeTint="0000BF" w:val="single"/>
        <w:bottom w:color="93c571" w:space="0" w:sz="8" w:themeColor="accent6" w:themeTint="0000BF" w:val="single"/>
        <w:right w:color="93c571" w:space="0" w:sz="8" w:themeColor="accent6" w:themeTint="0000BF" w:val="single"/>
        <w:insideH w:color="93c571" w:space="0" w:sz="8" w:themeColor="accent6" w:themeTint="0000BF" w:val="single"/>
      </w:tblBorders>
    </w:tblPr>
    <w:tblStylePr w:type="firstRow">
      <w:pPr>
        <w:spacing w:after="0" w:before="0" w:line="240" w:lineRule="auto"/>
      </w:pPr>
      <w:rPr>
        <w:b w:val="1"/>
        <w:bCs w:val="1"/>
        <w:color w:val="ffffff" w:themeColor="background1"/>
      </w:rPr>
      <w:tblPr/>
      <w:tcPr>
        <w:tcBorders>
          <w:top w:color="93c571" w:space="0" w:sz="8" w:themeColor="accent6" w:themeTint="0000BF" w:val="single"/>
          <w:left w:color="93c571" w:space="0" w:sz="8" w:themeColor="accent6" w:themeTint="0000BF" w:val="single"/>
          <w:bottom w:color="93c571" w:space="0" w:sz="8" w:themeColor="accent6" w:themeTint="0000BF" w:val="single"/>
          <w:right w:color="93c571" w:space="0" w:sz="8" w:themeColor="accent6" w:themeTint="0000BF" w:val="single"/>
          <w:insideH w:space="0" w:sz="0" w:val="nil"/>
          <w:insideV w:space="0" w:sz="0" w:val="nil"/>
        </w:tcBorders>
        <w:shd w:color="auto" w:fill="70ad47" w:themeFill="accent6" w:val="clear"/>
      </w:tcPr>
    </w:tblStylePr>
    <w:tblStylePr w:type="lastRow">
      <w:pPr>
        <w:spacing w:after="0" w:before="0" w:line="240" w:lineRule="auto"/>
      </w:pPr>
      <w:rPr>
        <w:b w:val="1"/>
        <w:bCs w:val="1"/>
      </w:rPr>
      <w:tblPr/>
      <w:tcPr>
        <w:tcBorders>
          <w:top w:color="93c571" w:space="0" w:sz="6" w:themeColor="accent6" w:themeTint="0000BF" w:val="double"/>
          <w:left w:color="93c571" w:space="0" w:sz="8" w:themeColor="accent6" w:themeTint="0000BF" w:val="single"/>
          <w:bottom w:color="93c571" w:space="0" w:sz="8" w:themeColor="accent6" w:themeTint="0000BF" w:val="single"/>
          <w:right w:color="93c571"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bebd0" w:themeFill="accent6" w:themeFillTint="00003F" w:val="clear"/>
      </w:tcPr>
    </w:tblStylePr>
    <w:tblStylePr w:type="band1Horz">
      <w:tblPr/>
      <w:tcPr>
        <w:tcBorders>
          <w:insideH w:space="0" w:sz="0" w:val="nil"/>
          <w:insideV w:space="0" w:sz="0" w:val="nil"/>
        </w:tcBorders>
        <w:shd w:color="auto" w:fill="dbeb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semiHidden w:val="1"/>
    <w:unhideWhenUsed w:val="1"/>
    <w:rsid w:val="00687316"/>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semiHidden w:val="1"/>
    <w:unhideWhenUsed w:val="1"/>
    <w:rsid w:val="00687316"/>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472c4"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472c4"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472c4"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semiHidden w:val="1"/>
    <w:unhideWhenUsed w:val="1"/>
    <w:rsid w:val="00687316"/>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ed7d31"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ed7d31"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ed7d31"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semiHidden w:val="1"/>
    <w:unhideWhenUsed w:val="1"/>
    <w:rsid w:val="00687316"/>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a5a5a5"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a5a5a5"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a5a5a5"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semiHidden w:val="1"/>
    <w:unhideWhenUsed w:val="1"/>
    <w:rsid w:val="00687316"/>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fc000"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fc000"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fc000"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semiHidden w:val="1"/>
    <w:unhideWhenUsed w:val="1"/>
    <w:rsid w:val="00687316"/>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5b9bd5"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5b9bd5"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5b9bd5"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semiHidden w:val="1"/>
    <w:unhideWhenUsed w:val="1"/>
    <w:rsid w:val="00687316"/>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70ad47"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70ad47"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70ad47"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character" w:styleId="Mention" w:customStyle="1">
    <w:name w:val="Mention"/>
    <w:basedOn w:val="DefaultParagraphFont"/>
    <w:uiPriority w:val="99"/>
    <w:semiHidden w:val="1"/>
    <w:unhideWhenUsed w:val="1"/>
    <w:rsid w:val="00687316"/>
    <w:rPr>
      <w:color w:val="2b579a"/>
      <w:shd w:color="auto" w:fill="e1dfdd" w:val="clear"/>
      <w:lang w:val="en-GB"/>
    </w:rPr>
  </w:style>
  <w:style w:type="paragraph" w:styleId="MessageHeader">
    <w:name w:val="Message Header"/>
    <w:basedOn w:val="Normal"/>
    <w:link w:val="MessageHeaderChar"/>
    <w:uiPriority w:val="99"/>
    <w:semiHidden w:val="1"/>
    <w:unhideWhenUsed w:val="1"/>
    <w:rsid w:val="00687316"/>
    <w:pPr>
      <w:pBdr>
        <w:top w:color="auto" w:space="1" w:sz="6" w:val="single"/>
        <w:left w:color="auto" w:space="1" w:sz="6" w:val="single"/>
        <w:bottom w:color="auto" w:space="1" w:sz="6" w:val="single"/>
        <w:right w:color="auto" w:space="1" w:sz="6" w:val="single"/>
      </w:pBdr>
      <w:shd w:color="auto" w:fill="auto" w:val="pct20"/>
      <w:spacing w:after="0"/>
      <w:ind w:left="1134" w:hanging="1134"/>
    </w:pPr>
    <w:rPr>
      <w:rFonts w:asciiTheme="majorHAnsi" w:cstheme="majorBidi" w:eastAsiaTheme="majorEastAsia" w:hAnsiTheme="majorHAnsi"/>
    </w:rPr>
  </w:style>
  <w:style w:type="character" w:styleId="MessageHeaderChar" w:customStyle="1">
    <w:name w:val="Message Header Char"/>
    <w:basedOn w:val="DefaultParagraphFont"/>
    <w:link w:val="MessageHeader"/>
    <w:uiPriority w:val="99"/>
    <w:semiHidden w:val="1"/>
    <w:rsid w:val="00687316"/>
    <w:rPr>
      <w:rFonts w:asciiTheme="majorHAnsi" w:cstheme="majorBidi" w:eastAsiaTheme="majorEastAsia" w:hAnsiTheme="majorHAnsi"/>
      <w:sz w:val="24"/>
      <w:szCs w:val="24"/>
      <w:shd w:color="auto" w:fill="auto" w:val="pct20"/>
      <w:lang w:val="en-GB"/>
    </w:rPr>
  </w:style>
  <w:style w:type="paragraph" w:styleId="NoSpacing">
    <w:name w:val="No Spacing"/>
    <w:uiPriority w:val="1"/>
    <w:qFormat w:val="1"/>
    <w:rsid w:val="00687316"/>
    <w:pPr>
      <w:spacing w:after="0" w:line="240" w:lineRule="auto"/>
    </w:pPr>
    <w:rPr>
      <w:sz w:val="20"/>
      <w:lang w:val="en-GB"/>
    </w:rPr>
  </w:style>
  <w:style w:type="paragraph" w:styleId="NormalWeb">
    <w:name w:val="Normal (Web)"/>
    <w:basedOn w:val="Normal"/>
    <w:uiPriority w:val="99"/>
    <w:semiHidden w:val="1"/>
    <w:unhideWhenUsed w:val="1"/>
    <w:rsid w:val="00687316"/>
    <w:rPr>
      <w:rFonts w:ascii="Times New Roman" w:cs="Times New Roman" w:hAnsi="Times New Roman"/>
    </w:rPr>
  </w:style>
  <w:style w:type="paragraph" w:styleId="NormalIndent">
    <w:name w:val="Normal Indent"/>
    <w:basedOn w:val="Normal"/>
    <w:uiPriority w:val="99"/>
    <w:semiHidden w:val="1"/>
    <w:unhideWhenUsed w:val="1"/>
    <w:rsid w:val="00687316"/>
    <w:pPr>
      <w:ind w:left="720"/>
    </w:pPr>
  </w:style>
  <w:style w:type="paragraph" w:styleId="NoteHeading">
    <w:name w:val="Note Heading"/>
    <w:basedOn w:val="Normal"/>
    <w:next w:val="Normal"/>
    <w:link w:val="NoteHeadingChar"/>
    <w:uiPriority w:val="99"/>
    <w:semiHidden w:val="1"/>
    <w:unhideWhenUsed w:val="1"/>
    <w:rsid w:val="00687316"/>
    <w:pPr>
      <w:spacing w:after="0"/>
    </w:pPr>
  </w:style>
  <w:style w:type="character" w:styleId="NoteHeadingChar" w:customStyle="1">
    <w:name w:val="Note Heading Char"/>
    <w:basedOn w:val="DefaultParagraphFont"/>
    <w:link w:val="NoteHeading"/>
    <w:uiPriority w:val="99"/>
    <w:semiHidden w:val="1"/>
    <w:rsid w:val="00687316"/>
    <w:rPr>
      <w:rFonts w:ascii="Arial" w:hAnsi="Arial"/>
      <w:sz w:val="20"/>
      <w:lang w:val="en-GB"/>
    </w:rPr>
  </w:style>
  <w:style w:type="character" w:styleId="PlaceholderText">
    <w:name w:val="Placeholder Text"/>
    <w:basedOn w:val="DefaultParagraphFont"/>
    <w:uiPriority w:val="99"/>
    <w:semiHidden w:val="1"/>
    <w:rsid w:val="00687316"/>
    <w:rPr>
      <w:color w:val="808080"/>
      <w:lang w:val="en-GB"/>
    </w:rPr>
  </w:style>
  <w:style w:type="table" w:styleId="PlainTable1">
    <w:name w:val="Plain Table 1"/>
    <w:basedOn w:val="TableNormal"/>
    <w:uiPriority w:val="41"/>
    <w:rsid w:val="00687316"/>
    <w:pPr>
      <w:spacing w:after="0" w:line="240" w:lineRule="auto"/>
    </w:pPr>
    <w:tblPr>
      <w:tblStyleRowBandSize w:val="1"/>
      <w:tblStyleColBandSize w:val="1"/>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tblStylePr w:type="firstRow">
      <w:rPr>
        <w:b w:val="1"/>
        <w:bCs w:val="1"/>
      </w:rPr>
    </w:tblStylePr>
    <w:tblStylePr w:type="lastRow">
      <w:rPr>
        <w:b w:val="1"/>
        <w:bCs w:val="1"/>
      </w:rPr>
      <w:tblPr/>
      <w:tcPr>
        <w:tcBorders>
          <w:top w:color="bfbfbf" w:space="0" w:sz="4" w:themeColor="background1" w:themeShade="0000BF" w:val="double"/>
        </w:tcBorders>
      </w:tc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table" w:styleId="PlainTable2">
    <w:name w:val="Plain Table 2"/>
    <w:basedOn w:val="TableNormal"/>
    <w:uiPriority w:val="42"/>
    <w:rsid w:val="00687316"/>
    <w:pPr>
      <w:spacing w:after="0" w:line="240" w:lineRule="auto"/>
    </w:pPr>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table" w:styleId="PlainTable3">
    <w:name w:val="Plain Table 3"/>
    <w:basedOn w:val="TableNormal"/>
    <w:uiPriority w:val="43"/>
    <w:rsid w:val="00687316"/>
    <w:pPr>
      <w:spacing w:after="0" w:line="240" w:lineRule="auto"/>
    </w:pPr>
    <w:tblPr>
      <w:tblStyleRowBandSize w:val="1"/>
      <w:tblStyleColBandSize w:val="1"/>
    </w:tblPr>
    <w:tblStylePr w:type="firstRow">
      <w:rPr>
        <w:b w:val="1"/>
        <w:bCs w:val="1"/>
        <w:caps w:val="1"/>
      </w:rPr>
      <w:tblPr/>
      <w:tcPr>
        <w:tcBorders>
          <w:bottom w:color="7f7f7f" w:space="0" w:sz="4" w:themeColor="text1" w:themeTint="000080" w:val="single"/>
        </w:tcBorders>
      </w:tcPr>
    </w:tblStylePr>
    <w:tblStylePr w:type="lastRow">
      <w:rPr>
        <w:b w:val="1"/>
        <w:bCs w:val="1"/>
        <w:caps w:val="1"/>
      </w:rPr>
      <w:tblPr/>
      <w:tcPr>
        <w:tcBorders>
          <w:top w:space="0" w:sz="0" w:val="nil"/>
        </w:tcBorders>
      </w:tcPr>
    </w:tblStylePr>
    <w:tblStylePr w:type="firstCol">
      <w:rPr>
        <w:b w:val="1"/>
        <w:bCs w:val="1"/>
        <w:caps w:val="1"/>
      </w:rPr>
      <w:tblPr/>
      <w:tcPr>
        <w:tcBorders>
          <w:right w:color="7f7f7f" w:space="0" w:sz="4" w:themeColor="text1" w:themeTint="000080" w:val="single"/>
        </w:tcBorders>
      </w:tcPr>
    </w:tblStylePr>
    <w:tblStylePr w:type="lastCol">
      <w:rPr>
        <w:b w:val="1"/>
        <w:bCs w:val="1"/>
        <w:caps w:val="1"/>
      </w:rPr>
      <w:tblPr/>
      <w:tcPr>
        <w:tcBorders>
          <w:left w:space="0" w:sz="0" w:val="nil"/>
        </w:tcBorders>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style>
  <w:style w:type="table" w:styleId="PlainTable4">
    <w:name w:val="Plain Table 4"/>
    <w:basedOn w:val="TableNormal"/>
    <w:uiPriority w:val="44"/>
    <w:rsid w:val="00687316"/>
    <w:pPr>
      <w:spacing w:after="0" w:line="240" w:lineRule="auto"/>
    </w:pPr>
    <w:tblPr>
      <w:tblStyleRowBandSize w:val="1"/>
      <w:tblStyleColBandSize w:val="1"/>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table" w:styleId="PlainTable5">
    <w:name w:val="Plain Table 5"/>
    <w:basedOn w:val="TableNormal"/>
    <w:uiPriority w:val="45"/>
    <w:rsid w:val="00687316"/>
    <w:pPr>
      <w:spacing w:after="0" w:line="240" w:lineRule="auto"/>
    </w:pPr>
    <w:tblPr>
      <w:tblStyleRowBandSize w:val="1"/>
      <w:tblStyleColBandSize w:val="1"/>
    </w:tblPr>
    <w:tblStylePr w:type="firstRow">
      <w:rPr>
        <w:rFonts w:asciiTheme="majorHAnsi" w:cstheme="majorBidi" w:eastAsiaTheme="majorEastAsia" w:hAnsiTheme="majorHAnsi"/>
        <w:i w:val="1"/>
        <w:iCs w:val="1"/>
        <w:sz w:val="26"/>
      </w:rPr>
      <w:tblPr/>
      <w:tcPr>
        <w:tcBorders>
          <w:bottom w:color="7f7f7f" w:space="0" w:sz="4" w:themeColor="text1" w:themeTint="000080"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7f7f7f" w:space="0" w:sz="4" w:themeColor="text1" w:themeTint="000080"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7f7f7f" w:space="0" w:sz="4" w:themeColor="text1" w:themeTint="000080"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7f7f7f" w:space="0" w:sz="4" w:themeColor="text1" w:themeTint="000080" w:val="single"/>
        </w:tcBorders>
        <w:shd w:color="auto" w:fill="ffffff" w:themeFill="background1" w:val="clear"/>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paragraph" w:styleId="PlainText">
    <w:name w:val="Plain Text"/>
    <w:basedOn w:val="Normal"/>
    <w:link w:val="PlainTextChar"/>
    <w:uiPriority w:val="99"/>
    <w:semiHidden w:val="1"/>
    <w:unhideWhenUsed w:val="1"/>
    <w:rsid w:val="00687316"/>
    <w:pPr>
      <w:spacing w:after="0"/>
    </w:pPr>
    <w:rPr>
      <w:rFonts w:ascii="Consolas" w:hAnsi="Consolas"/>
      <w:sz w:val="21"/>
      <w:szCs w:val="21"/>
    </w:rPr>
  </w:style>
  <w:style w:type="character" w:styleId="PlainTextChar" w:customStyle="1">
    <w:name w:val="Plain Text Char"/>
    <w:basedOn w:val="DefaultParagraphFont"/>
    <w:link w:val="PlainText"/>
    <w:uiPriority w:val="99"/>
    <w:semiHidden w:val="1"/>
    <w:rsid w:val="00687316"/>
    <w:rPr>
      <w:rFonts w:ascii="Consolas" w:hAnsi="Consolas"/>
      <w:sz w:val="21"/>
      <w:szCs w:val="21"/>
      <w:lang w:val="en-GB"/>
    </w:rPr>
  </w:style>
  <w:style w:type="paragraph" w:styleId="Quote">
    <w:name w:val="Quote"/>
    <w:basedOn w:val="Normal"/>
    <w:next w:val="Normal"/>
    <w:link w:val="QuoteChar"/>
    <w:uiPriority w:val="29"/>
    <w:qFormat w:val="1"/>
    <w:rsid w:val="00687316"/>
    <w:pPr>
      <w:spacing w:after="160" w:before="200"/>
      <w:ind w:left="864" w:right="864"/>
      <w:jc w:val="center"/>
    </w:pPr>
    <w:rPr>
      <w:i w:val="1"/>
      <w:iCs w:val="1"/>
      <w:color w:val="404040" w:themeColor="text1" w:themeTint="0000BF"/>
    </w:rPr>
  </w:style>
  <w:style w:type="character" w:styleId="QuoteChar" w:customStyle="1">
    <w:name w:val="Quote Char"/>
    <w:basedOn w:val="DefaultParagraphFont"/>
    <w:link w:val="Quote"/>
    <w:uiPriority w:val="29"/>
    <w:rsid w:val="00687316"/>
    <w:rPr>
      <w:rFonts w:ascii="Arial" w:hAnsi="Arial"/>
      <w:i w:val="1"/>
      <w:iCs w:val="1"/>
      <w:color w:val="404040" w:themeColor="text1" w:themeTint="0000BF"/>
      <w:sz w:val="20"/>
      <w:lang w:val="en-GB"/>
    </w:rPr>
  </w:style>
  <w:style w:type="paragraph" w:styleId="Salutation">
    <w:name w:val="Salutation"/>
    <w:basedOn w:val="Normal"/>
    <w:next w:val="Normal"/>
    <w:link w:val="SalutationChar"/>
    <w:uiPriority w:val="99"/>
    <w:semiHidden w:val="1"/>
    <w:unhideWhenUsed w:val="1"/>
    <w:rsid w:val="00687316"/>
  </w:style>
  <w:style w:type="character" w:styleId="SalutationChar" w:customStyle="1">
    <w:name w:val="Salutation Char"/>
    <w:basedOn w:val="DefaultParagraphFont"/>
    <w:link w:val="Salutation"/>
    <w:uiPriority w:val="99"/>
    <w:semiHidden w:val="1"/>
    <w:rsid w:val="00687316"/>
    <w:rPr>
      <w:rFonts w:ascii="Arial" w:hAnsi="Arial"/>
      <w:sz w:val="20"/>
      <w:lang w:val="en-GB"/>
    </w:rPr>
  </w:style>
  <w:style w:type="paragraph" w:styleId="Signature">
    <w:name w:val="Signature"/>
    <w:basedOn w:val="Normal"/>
    <w:link w:val="SignatureChar"/>
    <w:uiPriority w:val="99"/>
    <w:semiHidden w:val="1"/>
    <w:unhideWhenUsed w:val="1"/>
    <w:rsid w:val="00687316"/>
    <w:pPr>
      <w:spacing w:after="0"/>
      <w:ind w:left="4252"/>
    </w:pPr>
  </w:style>
  <w:style w:type="character" w:styleId="SignatureChar" w:customStyle="1">
    <w:name w:val="Signature Char"/>
    <w:basedOn w:val="DefaultParagraphFont"/>
    <w:link w:val="Signature"/>
    <w:uiPriority w:val="99"/>
    <w:semiHidden w:val="1"/>
    <w:rsid w:val="00687316"/>
    <w:rPr>
      <w:rFonts w:ascii="Arial" w:hAnsi="Arial"/>
      <w:sz w:val="20"/>
      <w:lang w:val="en-GB"/>
    </w:rPr>
  </w:style>
  <w:style w:type="character" w:styleId="SmartHyperlink" w:customStyle="1">
    <w:name w:val="Smart Hyperlink"/>
    <w:basedOn w:val="DefaultParagraphFont"/>
    <w:uiPriority w:val="99"/>
    <w:semiHidden w:val="1"/>
    <w:unhideWhenUsed w:val="1"/>
    <w:rsid w:val="00687316"/>
    <w:rPr>
      <w:u w:val="dotted"/>
      <w:lang w:val="en-GB"/>
    </w:rPr>
  </w:style>
  <w:style w:type="character" w:styleId="SmartLink1" w:customStyle="1">
    <w:name w:val="SmartLink1"/>
    <w:basedOn w:val="DefaultParagraphFont"/>
    <w:uiPriority w:val="99"/>
    <w:semiHidden w:val="1"/>
    <w:unhideWhenUsed w:val="1"/>
    <w:rsid w:val="00687316"/>
    <w:rPr>
      <w:color w:val="0000ff"/>
      <w:u w:val="single"/>
      <w:shd w:color="auto" w:fill="f3f2f1" w:val="clear"/>
      <w:lang w:val="en-GB"/>
    </w:rPr>
  </w:style>
  <w:style w:type="character" w:styleId="Strong">
    <w:name w:val="Strong"/>
    <w:basedOn w:val="DefaultParagraphFont"/>
    <w:uiPriority w:val="22"/>
    <w:qFormat w:val="1"/>
    <w:rsid w:val="00687316"/>
    <w:rPr>
      <w:b w:val="1"/>
      <w:bCs w:val="1"/>
      <w:lang w:val="en-GB"/>
    </w:rPr>
  </w:style>
  <w:style w:type="character" w:styleId="SubtleEmphasis">
    <w:name w:val="Subtle Emphasis"/>
    <w:basedOn w:val="DefaultParagraphFont"/>
    <w:uiPriority w:val="19"/>
    <w:rsid w:val="00687316"/>
    <w:rPr>
      <w:i w:val="1"/>
      <w:iCs w:val="1"/>
      <w:color w:val="404040" w:themeColor="text1" w:themeTint="0000BF"/>
      <w:lang w:val="en-GB"/>
    </w:rPr>
  </w:style>
  <w:style w:type="character" w:styleId="SubtleReference">
    <w:name w:val="Subtle Reference"/>
    <w:basedOn w:val="DefaultParagraphFont"/>
    <w:uiPriority w:val="31"/>
    <w:qFormat w:val="1"/>
    <w:rsid w:val="00687316"/>
    <w:rPr>
      <w:smallCaps w:val="1"/>
      <w:color w:val="5a5a5a" w:themeColor="text1" w:themeTint="0000A5"/>
      <w:lang w:val="en-GB"/>
    </w:rPr>
  </w:style>
  <w:style w:type="table" w:styleId="Table3Deffects1">
    <w:name w:val="Table 3D effects 1"/>
    <w:basedOn w:val="TableNormal"/>
    <w:uiPriority w:val="99"/>
    <w:semiHidden w:val="1"/>
    <w:unhideWhenUsed w:val="1"/>
    <w:rsid w:val="00687316"/>
    <w:pPr>
      <w:spacing w:after="240" w:line="240" w:lineRule="auto"/>
    </w:pPr>
    <w:tblPr/>
    <w:tcPr>
      <w:shd w:color="c0c0c0" w:fill="ffffff" w:val="solid"/>
    </w:tcPr>
    <w:tblStylePr w:type="firstRow">
      <w:rPr>
        <w:b w:val="1"/>
        <w:bCs w:val="1"/>
        <w:color w:val="800080"/>
      </w:rPr>
      <w:tblPr/>
      <w:tcPr>
        <w:tcBorders>
          <w:bottom w:color="808080" w:space="0" w:sz="6" w:val="single"/>
          <w:tl2br w:color="auto" w:space="0" w:sz="0" w:val="none"/>
          <w:tr2bl w:color="auto" w:space="0" w:sz="0" w:val="none"/>
        </w:tcBorders>
      </w:tcPr>
    </w:tblStylePr>
    <w:tblStylePr w:type="lastRow">
      <w:tblPr/>
      <w:tcPr>
        <w:tcBorders>
          <w:top w:color="ffffff" w:space="0" w:sz="6" w:val="single"/>
          <w:tl2br w:color="auto" w:space="0" w:sz="0" w:val="none"/>
          <w:tr2bl w:color="auto" w:space="0" w:sz="0" w:val="none"/>
        </w:tcBorders>
      </w:tcPr>
    </w:tblStylePr>
    <w:tblStylePr w:type="firstCol">
      <w:rPr>
        <w:b w:val="1"/>
        <w:bCs w:val="1"/>
      </w:rPr>
      <w:tblPr/>
      <w:tcPr>
        <w:tcBorders>
          <w:right w:color="808080" w:space="0" w:sz="6" w:val="single"/>
          <w:tl2br w:color="auto" w:space="0" w:sz="0" w:val="none"/>
          <w:tr2bl w:color="auto" w:space="0" w:sz="0" w:val="none"/>
        </w:tcBorders>
      </w:tcPr>
    </w:tblStylePr>
    <w:tblStylePr w:type="lastCol">
      <w:tblPr/>
      <w:tcPr>
        <w:tcBorders>
          <w:left w:color="ffffff" w:space="0" w:sz="6" w:val="single"/>
          <w:tl2br w:color="auto" w:space="0" w:sz="0" w:val="none"/>
          <w:tr2bl w:color="auto" w:space="0" w:sz="0" w:val="none"/>
        </w:tcBorders>
      </w:tcPr>
    </w:tblStylePr>
    <w:tblStylePr w:type="neCell">
      <w:tblPr/>
      <w:tcPr>
        <w:tcBorders>
          <w:left w:color="auto" w:space="0" w:sz="0" w:val="none"/>
          <w:bottom w:color="auto" w:space="0" w:sz="0" w:val="none"/>
          <w:tl2br w:color="auto" w:space="0" w:sz="0" w:val="none"/>
          <w:tr2bl w:color="auto" w:space="0" w:sz="0" w:val="none"/>
        </w:tcBorders>
      </w:tcPr>
    </w:tblStylePr>
    <w:tblStylePr w:type="nwCell">
      <w:tblPr/>
      <w:tcPr>
        <w:tcBorders>
          <w:bottom w:color="auto" w:space="0" w:sz="0" w:val="none"/>
          <w:right w:color="auto" w:space="0" w:sz="0" w:val="none"/>
          <w:tl2br w:color="auto" w:space="0" w:sz="0" w:val="none"/>
          <w:tr2bl w:color="auto" w:space="0" w:sz="0" w:val="none"/>
        </w:tcBorders>
      </w:tcPr>
    </w:tblStylePr>
    <w:tblStylePr w:type="seCell">
      <w:tblPr/>
      <w:tcPr>
        <w:tcBorders>
          <w:top w:color="auto" w:space="0" w:sz="0" w:val="none"/>
          <w:left w:color="auto" w:space="0" w:sz="0" w:val="none"/>
          <w:tl2br w:color="auto" w:space="0" w:sz="0" w:val="none"/>
          <w:tr2bl w:color="auto" w:space="0" w:sz="0" w:val="none"/>
        </w:tcBorders>
      </w:tcPr>
    </w:tblStylePr>
    <w:tblStylePr w:type="swCell">
      <w:rPr>
        <w:color w:val="000080"/>
      </w:rPr>
      <w:tblPr/>
      <w:tcPr>
        <w:tcBorders>
          <w:top w:color="auto" w:space="0" w:sz="0" w:val="none"/>
          <w:right w:color="auto" w:space="0" w:sz="0" w:val="none"/>
          <w:tl2br w:color="auto" w:space="0" w:sz="0" w:val="none"/>
          <w:tr2bl w:color="auto" w:space="0" w:sz="0" w:val="none"/>
        </w:tcBorders>
      </w:tcPr>
    </w:tblStylePr>
  </w:style>
  <w:style w:type="table" w:styleId="Table3Deffects2">
    <w:name w:val="Table 3D effects 2"/>
    <w:basedOn w:val="TableNormal"/>
    <w:uiPriority w:val="99"/>
    <w:semiHidden w:val="1"/>
    <w:unhideWhenUsed w:val="1"/>
    <w:rsid w:val="00687316"/>
    <w:pPr>
      <w:spacing w:after="240" w:line="240" w:lineRule="auto"/>
    </w:pPr>
    <w:tblPr>
      <w:tblStyleRowBandSize w:val="1"/>
    </w:tblPr>
    <w:tcPr>
      <w:shd w:color="c0c0c0" w:fill="ffffff" w:val="solid"/>
    </w:tcPr>
    <w:tblStylePr w:type="firstRow">
      <w:rPr>
        <w:b w:val="1"/>
        <w:bCs w:val="1"/>
      </w:rPr>
      <w:tblPr/>
      <w:tcPr>
        <w:tcBorders>
          <w:tl2br w:color="auto" w:space="0" w:sz="0" w:val="none"/>
          <w:tr2bl w:color="auto" w:space="0" w:sz="0" w:val="none"/>
        </w:tcBorders>
      </w:tcPr>
    </w:tblStylePr>
    <w:tblStylePr w:type="firstCol">
      <w:tblPr/>
      <w:tcPr>
        <w:tcBorders>
          <w:top w:color="auto" w:space="0" w:sz="0" w:val="none"/>
          <w:bottom w:color="auto" w:space="0" w:sz="0" w:val="none"/>
          <w:right w:color="808080" w:space="0" w:sz="6" w:val="single"/>
          <w:tl2br w:color="auto" w:space="0" w:sz="0" w:val="none"/>
          <w:tr2bl w:color="auto" w:space="0" w:sz="0" w:val="none"/>
        </w:tcBorders>
      </w:tcPr>
    </w:tblStylePr>
    <w:tblStylePr w:type="lastCol">
      <w:tblPr/>
      <w:tcPr>
        <w:tcBorders>
          <w:right w:color="ffffff" w:space="0" w:sz="6" w:val="single"/>
          <w:tl2br w:color="auto" w:space="0" w:sz="0" w:val="none"/>
          <w:tr2bl w:color="auto" w:space="0" w:sz="0" w:val="none"/>
        </w:tcBorders>
      </w:tcPr>
    </w:tblStylePr>
    <w:tblStylePr w:type="band1Horz">
      <w:tblPr/>
      <w:tcPr>
        <w:tcBorders>
          <w:top w:color="808080" w:space="0" w:sz="6" w:val="single"/>
          <w:bottom w:color="ffffff" w:space="0" w:sz="6" w:val="single"/>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3Deffects3">
    <w:name w:val="Table 3D effects 3"/>
    <w:basedOn w:val="TableNormal"/>
    <w:uiPriority w:val="99"/>
    <w:semiHidden w:val="1"/>
    <w:unhideWhenUsed w:val="1"/>
    <w:rsid w:val="00687316"/>
    <w:pPr>
      <w:spacing w:after="240" w:line="240" w:lineRule="auto"/>
    </w:pPr>
    <w:tblPr>
      <w:tblStyleRowBandSize w:val="1"/>
      <w:tblStyleColBandSize w:val="1"/>
    </w:tblPr>
    <w:tblStylePr w:type="firstRow">
      <w:rPr>
        <w:b w:val="1"/>
        <w:bCs w:val="1"/>
      </w:rPr>
      <w:tblPr/>
      <w:tcPr>
        <w:tcBorders>
          <w:tl2br w:color="auto" w:space="0" w:sz="0" w:val="none"/>
          <w:tr2bl w:color="auto" w:space="0" w:sz="0" w:val="none"/>
        </w:tcBorders>
      </w:tcPr>
    </w:tblStylePr>
    <w:tblStylePr w:type="firstCol">
      <w:tblPr/>
      <w:tcPr>
        <w:tcBorders>
          <w:top w:color="auto" w:space="0" w:sz="0" w:val="none"/>
          <w:bottom w:color="auto" w:space="0" w:sz="0" w:val="none"/>
          <w:right w:color="808080" w:space="0" w:sz="6" w:val="single"/>
          <w:tl2br w:color="auto" w:space="0" w:sz="0" w:val="none"/>
          <w:tr2bl w:color="auto" w:space="0" w:sz="0" w:val="none"/>
        </w:tcBorders>
      </w:tcPr>
    </w:tblStylePr>
    <w:tblStylePr w:type="lastCol">
      <w:tblPr/>
      <w:tcPr>
        <w:tcBorders>
          <w:right w:color="ffffff" w:space="0" w:sz="6" w:val="single"/>
          <w:tl2br w:color="auto" w:space="0" w:sz="0" w:val="none"/>
          <w:tr2bl w:color="auto" w:space="0" w:sz="0" w:val="none"/>
        </w:tcBorders>
      </w:tcPr>
    </w:tblStylePr>
    <w:tblStylePr w:type="band1Vert">
      <w:rPr>
        <w:color w:val="auto"/>
      </w:rPr>
      <w:tblPr/>
      <w:tcPr>
        <w:shd w:color="c0c0c0" w:fill="ffffff" w:val="solid"/>
      </w:tcPr>
    </w:tblStylePr>
    <w:tblStylePr w:type="band2Vert">
      <w:rPr>
        <w:color w:val="auto"/>
      </w:rPr>
      <w:tblPr/>
      <w:tcPr>
        <w:shd w:color="c0c0c0" w:fill="ffffff" w:val="pct50"/>
      </w:tcPr>
    </w:tblStylePr>
    <w:tblStylePr w:type="band1Horz">
      <w:tblPr/>
      <w:tcPr>
        <w:tcBorders>
          <w:top w:color="808080" w:space="0" w:sz="6" w:val="single"/>
          <w:bottom w:color="ffffff" w:space="0" w:sz="6" w:val="single"/>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Classic1">
    <w:name w:val="Table Classic 1"/>
    <w:basedOn w:val="TableNormal"/>
    <w:uiPriority w:val="99"/>
    <w:semiHidden w:val="1"/>
    <w:unhideWhenUsed w:val="1"/>
    <w:rsid w:val="00687316"/>
    <w:pPr>
      <w:spacing w:after="240" w:line="240" w:lineRule="auto"/>
    </w:pPr>
    <w:tblPr>
      <w:tblBorders>
        <w:top w:color="000000" w:space="0" w:sz="12" w:val="single"/>
        <w:bottom w:color="000000" w:space="0" w:sz="12" w:val="single"/>
      </w:tblBorders>
    </w:tblPr>
    <w:tcPr>
      <w:shd w:color="auto" w:fill="auto" w:val="clear"/>
    </w:tcPr>
    <w:tblStylePr w:type="firstRow">
      <w:rPr>
        <w:i w:val="1"/>
        <w:iCs w:val="1"/>
      </w:rPr>
      <w:tblPr/>
      <w:tcPr>
        <w:tcBorders>
          <w:bottom w:color="000000" w:space="0" w:sz="6" w:val="single"/>
          <w:tl2br w:color="auto" w:space="0" w:sz="0" w:val="none"/>
          <w:tr2bl w:color="auto" w:space="0" w:sz="0" w:val="none"/>
        </w:tcBorders>
      </w:tcPr>
    </w:tblStylePr>
    <w:tblStylePr w:type="lastRow">
      <w:rPr>
        <w:color w:val="auto"/>
      </w:rPr>
      <w:tblPr/>
      <w:tcPr>
        <w:tcBorders>
          <w:top w:color="000000" w:space="0" w:sz="6" w:val="single"/>
          <w:tl2br w:color="auto" w:space="0" w:sz="0" w:val="none"/>
          <w:tr2bl w:color="auto" w:space="0" w:sz="0" w:val="none"/>
        </w:tcBorders>
      </w:tcPr>
    </w:tblStylePr>
    <w:tblStylePr w:type="firstCol">
      <w:tblPr/>
      <w:tcPr>
        <w:tcBorders>
          <w:right w:color="000000" w:space="0" w:sz="6" w:val="single"/>
          <w:tl2br w:color="auto" w:space="0" w:sz="0" w:val="none"/>
          <w:tr2bl w:color="auto" w:space="0" w:sz="0" w:val="none"/>
        </w:tcBorders>
      </w:tcPr>
    </w:tblStylePr>
    <w:tblStylePr w:type="neCell">
      <w:rPr>
        <w:b w:val="1"/>
        <w:bCs w:val="1"/>
        <w:i w:val="0"/>
        <w:iCs w:val="0"/>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Classic2">
    <w:name w:val="Table Classic 2"/>
    <w:basedOn w:val="TableNormal"/>
    <w:uiPriority w:val="99"/>
    <w:semiHidden w:val="1"/>
    <w:unhideWhenUsed w:val="1"/>
    <w:rsid w:val="00687316"/>
    <w:pPr>
      <w:spacing w:after="240" w:line="240" w:lineRule="auto"/>
    </w:pPr>
    <w:tblPr>
      <w:tblBorders>
        <w:top w:color="000000" w:space="0" w:sz="12" w:val="single"/>
        <w:bottom w:color="000000" w:space="0" w:sz="12" w:val="single"/>
      </w:tblBorders>
    </w:tblPr>
    <w:tcPr>
      <w:shd w:color="auto" w:fill="auto" w:val="clear"/>
    </w:tcPr>
    <w:tblStylePr w:type="firstRow">
      <w:rPr>
        <w:color w:val="ffffff"/>
      </w:rPr>
      <w:tblPr/>
      <w:tcPr>
        <w:tcBorders>
          <w:bottom w:color="000000" w:space="0" w:sz="6" w:val="single"/>
          <w:tl2br w:color="auto" w:space="0" w:sz="0" w:val="none"/>
          <w:tr2bl w:color="auto" w:space="0" w:sz="0" w:val="none"/>
        </w:tcBorders>
        <w:shd w:color="800080" w:fill="ffffff" w:val="solid"/>
      </w:tcPr>
    </w:tblStylePr>
    <w:tblStylePr w:type="lastRow">
      <w:tblPr/>
      <w:tcPr>
        <w:tcBorders>
          <w:top w:color="00000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shd w:color="c0c0c0" w:fill="ffffff" w:val="solid"/>
      </w:tcPr>
    </w:tblStylePr>
    <w:tblStylePr w:type="neCell">
      <w:rPr>
        <w:b w:val="1"/>
        <w:bCs w:val="1"/>
      </w:rPr>
      <w:tblPr/>
      <w:tcPr>
        <w:tcBorders>
          <w:tl2br w:color="auto" w:space="0" w:sz="0" w:val="none"/>
          <w:tr2bl w:color="auto" w:space="0" w:sz="0" w:val="none"/>
        </w:tcBorders>
      </w:tcPr>
    </w:tblStylePr>
    <w:tblStylePr w:type="nwCell">
      <w:tblPr/>
      <w:tcPr>
        <w:tcBorders>
          <w:tl2br w:color="auto" w:space="0" w:sz="0" w:val="none"/>
          <w:tr2bl w:color="auto" w:space="0" w:sz="0" w:val="none"/>
        </w:tcBorders>
        <w:shd w:color="800080" w:fill="ffffff" w:val="solid"/>
      </w:tcPr>
    </w:tblStylePr>
    <w:tblStylePr w:type="swCell">
      <w:rPr>
        <w:color w:val="000080"/>
      </w:rPr>
      <w:tblPr/>
      <w:tcPr>
        <w:tcBorders>
          <w:tl2br w:color="auto" w:space="0" w:sz="0" w:val="none"/>
          <w:tr2bl w:color="auto" w:space="0" w:sz="0" w:val="none"/>
        </w:tcBorders>
      </w:tcPr>
    </w:tblStylePr>
  </w:style>
  <w:style w:type="table" w:styleId="TableClassic3">
    <w:name w:val="Table Classic 3"/>
    <w:basedOn w:val="TableNormal"/>
    <w:uiPriority w:val="99"/>
    <w:semiHidden w:val="1"/>
    <w:unhideWhenUsed w:val="1"/>
    <w:rsid w:val="00687316"/>
    <w:pPr>
      <w:spacing w:after="240" w:line="240" w:lineRule="auto"/>
    </w:pPr>
    <w:rPr>
      <w:color w:val="000080"/>
    </w:rPr>
    <w:tblPr>
      <w:tblBorders>
        <w:top w:color="000000" w:space="0" w:sz="12" w:val="single"/>
        <w:left w:color="000000" w:space="0" w:sz="12" w:val="single"/>
        <w:bottom w:color="000000" w:space="0" w:sz="12" w:val="single"/>
        <w:right w:color="000000" w:space="0" w:sz="12" w:val="single"/>
      </w:tblBorders>
    </w:tblPr>
    <w:tcPr>
      <w:shd w:color="c0c0c0" w:fill="ffffff" w:val="solid"/>
    </w:tcPr>
    <w:tblStylePr w:type="firstRow">
      <w:rPr>
        <w:b w:val="1"/>
        <w:bCs w:val="1"/>
        <w:i w:val="1"/>
        <w:iCs w:val="1"/>
        <w:color w:val="ffffff"/>
      </w:rPr>
      <w:tblPr/>
      <w:tcPr>
        <w:tcBorders>
          <w:bottom w:color="000000" w:space="0" w:sz="6" w:val="single"/>
          <w:tl2br w:color="auto" w:space="0" w:sz="0" w:val="none"/>
          <w:tr2bl w:color="auto" w:space="0" w:sz="0" w:val="none"/>
        </w:tcBorders>
        <w:shd w:color="000080" w:fill="ffffff" w:val="solid"/>
      </w:tcPr>
    </w:tblStylePr>
    <w:tblStylePr w:type="lastRow">
      <w:rPr>
        <w:color w:val="000080"/>
      </w:rPr>
      <w:tblPr/>
      <w:tcPr>
        <w:tcBorders>
          <w:top w:color="000000" w:space="0" w:sz="12" w:val="single"/>
          <w:tl2br w:color="auto" w:space="0" w:sz="0" w:val="none"/>
          <w:tr2bl w:color="auto" w:space="0" w:sz="0" w:val="none"/>
        </w:tcBorders>
        <w:shd w:color="ffffff" w:fill="ffffff" w:val="solid"/>
      </w:tcPr>
    </w:tblStylePr>
    <w:tblStylePr w:type="firstCol">
      <w:rPr>
        <w:b w:val="1"/>
        <w:bCs w:val="1"/>
        <w:color w:val="000000"/>
      </w:rPr>
      <w:tblPr/>
      <w:tcPr>
        <w:tcBorders>
          <w:tl2br w:color="auto" w:space="0" w:sz="0" w:val="none"/>
          <w:tr2bl w:color="auto" w:space="0" w:sz="0" w:val="none"/>
        </w:tcBorders>
      </w:tcPr>
    </w:tblStylePr>
  </w:style>
  <w:style w:type="table" w:styleId="TableClassic4">
    <w:name w:val="Table Classic 4"/>
    <w:basedOn w:val="TableNormal"/>
    <w:uiPriority w:val="99"/>
    <w:semiHidden w:val="1"/>
    <w:unhideWhenUsed w:val="1"/>
    <w:rsid w:val="00687316"/>
    <w:pPr>
      <w:spacing w:after="240" w:line="240" w:lineRule="auto"/>
    </w:pPr>
    <w:tblPr>
      <w:tblBorders>
        <w:top w:color="000000" w:space="0" w:sz="12" w:val="single"/>
        <w:left w:color="000000" w:space="0" w:sz="6" w:val="single"/>
        <w:bottom w:color="000000" w:space="0" w:sz="12" w:val="single"/>
        <w:right w:color="000000" w:space="0" w:sz="6" w:val="single"/>
      </w:tblBorders>
    </w:tblPr>
    <w:tcPr>
      <w:shd w:color="auto" w:fill="auto" w:val="clear"/>
    </w:tcPr>
    <w:tblStylePr w:type="firstRow">
      <w:rPr>
        <w:b w:val="1"/>
        <w:bCs w:val="1"/>
        <w:i w:val="1"/>
        <w:iCs w:val="1"/>
        <w:color w:val="ffffff"/>
      </w:rPr>
      <w:tblPr/>
      <w:tcPr>
        <w:tcBorders>
          <w:bottom w:color="000000" w:space="0" w:sz="6" w:val="single"/>
          <w:tl2br w:color="auto" w:space="0" w:sz="0" w:val="none"/>
          <w:tr2bl w:color="auto" w:space="0" w:sz="0" w:val="none"/>
        </w:tcBorders>
        <w:shd w:color="000080" w:fill="ffffff" w:val="pct50"/>
      </w:tcPr>
    </w:tblStylePr>
    <w:tblStylePr w:type="lastRow">
      <w:rPr>
        <w:color w:val="000080"/>
      </w:rPr>
      <w:tblPr/>
      <w:tcPr>
        <w:tcBorders>
          <w:bottom w:color="000000" w:space="0" w:sz="6" w:val="single"/>
          <w:tl2br w:color="auto" w:space="0" w:sz="0" w:val="none"/>
          <w:tr2bl w:color="auto" w:space="0" w:sz="0" w:val="none"/>
        </w:tcBorders>
        <w:shd w:color="000000" w:fill="ffffff" w:val="pct50"/>
      </w:tcPr>
    </w:tblStylePr>
    <w:tblStylePr w:type="firstCol">
      <w:rPr>
        <w:b w:val="1"/>
        <w:bCs w:val="1"/>
      </w:rPr>
      <w:tblPr/>
      <w:tcPr>
        <w:tcBorders>
          <w:tl2br w:color="auto" w:space="0" w:sz="0" w:val="none"/>
          <w:tr2bl w:color="auto" w:space="0" w:sz="0" w:val="none"/>
        </w:tcBorders>
      </w:tcPr>
    </w:tblStylePr>
    <w:tblStylePr w:type="nwCell">
      <w:rPr>
        <w:b w:val="1"/>
        <w:bCs w:val="1"/>
      </w:rPr>
      <w:tblPr/>
      <w:tcPr>
        <w:tcBorders>
          <w:tl2br w:color="auto" w:space="0" w:sz="0" w:val="none"/>
          <w:tr2bl w:color="auto" w:space="0" w:sz="0" w:val="none"/>
        </w:tcBorders>
      </w:tcPr>
    </w:tblStylePr>
    <w:tblStylePr w:type="swCell">
      <w:rPr>
        <w:color w:val="000080"/>
      </w:rPr>
      <w:tblPr/>
      <w:tcPr>
        <w:tcBorders>
          <w:tl2br w:color="auto" w:space="0" w:sz="0" w:val="none"/>
          <w:tr2bl w:color="auto" w:space="0" w:sz="0" w:val="none"/>
        </w:tcBorders>
      </w:tcPr>
    </w:tblStylePr>
  </w:style>
  <w:style w:type="table" w:styleId="TableColorful1">
    <w:name w:val="Table Colorful 1"/>
    <w:basedOn w:val="TableNormal"/>
    <w:uiPriority w:val="99"/>
    <w:semiHidden w:val="1"/>
    <w:unhideWhenUsed w:val="1"/>
    <w:rsid w:val="00687316"/>
    <w:pPr>
      <w:spacing w:after="240" w:line="240" w:lineRule="auto"/>
    </w:pPr>
    <w:rPr>
      <w:color w:val="ffffff"/>
    </w:rPr>
    <w:tblPr>
      <w:tblBorders>
        <w:top w:color="008080" w:space="0" w:sz="12" w:val="single"/>
        <w:left w:color="008080" w:space="0" w:sz="12" w:val="single"/>
        <w:bottom w:color="008080" w:space="0" w:sz="12" w:val="single"/>
        <w:right w:color="008080" w:space="0" w:sz="12" w:val="single"/>
        <w:insideH w:color="00ffff" w:space="0" w:sz="6" w:val="single"/>
      </w:tblBorders>
    </w:tblPr>
    <w:tcPr>
      <w:shd w:color="008080" w:fill="ffffff" w:val="solid"/>
    </w:tcPr>
    <w:tblStylePr w:type="firstRow">
      <w:rPr>
        <w:b w:val="1"/>
        <w:bCs w:val="1"/>
        <w:i w:val="1"/>
        <w:iCs w:val="1"/>
      </w:rPr>
      <w:tblPr/>
      <w:tcPr>
        <w:tcBorders>
          <w:tl2br w:color="auto" w:space="0" w:sz="0" w:val="none"/>
          <w:tr2bl w:color="auto" w:space="0" w:sz="0" w:val="none"/>
        </w:tcBorders>
        <w:shd w:color="000000" w:fill="ffffff" w:val="solid"/>
      </w:tcPr>
    </w:tblStylePr>
    <w:tblStylePr w:type="firstCol">
      <w:rPr>
        <w:b w:val="1"/>
        <w:bCs w:val="1"/>
        <w:i w:val="1"/>
        <w:iCs w:val="1"/>
      </w:rPr>
      <w:tblPr/>
      <w:tcPr>
        <w:tcBorders>
          <w:tl2br w:color="auto" w:space="0" w:sz="0" w:val="none"/>
          <w:tr2bl w:color="auto" w:space="0" w:sz="0" w:val="none"/>
        </w:tcBorders>
        <w:shd w:color="000080" w:fill="ffffff" w:val="solid"/>
      </w:tcPr>
    </w:tblStylePr>
    <w:tblStylePr w:type="nwCell">
      <w:tblPr/>
      <w:tcPr>
        <w:tcBorders>
          <w:tl2br w:color="auto" w:space="0" w:sz="0" w:val="none"/>
          <w:tr2bl w:color="auto" w:space="0" w:sz="0" w:val="none"/>
        </w:tcBorders>
        <w:shd w:color="000000" w:fill="ffffff" w:val="solid"/>
      </w:tcPr>
    </w:tblStylePr>
    <w:tblStylePr w:type="swCell">
      <w:rPr>
        <w:b w:val="1"/>
        <w:bCs w:val="1"/>
        <w:i w:val="0"/>
        <w:iCs w:val="0"/>
      </w:rPr>
      <w:tblPr/>
      <w:tcPr>
        <w:tcBorders>
          <w:tl2br w:color="auto" w:space="0" w:sz="0" w:val="none"/>
          <w:tr2bl w:color="auto" w:space="0" w:sz="0" w:val="none"/>
        </w:tcBorders>
      </w:tcPr>
    </w:tblStylePr>
  </w:style>
  <w:style w:type="table" w:styleId="TableColorful2">
    <w:name w:val="Table Colorful 2"/>
    <w:basedOn w:val="TableNormal"/>
    <w:uiPriority w:val="99"/>
    <w:semiHidden w:val="1"/>
    <w:unhideWhenUsed w:val="1"/>
    <w:rsid w:val="00687316"/>
    <w:pPr>
      <w:spacing w:after="240" w:line="240" w:lineRule="auto"/>
    </w:pPr>
    <w:tblPr>
      <w:tblBorders>
        <w:bottom w:color="000000" w:space="0" w:sz="12" w:val="single"/>
      </w:tblBorders>
    </w:tblPr>
    <w:tcPr>
      <w:shd w:color="ffff00" w:fill="ffffff" w:val="pct20"/>
    </w:tcPr>
    <w:tblStylePr w:type="firstRow">
      <w:rPr>
        <w:b w:val="1"/>
        <w:bCs w:val="1"/>
        <w:i w:val="1"/>
        <w:iCs w:val="1"/>
        <w:color w:val="ffffff"/>
      </w:rPr>
      <w:tblPr/>
      <w:tcPr>
        <w:tcBorders>
          <w:bottom w:color="000000" w:space="0" w:sz="12" w:val="single"/>
          <w:tl2br w:color="auto" w:space="0" w:sz="0" w:val="none"/>
          <w:tr2bl w:color="auto" w:space="0" w:sz="0" w:val="none"/>
        </w:tcBorders>
        <w:shd w:color="800000" w:fill="ffffff" w:val="solid"/>
      </w:tcPr>
    </w:tblStylePr>
    <w:tblStylePr w:type="firstCol">
      <w:rPr>
        <w:b w:val="1"/>
        <w:bCs w:val="1"/>
        <w:i w:val="1"/>
        <w:iCs w:val="1"/>
      </w:rPr>
      <w:tblPr/>
      <w:tcPr>
        <w:tcBorders>
          <w:tl2br w:color="auto" w:space="0" w:sz="0" w:val="none"/>
          <w:tr2bl w:color="auto" w:space="0" w:sz="0" w:val="none"/>
        </w:tcBorders>
      </w:tcPr>
    </w:tblStylePr>
    <w:tblStylePr w:type="lastCol">
      <w:tblPr/>
      <w:tcPr>
        <w:tcBorders>
          <w:tl2br w:color="auto" w:space="0" w:sz="0" w:val="none"/>
          <w:tr2bl w:color="auto" w:space="0" w:sz="0" w:val="none"/>
        </w:tcBorders>
        <w:shd w:color="c0c0c0" w:fill="ffffff" w:val="solid"/>
      </w:tcPr>
    </w:tblStylePr>
    <w:tblStylePr w:type="swCell">
      <w:rPr>
        <w:b w:val="1"/>
        <w:bCs w:val="1"/>
        <w:i w:val="0"/>
        <w:iCs w:val="0"/>
      </w:rPr>
      <w:tblPr/>
      <w:tcPr>
        <w:tcBorders>
          <w:tl2br w:color="auto" w:space="0" w:sz="0" w:val="none"/>
          <w:tr2bl w:color="auto" w:space="0" w:sz="0" w:val="none"/>
        </w:tcBorders>
      </w:tcPr>
    </w:tblStylePr>
  </w:style>
  <w:style w:type="table" w:styleId="TableColorful3">
    <w:name w:val="Table Colorful 3"/>
    <w:basedOn w:val="TableNormal"/>
    <w:uiPriority w:val="99"/>
    <w:semiHidden w:val="1"/>
    <w:unhideWhenUsed w:val="1"/>
    <w:rsid w:val="00687316"/>
    <w:pPr>
      <w:spacing w:after="240" w:line="240" w:lineRule="auto"/>
    </w:pPr>
    <w:tblPr>
      <w:tblBorders>
        <w:top w:color="000000" w:space="0" w:sz="18" w:val="single"/>
        <w:left w:color="000000" w:space="0" w:sz="18" w:val="single"/>
        <w:bottom w:color="000000" w:space="0" w:sz="18" w:val="single"/>
        <w:right w:color="000000" w:space="0" w:sz="18" w:val="single"/>
        <w:insideH w:color="c0c0c0" w:space="0" w:sz="6" w:val="single"/>
      </w:tblBorders>
    </w:tblPr>
    <w:tcPr>
      <w:shd w:color="008080" w:fill="ffffff" w:val="pct25"/>
    </w:tcPr>
    <w:tblStylePr w:type="firstRow">
      <w:tblPr/>
      <w:tcPr>
        <w:tcBorders>
          <w:bottom w:color="000000" w:space="0" w:sz="6" w:val="single"/>
          <w:tl2br w:color="auto" w:space="0" w:sz="0" w:val="none"/>
          <w:tr2bl w:color="auto" w:space="0" w:sz="0" w:val="none"/>
        </w:tcBorders>
        <w:shd w:color="008080" w:fill="ffffff" w:val="solid"/>
      </w:tcPr>
    </w:tblStylePr>
    <w:tblStylePr w:type="firstCol">
      <w:tblPr/>
      <w:tcPr>
        <w:tcBorders>
          <w:left w:color="000000" w:space="0" w:sz="36" w:val="single"/>
          <w:right w:color="000000" w:space="0" w:sz="6" w:val="single"/>
          <w:tl2br w:color="auto" w:space="0" w:sz="0" w:val="none"/>
          <w:tr2bl w:color="auto" w:space="0" w:sz="0" w:val="none"/>
        </w:tcBorders>
        <w:shd w:color="008080" w:fill="ffffff" w:val="solid"/>
      </w:tcPr>
    </w:tblStylePr>
    <w:tblStylePr w:type="nwCell">
      <w:rPr>
        <w:b w:val="1"/>
        <w:bCs w:val="1"/>
        <w:color w:val="ffffff"/>
      </w:rPr>
      <w:tblPr/>
      <w:tcPr>
        <w:tcBorders>
          <w:tl2br w:color="auto" w:space="0" w:sz="0" w:val="none"/>
          <w:tr2bl w:color="auto" w:space="0" w:sz="0" w:val="none"/>
        </w:tcBorders>
        <w:shd w:color="000000" w:fill="ffffff" w:val="solid"/>
      </w:tcPr>
    </w:tblStylePr>
  </w:style>
  <w:style w:type="table" w:styleId="TableColumns1">
    <w:name w:val="Table Columns 1"/>
    <w:basedOn w:val="TableNormal"/>
    <w:uiPriority w:val="99"/>
    <w:semiHidden w:val="1"/>
    <w:unhideWhenUsed w:val="1"/>
    <w:rsid w:val="00687316"/>
    <w:pPr>
      <w:spacing w:after="240" w:line="240" w:lineRule="auto"/>
    </w:pPr>
    <w:rPr>
      <w:b w:val="1"/>
      <w:bCs w:val="1"/>
    </w:rPr>
    <w:tblPr>
      <w:tblStyleColBandSize w:val="1"/>
      <w:tblBorders>
        <w:top w:color="000000" w:space="0" w:sz="12" w:val="single"/>
        <w:left w:color="000000" w:space="0" w:sz="12" w:val="single"/>
        <w:bottom w:color="000000" w:space="0" w:sz="12" w:val="single"/>
        <w:right w:color="000000" w:space="0" w:sz="12" w:val="single"/>
      </w:tblBorders>
    </w:tblPr>
    <w:tblStylePr w:type="firstRow">
      <w:rPr>
        <w:b w:val="0"/>
        <w:bCs w:val="0"/>
      </w:rPr>
      <w:tblPr/>
      <w:tcPr>
        <w:tcBorders>
          <w:bottom w:color="000000" w:space="0" w:sz="6" w:val="double"/>
          <w:tl2br w:color="auto" w:space="0" w:sz="0" w:val="none"/>
          <w:tr2bl w:color="auto" w:space="0" w:sz="0" w:val="none"/>
        </w:tcBorders>
      </w:tcPr>
    </w:tblStylePr>
    <w:tblStylePr w:type="lastRow">
      <w:rPr>
        <w:b w:val="0"/>
        <w:bCs w:val="0"/>
      </w:rPr>
      <w:tblPr/>
      <w:tcPr>
        <w:tcBorders>
          <w:tl2br w:color="auto" w:space="0" w:sz="0" w:val="none"/>
          <w:tr2bl w:color="auto" w:space="0" w:sz="0" w:val="none"/>
        </w:tcBorders>
      </w:tcPr>
    </w:tblStylePr>
    <w:tblStylePr w:type="firstCol">
      <w:rPr>
        <w:b w:val="0"/>
        <w:bCs w:val="0"/>
      </w:rPr>
      <w:tblPr/>
      <w:tcPr>
        <w:tcBorders>
          <w:tl2br w:color="auto" w:space="0" w:sz="0" w:val="none"/>
          <w:tr2bl w:color="auto" w:space="0" w:sz="0" w:val="none"/>
        </w:tcBorders>
      </w:tcPr>
    </w:tblStylePr>
    <w:tblStylePr w:type="lastCol">
      <w:rPr>
        <w:b w:val="0"/>
        <w:bCs w:val="0"/>
      </w:rPr>
      <w:tblPr/>
      <w:tcPr>
        <w:tcBorders>
          <w:tl2br w:color="auto" w:space="0" w:sz="0" w:val="none"/>
          <w:tr2bl w:color="auto" w:space="0" w:sz="0" w:val="none"/>
        </w:tcBorders>
      </w:tcPr>
    </w:tblStylePr>
    <w:tblStylePr w:type="band1Vert">
      <w:rPr>
        <w:color w:val="auto"/>
      </w:rPr>
      <w:tblPr/>
      <w:tcPr>
        <w:shd w:color="000000" w:fill="ffffff" w:val="pct25"/>
      </w:tcPr>
    </w:tblStylePr>
    <w:tblStylePr w:type="band2Vert">
      <w:rPr>
        <w:color w:val="auto"/>
      </w:rPr>
      <w:tblPr/>
      <w:tcPr>
        <w:shd w:color="ffff00" w:fill="ffffff" w:val="pct25"/>
      </w:tcPr>
    </w:tblStylePr>
    <w:tblStylePr w:type="neCell">
      <w:rPr>
        <w:b w:val="1"/>
        <w:bCs w:val="1"/>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Columns2">
    <w:name w:val="Table Columns 2"/>
    <w:basedOn w:val="TableNormal"/>
    <w:uiPriority w:val="99"/>
    <w:semiHidden w:val="1"/>
    <w:unhideWhenUsed w:val="1"/>
    <w:rsid w:val="00687316"/>
    <w:pPr>
      <w:spacing w:after="240" w:line="240" w:lineRule="auto"/>
    </w:pPr>
    <w:rPr>
      <w:b w:val="1"/>
      <w:bCs w:val="1"/>
    </w:rPr>
    <w:tblPr>
      <w:tblStyleColBandSize w:val="1"/>
    </w:tblPr>
    <w:tblStylePr w:type="firstRow">
      <w:rPr>
        <w:color w:val="ffffff"/>
      </w:rPr>
      <w:tblPr/>
      <w:tcPr>
        <w:tcBorders>
          <w:tl2br w:color="auto" w:space="0" w:sz="0" w:val="none"/>
          <w:tr2bl w:color="auto" w:space="0" w:sz="0" w:val="none"/>
        </w:tcBorders>
        <w:shd w:color="000080" w:fill="ffffff" w:val="solid"/>
      </w:tcPr>
    </w:tblStylePr>
    <w:tblStylePr w:type="lastRow">
      <w:rPr>
        <w:b w:val="0"/>
        <w:bCs w:val="0"/>
      </w:rPr>
      <w:tblPr/>
      <w:tcPr>
        <w:tcBorders>
          <w:tl2br w:color="auto" w:space="0" w:sz="0" w:val="none"/>
          <w:tr2bl w:color="auto" w:space="0" w:sz="0" w:val="none"/>
        </w:tcBorders>
      </w:tcPr>
    </w:tblStylePr>
    <w:tblStylePr w:type="firstCol">
      <w:rPr>
        <w:b w:val="0"/>
        <w:bCs w:val="0"/>
        <w:color w:val="000000"/>
      </w:rPr>
      <w:tblPr/>
      <w:tcPr>
        <w:tcBorders>
          <w:tl2br w:color="auto" w:space="0" w:sz="0" w:val="none"/>
          <w:tr2bl w:color="auto" w:space="0" w:sz="0" w:val="none"/>
        </w:tcBorders>
      </w:tcPr>
    </w:tblStylePr>
    <w:tblStylePr w:type="lastCol">
      <w:rPr>
        <w:b w:val="0"/>
        <w:bCs w:val="0"/>
      </w:rPr>
      <w:tblPr/>
      <w:tcPr>
        <w:tcBorders>
          <w:tl2br w:color="auto" w:space="0" w:sz="0" w:val="none"/>
          <w:tr2bl w:color="auto" w:space="0" w:sz="0" w:val="none"/>
        </w:tcBorders>
      </w:tcPr>
    </w:tblStylePr>
    <w:tblStylePr w:type="band1Vert">
      <w:rPr>
        <w:color w:val="auto"/>
      </w:rPr>
      <w:tblPr/>
      <w:tcPr>
        <w:shd w:color="000000" w:fill="ffffff" w:val="pct30"/>
      </w:tcPr>
    </w:tblStylePr>
    <w:tblStylePr w:type="band2Vert">
      <w:rPr>
        <w:color w:val="auto"/>
      </w:rPr>
      <w:tblPr/>
      <w:tcPr>
        <w:shd w:color="00ff00" w:fill="ffffff" w:val="pct25"/>
      </w:tcPr>
    </w:tblStylePr>
    <w:tblStylePr w:type="neCell">
      <w:rPr>
        <w:b w:val="1"/>
        <w:bCs w:val="1"/>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Columns3">
    <w:name w:val="Table Columns 3"/>
    <w:basedOn w:val="TableNormal"/>
    <w:uiPriority w:val="99"/>
    <w:semiHidden w:val="1"/>
    <w:unhideWhenUsed w:val="1"/>
    <w:rsid w:val="00687316"/>
    <w:pPr>
      <w:spacing w:after="240" w:line="240" w:lineRule="auto"/>
    </w:pPr>
    <w:rPr>
      <w:b w:val="1"/>
      <w:bCs w:val="1"/>
    </w:rPr>
    <w:tblPr>
      <w:tblStyleColBandSize w:val="1"/>
      <w:tblBorders>
        <w:top w:color="000080" w:space="0" w:sz="6" w:val="single"/>
        <w:left w:color="000080" w:space="0" w:sz="6" w:val="single"/>
        <w:bottom w:color="000080" w:space="0" w:sz="6" w:val="single"/>
        <w:right w:color="000080" w:space="0" w:sz="6" w:val="single"/>
        <w:insideV w:color="000080" w:space="0" w:sz="6" w:val="single"/>
      </w:tblBorders>
    </w:tblPr>
    <w:tblStylePr w:type="firstRow">
      <w:rPr>
        <w:color w:val="ffffff"/>
      </w:rPr>
      <w:tblPr/>
      <w:tcPr>
        <w:tcBorders>
          <w:tl2br w:color="auto" w:space="0" w:sz="0" w:val="none"/>
          <w:tr2bl w:color="auto" w:space="0" w:sz="0" w:val="none"/>
        </w:tcBorders>
        <w:shd w:color="000080" w:fill="ffffff" w:val="solid"/>
      </w:tcPr>
    </w:tblStylePr>
    <w:tblStylePr w:type="lastRow">
      <w:rPr>
        <w:b w:val="0"/>
        <w:bCs w:val="0"/>
      </w:rPr>
      <w:tblPr/>
      <w:tcPr>
        <w:tcBorders>
          <w:top w:color="000080" w:space="0" w:sz="6" w:val="single"/>
          <w:tl2br w:color="auto" w:space="0" w:sz="0" w:val="none"/>
          <w:tr2bl w:color="auto" w:space="0" w:sz="0" w:val="none"/>
        </w:tcBorders>
      </w:tcPr>
    </w:tblStylePr>
    <w:tblStylePr w:type="firstCol">
      <w:rPr>
        <w:b w:val="0"/>
        <w:bCs w:val="0"/>
      </w:rPr>
      <w:tblPr/>
      <w:tcPr>
        <w:tcBorders>
          <w:tl2br w:color="auto" w:space="0" w:sz="0" w:val="none"/>
          <w:tr2bl w:color="auto" w:space="0" w:sz="0" w:val="none"/>
        </w:tcBorders>
      </w:tcPr>
    </w:tblStylePr>
    <w:tblStylePr w:type="lastCol">
      <w:rPr>
        <w:b w:val="0"/>
        <w:bCs w:val="0"/>
      </w:rPr>
      <w:tblPr/>
      <w:tcPr>
        <w:tcBorders>
          <w:tl2br w:color="auto" w:space="0" w:sz="0" w:val="none"/>
          <w:tr2bl w:color="auto" w:space="0" w:sz="0" w:val="none"/>
        </w:tcBorders>
      </w:tcPr>
    </w:tblStylePr>
    <w:tblStylePr w:type="band1Vert">
      <w:rPr>
        <w:color w:val="auto"/>
      </w:rPr>
      <w:tblPr/>
      <w:tcPr>
        <w:shd w:color="c0c0c0" w:fill="ffffff" w:val="solid"/>
      </w:tcPr>
    </w:tblStylePr>
    <w:tblStylePr w:type="band2Vert">
      <w:rPr>
        <w:color w:val="auto"/>
      </w:rPr>
      <w:tblPr/>
      <w:tcPr>
        <w:shd w:color="000000" w:fill="ffffff" w:val="pct10"/>
      </w:tcPr>
    </w:tblStylePr>
    <w:tblStylePr w:type="neCell">
      <w:rPr>
        <w:b w:val="1"/>
        <w:bCs w:val="1"/>
      </w:rPr>
      <w:tblPr/>
      <w:tcPr>
        <w:tcBorders>
          <w:tl2br w:color="auto" w:space="0" w:sz="0" w:val="none"/>
          <w:tr2bl w:color="auto" w:space="0" w:sz="0" w:val="none"/>
        </w:tcBorders>
      </w:tcPr>
    </w:tblStylePr>
  </w:style>
  <w:style w:type="table" w:styleId="TableColumns4">
    <w:name w:val="Table Columns 4"/>
    <w:basedOn w:val="TableNormal"/>
    <w:uiPriority w:val="99"/>
    <w:semiHidden w:val="1"/>
    <w:unhideWhenUsed w:val="1"/>
    <w:rsid w:val="00687316"/>
    <w:pPr>
      <w:spacing w:after="240" w:line="240" w:lineRule="auto"/>
    </w:pPr>
    <w:tblPr>
      <w:tblStyleColBandSize w:val="1"/>
    </w:tblPr>
    <w:tblStylePr w:type="firstRow">
      <w:rPr>
        <w:color w:val="ffffff"/>
      </w:rPr>
      <w:tblPr/>
      <w:tcPr>
        <w:tcBorders>
          <w:tl2br w:color="auto" w:space="0" w:sz="0" w:val="none"/>
          <w:tr2bl w:color="auto" w:space="0" w:sz="0" w:val="none"/>
        </w:tcBorders>
        <w:shd w:color="000000" w:fill="ffffff" w:val="solid"/>
      </w:tcPr>
    </w:tblStylePr>
    <w:tblStylePr w:type="lastRow">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band1Vert">
      <w:rPr>
        <w:color w:val="auto"/>
      </w:rPr>
      <w:tblPr/>
      <w:tcPr>
        <w:shd w:color="008080" w:fill="ffffff" w:val="pct50"/>
      </w:tcPr>
    </w:tblStylePr>
    <w:tblStylePr w:type="band2Vert">
      <w:rPr>
        <w:color w:val="auto"/>
      </w:rPr>
      <w:tblPr/>
      <w:tcPr>
        <w:shd w:color="000000" w:fill="ffffff" w:val="pct10"/>
      </w:tcPr>
    </w:tblStylePr>
  </w:style>
  <w:style w:type="table" w:styleId="TableColumns5">
    <w:name w:val="Table Columns 5"/>
    <w:basedOn w:val="TableNormal"/>
    <w:uiPriority w:val="99"/>
    <w:semiHidden w:val="1"/>
    <w:unhideWhenUsed w:val="1"/>
    <w:rsid w:val="00687316"/>
    <w:pPr>
      <w:spacing w:after="240" w:line="240" w:lineRule="auto"/>
    </w:pPr>
    <w:tblPr>
      <w:tblStyleColBandSize w:val="1"/>
      <w:tblBorders>
        <w:top w:color="808080" w:space="0" w:sz="12" w:val="single"/>
        <w:left w:color="808080" w:space="0" w:sz="12" w:val="single"/>
        <w:bottom w:color="808080" w:space="0" w:sz="12" w:val="single"/>
        <w:right w:color="808080" w:space="0" w:sz="12" w:val="single"/>
        <w:insideV w:color="c0c0c0" w:space="0" w:sz="6" w:val="single"/>
      </w:tblBorders>
    </w:tblPr>
    <w:tblStylePr w:type="firstRow">
      <w:rPr>
        <w:b w:val="1"/>
        <w:bCs w:val="1"/>
        <w:i w:val="1"/>
        <w:iCs w:val="1"/>
      </w:rPr>
      <w:tblPr/>
      <w:tcPr>
        <w:tcBorders>
          <w:bottom w:color="808080" w:space="0" w:sz="6" w:val="single"/>
          <w:tl2br w:color="auto" w:space="0" w:sz="0" w:val="none"/>
          <w:tr2bl w:color="auto" w:space="0" w:sz="0" w:val="none"/>
        </w:tcBorders>
      </w:tcPr>
    </w:tblStylePr>
    <w:tblStylePr w:type="lastRow">
      <w:rPr>
        <w:b w:val="1"/>
        <w:bCs w:val="1"/>
      </w:rPr>
      <w:tblPr/>
      <w:tcPr>
        <w:tcBorders>
          <w:top w:color="80808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band1Vert">
      <w:rPr>
        <w:color w:val="auto"/>
      </w:rPr>
      <w:tblPr/>
      <w:tcPr>
        <w:shd w:color="c0c0c0" w:fill="ffffff" w:val="solid"/>
      </w:tcPr>
    </w:tblStylePr>
    <w:tblStylePr w:type="band2Vert">
      <w:rPr>
        <w:color w:val="auto"/>
      </w:rPr>
    </w:tblStylePr>
  </w:style>
  <w:style w:type="table" w:styleId="TableContemporary">
    <w:name w:val="Table Contemporary"/>
    <w:basedOn w:val="TableNormal"/>
    <w:uiPriority w:val="99"/>
    <w:semiHidden w:val="1"/>
    <w:unhideWhenUsed w:val="1"/>
    <w:rsid w:val="00687316"/>
    <w:pPr>
      <w:spacing w:after="240" w:line="240" w:lineRule="auto"/>
    </w:pPr>
    <w:tblPr>
      <w:tblStyleRowBandSize w:val="1"/>
      <w:tblBorders>
        <w:insideH w:color="ffffff" w:space="0" w:sz="18" w:val="single"/>
        <w:insideV w:color="ffffff" w:space="0" w:sz="18" w:val="single"/>
      </w:tblBorders>
    </w:tblPr>
    <w:tblStylePr w:type="firstRow">
      <w:rPr>
        <w:b w:val="1"/>
        <w:bCs w:val="1"/>
        <w:color w:val="auto"/>
      </w:rPr>
      <w:tblPr/>
      <w:tcPr>
        <w:tcBorders>
          <w:tl2br w:color="auto" w:space="0" w:sz="0" w:val="none"/>
          <w:tr2bl w:color="auto" w:space="0" w:sz="0" w:val="none"/>
        </w:tcBorders>
        <w:shd w:color="000000" w:fill="ffffff" w:val="pct20"/>
      </w:tcPr>
    </w:tblStylePr>
    <w:tblStylePr w:type="band1Horz">
      <w:rPr>
        <w:color w:val="auto"/>
      </w:rPr>
      <w:tblPr/>
      <w:tcPr>
        <w:tcBorders>
          <w:tl2br w:color="auto" w:space="0" w:sz="0" w:val="none"/>
          <w:tr2bl w:color="auto" w:space="0" w:sz="0" w:val="none"/>
        </w:tcBorders>
        <w:shd w:color="000000" w:fill="ffffff" w:val="pct5"/>
      </w:tcPr>
    </w:tblStylePr>
    <w:tblStylePr w:type="band2Horz">
      <w:rPr>
        <w:color w:val="auto"/>
      </w:rPr>
      <w:tblPr/>
      <w:tcPr>
        <w:tcBorders>
          <w:tl2br w:color="auto" w:space="0" w:sz="0" w:val="none"/>
          <w:tr2bl w:color="auto" w:space="0" w:sz="0" w:val="none"/>
        </w:tcBorders>
        <w:shd w:color="000000" w:fill="ffffff" w:val="pct20"/>
      </w:tcPr>
    </w:tblStylePr>
  </w:style>
  <w:style w:type="table" w:styleId="TableElegant">
    <w:name w:val="Table Elegant"/>
    <w:basedOn w:val="TableNormal"/>
    <w:uiPriority w:val="99"/>
    <w:semiHidden w:val="1"/>
    <w:unhideWhenUsed w:val="1"/>
    <w:rsid w:val="00687316"/>
    <w:pPr>
      <w:spacing w:after="240" w:line="240" w:lineRule="auto"/>
    </w:pPr>
    <w:tblPr>
      <w:tblBorders>
        <w:top w:color="000000" w:space="0" w:sz="6" w:val="double"/>
        <w:left w:color="000000" w:space="0" w:sz="6" w:val="double"/>
        <w:bottom w:color="000000" w:space="0" w:sz="6" w:val="double"/>
        <w:right w:color="000000" w:space="0" w:sz="6" w:val="double"/>
        <w:insideH w:color="000000" w:space="0" w:sz="6" w:val="single"/>
        <w:insideV w:color="000000" w:space="0" w:sz="6" w:val="single"/>
      </w:tblBorders>
    </w:tblPr>
    <w:tcPr>
      <w:shd w:color="auto" w:fill="auto" w:val="clear"/>
    </w:tcPr>
    <w:tblStylePr w:type="firstRow">
      <w:rPr>
        <w:caps w:val="1"/>
        <w:color w:val="auto"/>
      </w:rPr>
      <w:tblPr/>
      <w:tcPr>
        <w:tcBorders>
          <w:tl2br w:color="auto" w:space="0" w:sz="0" w:val="none"/>
          <w:tr2bl w:color="auto" w:space="0" w:sz="0" w:val="none"/>
        </w:tcBorders>
      </w:tcPr>
    </w:tblStylePr>
  </w:style>
  <w:style w:type="table" w:styleId="TableGrid1">
    <w:name w:val="Table Grid 1"/>
    <w:basedOn w:val="TableNormal"/>
    <w:uiPriority w:val="99"/>
    <w:semiHidden w:val="1"/>
    <w:unhideWhenUsed w:val="1"/>
    <w:rsid w:val="00687316"/>
    <w:pPr>
      <w:spacing w:after="240" w:line="240" w:lineRule="auto"/>
    </w:pPr>
    <w:tblP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Pr>
    <w:tcPr>
      <w:shd w:color="auto" w:fill="auto" w:val="clear"/>
    </w:tcPr>
    <w:tblStylePr w:type="lastRow">
      <w:rPr>
        <w:i w:val="1"/>
        <w:iCs w:val="1"/>
      </w:rPr>
      <w:tblPr/>
      <w:tcPr>
        <w:tcBorders>
          <w:tl2br w:color="auto" w:space="0" w:sz="0" w:val="none"/>
          <w:tr2bl w:color="auto" w:space="0" w:sz="0" w:val="none"/>
        </w:tcBorders>
      </w:tcPr>
    </w:tblStylePr>
    <w:tblStylePr w:type="lastCol">
      <w:rPr>
        <w:i w:val="1"/>
        <w:iCs w:val="1"/>
      </w:rPr>
      <w:tblPr/>
      <w:tcPr>
        <w:tcBorders>
          <w:tl2br w:color="auto" w:space="0" w:sz="0" w:val="none"/>
          <w:tr2bl w:color="auto" w:space="0" w:sz="0" w:val="none"/>
        </w:tcBorders>
      </w:tcPr>
    </w:tblStylePr>
  </w:style>
  <w:style w:type="table" w:styleId="TableGrid2">
    <w:name w:val="Table Grid 2"/>
    <w:basedOn w:val="TableNormal"/>
    <w:uiPriority w:val="99"/>
    <w:semiHidden w:val="1"/>
    <w:unhideWhenUsed w:val="1"/>
    <w:rsid w:val="00687316"/>
    <w:pPr>
      <w:spacing w:after="240" w:line="240" w:lineRule="auto"/>
    </w:pPr>
    <w:tblPr>
      <w:tblBorders>
        <w:insideH w:color="000000" w:space="0" w:sz="6" w:val="single"/>
        <w:insideV w:color="000000" w:space="0" w:sz="6" w:val="single"/>
      </w:tblBorders>
    </w:tblPr>
    <w:tcPr>
      <w:shd w:color="auto" w:fill="auto" w:val="clear"/>
    </w:tcPr>
    <w:tblStylePr w:type="firstRow">
      <w:rPr>
        <w:b w:val="1"/>
        <w:bCs w:val="1"/>
      </w:rPr>
      <w:tblPr/>
      <w:tcPr>
        <w:tcBorders>
          <w:tl2br w:color="auto" w:space="0" w:sz="0" w:val="none"/>
          <w:tr2bl w:color="auto" w:space="0" w:sz="0" w:val="none"/>
        </w:tcBorders>
      </w:tcPr>
    </w:tblStylePr>
    <w:tblStylePr w:type="lastRow">
      <w:rPr>
        <w:b w:val="1"/>
        <w:bCs w:val="1"/>
      </w:rPr>
      <w:tblPr/>
      <w:tcPr>
        <w:tcBorders>
          <w:top w:color="00000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style>
  <w:style w:type="table" w:styleId="TableGrid3">
    <w:name w:val="Table Grid 3"/>
    <w:basedOn w:val="TableNormal"/>
    <w:uiPriority w:val="99"/>
    <w:semiHidden w:val="1"/>
    <w:unhideWhenUsed w:val="1"/>
    <w:rsid w:val="00687316"/>
    <w:pPr>
      <w:spacing w:after="240" w:line="240" w:lineRule="auto"/>
    </w:pPr>
    <w:tblPr>
      <w:tblBorders>
        <w:top w:color="000000" w:space="0" w:sz="6" w:val="single"/>
        <w:left w:color="000000" w:space="0" w:sz="12" w:val="single"/>
        <w:bottom w:color="000000" w:space="0" w:sz="6" w:val="single"/>
        <w:right w:color="000000" w:space="0" w:sz="12" w:val="single"/>
        <w:insideV w:color="000000" w:space="0" w:sz="6" w:val="single"/>
      </w:tblBorders>
    </w:tblPr>
    <w:tcPr>
      <w:shd w:color="auto" w:fill="auto" w:val="clear"/>
    </w:tcPr>
    <w:tblStylePr w:type="firstRow">
      <w:tblPr/>
      <w:tcPr>
        <w:tcBorders>
          <w:bottom w:color="000000" w:space="0" w:sz="6" w:val="single"/>
          <w:tl2br w:color="auto" w:space="0" w:sz="0" w:val="none"/>
          <w:tr2bl w:color="auto" w:space="0" w:sz="0" w:val="none"/>
        </w:tcBorders>
        <w:shd w:color="ffff00" w:fill="ffffff" w:val="pct30"/>
      </w:tcPr>
    </w:tblStylePr>
    <w:tblStylePr w:type="lastRow">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style>
  <w:style w:type="table" w:styleId="TableGrid4">
    <w:name w:val="Table Grid 4"/>
    <w:basedOn w:val="TableNormal"/>
    <w:uiPriority w:val="99"/>
    <w:semiHidden w:val="1"/>
    <w:unhideWhenUsed w:val="1"/>
    <w:rsid w:val="00687316"/>
    <w:pPr>
      <w:spacing w:after="240" w:line="240" w:lineRule="auto"/>
    </w:pPr>
    <w:tblPr>
      <w:tblBorders>
        <w:left w:color="000000" w:space="0" w:sz="12" w:val="single"/>
        <w:right w:color="000000" w:space="0" w:sz="12" w:val="single"/>
        <w:insideH w:color="000000" w:space="0" w:sz="6" w:val="single"/>
        <w:insideV w:color="000000" w:space="0" w:sz="6" w:val="single"/>
      </w:tblBorders>
    </w:tblPr>
    <w:tcPr>
      <w:shd w:color="auto" w:fill="auto" w:val="clear"/>
    </w:tcPr>
    <w:tblStylePr w:type="firstRow">
      <w:rPr>
        <w:color w:val="auto"/>
      </w:rPr>
      <w:tblPr/>
      <w:tcPr>
        <w:tcBorders>
          <w:bottom w:color="000000" w:space="0" w:sz="6" w:val="single"/>
          <w:tl2br w:color="auto" w:space="0" w:sz="0" w:val="none"/>
          <w:tr2bl w:color="auto" w:space="0" w:sz="0" w:val="none"/>
        </w:tcBorders>
        <w:shd w:color="ffff00" w:fill="ffffff" w:val="pct30"/>
      </w:tcPr>
    </w:tblStylePr>
    <w:tblStylePr w:type="lastRow">
      <w:rPr>
        <w:b w:val="1"/>
        <w:bCs w:val="1"/>
        <w:color w:val="auto"/>
      </w:rPr>
      <w:tblPr/>
      <w:tcPr>
        <w:tcBorders>
          <w:top w:color="000000" w:space="0" w:sz="6" w:val="single"/>
          <w:tl2br w:color="auto" w:space="0" w:sz="0" w:val="none"/>
          <w:tr2bl w:color="auto" w:space="0" w:sz="0" w:val="none"/>
        </w:tcBorders>
        <w:shd w:color="ffff00" w:fill="ffffff" w:val="pct30"/>
      </w:tcPr>
    </w:tblStylePr>
    <w:tblStylePr w:type="lastCol">
      <w:rPr>
        <w:b w:val="1"/>
        <w:bCs w:val="1"/>
        <w:color w:val="auto"/>
      </w:rPr>
      <w:tblPr/>
      <w:tcPr>
        <w:tcBorders>
          <w:tl2br w:color="auto" w:space="0" w:sz="0" w:val="none"/>
          <w:tr2bl w:color="auto" w:space="0" w:sz="0" w:val="none"/>
        </w:tcBorders>
      </w:tcPr>
    </w:tblStylePr>
  </w:style>
  <w:style w:type="table" w:styleId="TableGrid5">
    <w:name w:val="Table Grid 5"/>
    <w:basedOn w:val="TableNormal"/>
    <w:uiPriority w:val="99"/>
    <w:semiHidden w:val="1"/>
    <w:unhideWhenUsed w:val="1"/>
    <w:rsid w:val="00687316"/>
    <w:pPr>
      <w:spacing w:after="240" w:line="240" w:lineRule="auto"/>
    </w:pPr>
    <w:tblPr>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Pr>
    <w:tcPr>
      <w:shd w:color="auto" w:fill="auto" w:val="clear"/>
    </w:tcPr>
    <w:tblStylePr w:type="firstRow">
      <w:tblPr/>
      <w:tcPr>
        <w:tcBorders>
          <w:bottom w:color="000000" w:space="0" w:sz="12" w:val="single"/>
          <w:tl2br w:color="auto" w:space="0" w:sz="0" w:val="none"/>
          <w:tr2bl w:color="auto" w:space="0" w:sz="0" w:val="none"/>
        </w:tcBorders>
      </w:tcPr>
    </w:tblStylePr>
    <w:tblStylePr w:type="lastRow">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nwCell">
      <w:tblPr/>
      <w:tcPr>
        <w:tcBorders>
          <w:tl2br w:color="000000" w:space="0" w:sz="6" w:val="single"/>
          <w:tr2bl w:color="auto" w:space="0" w:sz="0" w:val="none"/>
        </w:tcBorders>
      </w:tcPr>
    </w:tblStylePr>
  </w:style>
  <w:style w:type="table" w:styleId="TableGrid6">
    <w:name w:val="Table Grid 6"/>
    <w:basedOn w:val="TableNormal"/>
    <w:uiPriority w:val="99"/>
    <w:semiHidden w:val="1"/>
    <w:unhideWhenUsed w:val="1"/>
    <w:rsid w:val="00687316"/>
    <w:pPr>
      <w:spacing w:after="240" w:line="240" w:lineRule="auto"/>
    </w:pPr>
    <w:tblPr>
      <w:tblBorders>
        <w:top w:color="000000" w:space="0" w:sz="12" w:val="single"/>
        <w:left w:color="000000" w:space="0" w:sz="12" w:val="single"/>
        <w:bottom w:color="000000" w:space="0" w:sz="12" w:val="single"/>
        <w:right w:color="000000" w:space="0" w:sz="12" w:val="single"/>
        <w:insideV w:color="000000" w:space="0" w:sz="6" w:val="single"/>
      </w:tblBorders>
    </w:tblPr>
    <w:tcPr>
      <w:shd w:color="auto" w:fill="auto" w:val="clear"/>
    </w:tcPr>
    <w:tblStylePr w:type="firstRow">
      <w:rPr>
        <w:b w:val="1"/>
        <w:bCs w:val="1"/>
      </w:rPr>
      <w:tblPr/>
      <w:tcPr>
        <w:tcBorders>
          <w:bottom w:color="000000" w:space="0" w:sz="6" w:val="single"/>
          <w:tl2br w:color="auto" w:space="0" w:sz="0" w:val="none"/>
          <w:tr2bl w:color="auto" w:space="0" w:sz="0" w:val="none"/>
        </w:tcBorders>
      </w:tcPr>
    </w:tblStylePr>
    <w:tblStylePr w:type="lastRow">
      <w:rPr>
        <w:color w:val="auto"/>
      </w:rPr>
      <w:tblPr/>
      <w:tcPr>
        <w:tcBorders>
          <w:top w:color="00000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nwCell">
      <w:tblPr/>
      <w:tcPr>
        <w:tcBorders>
          <w:tl2br w:color="000000" w:space="0" w:sz="6" w:val="single"/>
          <w:tr2bl w:color="auto" w:space="0" w:sz="0" w:val="none"/>
        </w:tcBorders>
      </w:tcPr>
    </w:tblStylePr>
  </w:style>
  <w:style w:type="table" w:styleId="TableGrid7">
    <w:name w:val="Table Grid 7"/>
    <w:basedOn w:val="TableNormal"/>
    <w:uiPriority w:val="99"/>
    <w:semiHidden w:val="1"/>
    <w:unhideWhenUsed w:val="1"/>
    <w:rsid w:val="00687316"/>
    <w:pPr>
      <w:spacing w:after="240" w:line="240" w:lineRule="auto"/>
    </w:pPr>
    <w:rPr>
      <w:b w:val="1"/>
      <w:bCs w:val="1"/>
    </w:rPr>
    <w:tblPr>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Pr>
    <w:tcPr>
      <w:shd w:color="auto" w:fill="auto" w:val="clear"/>
    </w:tcPr>
    <w:tblStylePr w:type="firstRow">
      <w:rPr>
        <w:b w:val="0"/>
        <w:bCs w:val="0"/>
      </w:rPr>
      <w:tblPr/>
      <w:tcPr>
        <w:tcBorders>
          <w:bottom w:color="000000" w:space="0" w:sz="12" w:val="single"/>
          <w:tl2br w:color="auto" w:space="0" w:sz="0" w:val="none"/>
          <w:tr2bl w:color="auto" w:space="0" w:sz="0" w:val="none"/>
        </w:tcBorders>
      </w:tcPr>
    </w:tblStylePr>
    <w:tblStylePr w:type="lastRow">
      <w:rPr>
        <w:b w:val="0"/>
        <w:bCs w:val="0"/>
      </w:rPr>
      <w:tblPr/>
      <w:tcPr>
        <w:tcBorders>
          <w:top w:color="000000" w:space="0" w:sz="6" w:val="single"/>
          <w:tl2br w:color="auto" w:space="0" w:sz="0" w:val="none"/>
          <w:tr2bl w:color="auto" w:space="0" w:sz="0" w:val="none"/>
        </w:tcBorders>
      </w:tcPr>
    </w:tblStylePr>
    <w:tblStylePr w:type="firstCol">
      <w:rPr>
        <w:b w:val="0"/>
        <w:bCs w:val="0"/>
      </w:rPr>
      <w:tblPr/>
      <w:tcPr>
        <w:tcBorders>
          <w:tl2br w:color="auto" w:space="0" w:sz="0" w:val="none"/>
          <w:tr2bl w:color="auto" w:space="0" w:sz="0" w:val="none"/>
        </w:tcBorders>
      </w:tcPr>
    </w:tblStylePr>
    <w:tblStylePr w:type="lastCol">
      <w:rPr>
        <w:b w:val="0"/>
        <w:bCs w:val="0"/>
      </w:rPr>
      <w:tblPr/>
      <w:tcPr>
        <w:tcBorders>
          <w:tl2br w:color="auto" w:space="0" w:sz="0" w:val="none"/>
          <w:tr2bl w:color="auto" w:space="0" w:sz="0" w:val="none"/>
        </w:tcBorders>
      </w:tcPr>
    </w:tblStylePr>
    <w:tblStylePr w:type="nwCell">
      <w:tblPr/>
      <w:tcPr>
        <w:tcBorders>
          <w:tl2br w:color="000000" w:space="0" w:sz="6" w:val="single"/>
          <w:tr2bl w:color="auto" w:space="0" w:sz="0" w:val="none"/>
        </w:tcBorders>
      </w:tcPr>
    </w:tblStylePr>
  </w:style>
  <w:style w:type="table" w:styleId="TableGrid8">
    <w:name w:val="Table Grid 8"/>
    <w:basedOn w:val="TableNormal"/>
    <w:uiPriority w:val="99"/>
    <w:semiHidden w:val="1"/>
    <w:unhideWhenUsed w:val="1"/>
    <w:rsid w:val="00687316"/>
    <w:pPr>
      <w:spacing w:after="240" w:line="240" w:lineRule="auto"/>
    </w:pPr>
    <w:tblPr>
      <w:tblBorders>
        <w:top w:color="000080" w:space="0" w:sz="6" w:val="single"/>
        <w:left w:color="000080" w:space="0" w:sz="6" w:val="single"/>
        <w:bottom w:color="000080" w:space="0" w:sz="6" w:val="single"/>
        <w:right w:color="000080" w:space="0" w:sz="6" w:val="single"/>
        <w:insideH w:color="000080" w:space="0" w:sz="6" w:val="single"/>
        <w:insideV w:color="000080" w:space="0" w:sz="6" w:val="single"/>
      </w:tblBorders>
    </w:tblPr>
    <w:tcPr>
      <w:shd w:color="auto" w:fill="auto" w:val="clear"/>
    </w:tcPr>
    <w:tblStylePr w:type="firstRow">
      <w:rPr>
        <w:b w:val="1"/>
        <w:bCs w:val="1"/>
        <w:color w:val="ffffff"/>
      </w:rPr>
      <w:tblPr/>
      <w:tcPr>
        <w:tcBorders>
          <w:tl2br w:color="auto" w:space="0" w:sz="0" w:val="none"/>
          <w:tr2bl w:color="auto" w:space="0" w:sz="0" w:val="none"/>
        </w:tcBorders>
        <w:shd w:color="000080" w:fill="ffffff" w:val="solid"/>
      </w:tcPr>
    </w:tblStylePr>
    <w:tblStylePr w:type="lastRow">
      <w:rPr>
        <w:b w:val="1"/>
        <w:bCs w:val="1"/>
        <w:color w:val="auto"/>
      </w:rPr>
      <w:tblPr/>
      <w:tcPr>
        <w:tcBorders>
          <w:tl2br w:color="auto" w:space="0" w:sz="0" w:val="none"/>
          <w:tr2bl w:color="auto" w:space="0" w:sz="0" w:val="none"/>
        </w:tcBorders>
      </w:tcPr>
    </w:tblStylePr>
    <w:tblStylePr w:type="lastCol">
      <w:rPr>
        <w:b w:val="1"/>
        <w:bCs w:val="1"/>
        <w:color w:val="auto"/>
      </w:rPr>
      <w:tblPr/>
      <w:tcPr>
        <w:tcBorders>
          <w:tl2br w:color="auto" w:space="0" w:sz="0" w:val="none"/>
          <w:tr2bl w:color="auto" w:space="0" w:sz="0" w:val="none"/>
        </w:tcBorders>
      </w:tcPr>
    </w:tblStylePr>
  </w:style>
  <w:style w:type="table" w:styleId="TableGridLight">
    <w:name w:val="Grid Table Light"/>
    <w:basedOn w:val="TableNormal"/>
    <w:uiPriority w:val="40"/>
    <w:rsid w:val="00687316"/>
    <w:pPr>
      <w:spacing w:after="0" w:line="240" w:lineRule="auto"/>
    </w:p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table" w:styleId="TableList1">
    <w:name w:val="Table List 1"/>
    <w:basedOn w:val="TableNormal"/>
    <w:uiPriority w:val="99"/>
    <w:semiHidden w:val="1"/>
    <w:unhideWhenUsed w:val="1"/>
    <w:rsid w:val="00687316"/>
    <w:pPr>
      <w:spacing w:after="240" w:line="240" w:lineRule="auto"/>
    </w:pPr>
    <w:tblPr>
      <w:tblStyleRowBandSize w:val="1"/>
      <w:tblBorders>
        <w:top w:color="008080" w:space="0" w:sz="12" w:val="single"/>
        <w:left w:color="008080" w:space="0" w:sz="6" w:val="single"/>
        <w:bottom w:color="008080" w:space="0" w:sz="12" w:val="single"/>
        <w:right w:color="008080" w:space="0" w:sz="6" w:val="single"/>
      </w:tblBorders>
    </w:tblPr>
    <w:tblStylePr w:type="firstRow">
      <w:rPr>
        <w:b w:val="1"/>
        <w:bCs w:val="1"/>
        <w:i w:val="1"/>
        <w:iCs w:val="1"/>
        <w:color w:val="800000"/>
      </w:rPr>
      <w:tblPr/>
      <w:tcPr>
        <w:tcBorders>
          <w:bottom w:color="000000" w:space="0" w:sz="6" w:val="single"/>
          <w:tl2br w:color="auto" w:space="0" w:sz="0" w:val="none"/>
          <w:tr2bl w:color="auto" w:space="0" w:sz="0" w:val="none"/>
        </w:tcBorders>
        <w:shd w:color="c0c0c0" w:fill="ffffff" w:val="solid"/>
      </w:tcPr>
    </w:tblStylePr>
    <w:tblStylePr w:type="lastRow">
      <w:tblPr/>
      <w:tcPr>
        <w:tcBorders>
          <w:top w:color="000000" w:space="0" w:sz="6" w:val="single"/>
          <w:tl2br w:color="auto" w:space="0" w:sz="0" w:val="none"/>
          <w:tr2bl w:color="auto" w:space="0" w:sz="0" w:val="none"/>
        </w:tcBorders>
      </w:tcPr>
    </w:tblStylePr>
    <w:tblStylePr w:type="band1Horz">
      <w:rPr>
        <w:color w:val="auto"/>
      </w:rPr>
      <w:tblPr/>
      <w:tcPr>
        <w:tcBorders>
          <w:tl2br w:color="auto" w:space="0" w:sz="0" w:val="none"/>
          <w:tr2bl w:color="auto" w:space="0" w:sz="0" w:val="none"/>
        </w:tcBorders>
        <w:shd w:color="c0c0c0" w:fill="ffffff" w:val="solid"/>
      </w:tcPr>
    </w:tblStylePr>
    <w:tblStylePr w:type="band2Horz">
      <w:rPr>
        <w:color w:val="auto"/>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List2">
    <w:name w:val="Table List 2"/>
    <w:basedOn w:val="TableNormal"/>
    <w:uiPriority w:val="99"/>
    <w:semiHidden w:val="1"/>
    <w:unhideWhenUsed w:val="1"/>
    <w:rsid w:val="00687316"/>
    <w:pPr>
      <w:spacing w:after="240" w:line="240" w:lineRule="auto"/>
    </w:pPr>
    <w:tblPr>
      <w:tblStyleRowBandSize w:val="2"/>
      <w:tblBorders>
        <w:bottom w:color="808080" w:space="0" w:sz="12" w:val="single"/>
      </w:tblBorders>
    </w:tblPr>
    <w:tblStylePr w:type="firstRow">
      <w:rPr>
        <w:b w:val="1"/>
        <w:bCs w:val="1"/>
        <w:color w:val="ffffff"/>
      </w:rPr>
      <w:tblPr/>
      <w:tcPr>
        <w:tcBorders>
          <w:bottom w:color="000000" w:space="0" w:sz="6" w:val="single"/>
          <w:tl2br w:color="auto" w:space="0" w:sz="0" w:val="none"/>
          <w:tr2bl w:color="auto" w:space="0" w:sz="0" w:val="none"/>
        </w:tcBorders>
        <w:shd w:color="008080" w:fill="008000" w:val="pct75"/>
      </w:tcPr>
    </w:tblStylePr>
    <w:tblStylePr w:type="lastRow">
      <w:tblPr/>
      <w:tcPr>
        <w:tcBorders>
          <w:top w:color="000000" w:space="0" w:sz="6" w:val="single"/>
          <w:tl2br w:color="auto" w:space="0" w:sz="0" w:val="none"/>
          <w:tr2bl w:color="auto" w:space="0" w:sz="0" w:val="none"/>
        </w:tcBorders>
      </w:tcPr>
    </w:tblStylePr>
    <w:tblStylePr w:type="band1Horz">
      <w:rPr>
        <w:color w:val="auto"/>
      </w:rPr>
      <w:tblPr/>
      <w:tcPr>
        <w:tcBorders>
          <w:tl2br w:color="auto" w:space="0" w:sz="0" w:val="none"/>
          <w:tr2bl w:color="auto" w:space="0" w:sz="0" w:val="none"/>
        </w:tcBorders>
        <w:shd w:color="00ff00" w:fill="ffffff" w:val="pct20"/>
      </w:tcPr>
    </w:tblStylePr>
    <w:tblStylePr w:type="band2Horz">
      <w:rPr>
        <w:color w:val="auto"/>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List3">
    <w:name w:val="Table List 3"/>
    <w:basedOn w:val="TableNormal"/>
    <w:uiPriority w:val="99"/>
    <w:semiHidden w:val="1"/>
    <w:unhideWhenUsed w:val="1"/>
    <w:rsid w:val="00687316"/>
    <w:pPr>
      <w:spacing w:after="240" w:line="240" w:lineRule="auto"/>
    </w:pPr>
    <w:tblPr>
      <w:tblBorders>
        <w:top w:color="000000" w:space="0" w:sz="12" w:val="single"/>
        <w:bottom w:color="000000" w:space="0" w:sz="12" w:val="single"/>
        <w:insideH w:color="000000" w:space="0" w:sz="6" w:val="single"/>
      </w:tblBorders>
    </w:tblPr>
    <w:tcPr>
      <w:shd w:color="auto" w:fill="auto" w:val="clear"/>
    </w:tcPr>
    <w:tblStylePr w:type="firstRow">
      <w:rPr>
        <w:b w:val="1"/>
        <w:bCs w:val="1"/>
        <w:color w:val="000080"/>
      </w:rPr>
      <w:tblPr/>
      <w:tcPr>
        <w:tcBorders>
          <w:bottom w:color="000000" w:space="0" w:sz="12" w:val="single"/>
          <w:tl2br w:color="auto" w:space="0" w:sz="0" w:val="none"/>
          <w:tr2bl w:color="auto" w:space="0" w:sz="0" w:val="none"/>
        </w:tcBorders>
      </w:tcPr>
    </w:tblStylePr>
    <w:tblStylePr w:type="lastRow">
      <w:tblPr/>
      <w:tcPr>
        <w:tcBorders>
          <w:top w:color="000000" w:space="0" w:sz="12" w:val="single"/>
          <w:tl2br w:color="auto" w:space="0" w:sz="0" w:val="none"/>
          <w:tr2bl w:color="auto" w:space="0" w:sz="0" w:val="none"/>
        </w:tcBorders>
      </w:tcPr>
    </w:tblStylePr>
    <w:tblStylePr w:type="swCell">
      <w:rPr>
        <w:i w:val="1"/>
        <w:iCs w:val="1"/>
        <w:color w:val="000080"/>
      </w:rPr>
      <w:tblPr/>
      <w:tcPr>
        <w:tcBorders>
          <w:tl2br w:color="auto" w:space="0" w:sz="0" w:val="none"/>
          <w:tr2bl w:color="auto" w:space="0" w:sz="0" w:val="none"/>
        </w:tcBorders>
      </w:tcPr>
    </w:tblStylePr>
  </w:style>
  <w:style w:type="table" w:styleId="TableList4">
    <w:name w:val="Table List 4"/>
    <w:basedOn w:val="TableNormal"/>
    <w:uiPriority w:val="99"/>
    <w:semiHidden w:val="1"/>
    <w:unhideWhenUsed w:val="1"/>
    <w:rsid w:val="00687316"/>
    <w:pPr>
      <w:spacing w:after="240" w:line="240" w:lineRule="auto"/>
    </w:pPr>
    <w:tblPr>
      <w:tblBorders>
        <w:top w:color="000000" w:space="0" w:sz="12" w:val="single"/>
        <w:left w:color="000000" w:space="0" w:sz="12" w:val="single"/>
        <w:bottom w:color="000000" w:space="0" w:sz="12" w:val="single"/>
        <w:right w:color="000000" w:space="0" w:sz="12" w:val="single"/>
        <w:insideH w:color="000000" w:space="0" w:sz="6" w:val="single"/>
      </w:tblBorders>
    </w:tblPr>
    <w:tcPr>
      <w:shd w:color="auto" w:fill="auto" w:val="clear"/>
    </w:tcPr>
    <w:tblStylePr w:type="firstRow">
      <w:rPr>
        <w:b w:val="1"/>
        <w:bCs w:val="1"/>
        <w:color w:val="ffffff"/>
      </w:rPr>
      <w:tblPr/>
      <w:tcPr>
        <w:tcBorders>
          <w:bottom w:color="000000" w:space="0" w:sz="12" w:val="single"/>
          <w:tl2br w:color="auto" w:space="0" w:sz="0" w:val="none"/>
          <w:tr2bl w:color="auto" w:space="0" w:sz="0" w:val="none"/>
        </w:tcBorders>
        <w:shd w:color="808080" w:fill="ffffff" w:val="solid"/>
      </w:tcPr>
    </w:tblStylePr>
  </w:style>
  <w:style w:type="table" w:styleId="TableList5">
    <w:name w:val="Table List 5"/>
    <w:basedOn w:val="TableNormal"/>
    <w:uiPriority w:val="99"/>
    <w:semiHidden w:val="1"/>
    <w:unhideWhenUsed w:val="1"/>
    <w:rsid w:val="00687316"/>
    <w:pPr>
      <w:spacing w:after="240" w:line="240" w:lineRule="auto"/>
    </w:pPr>
    <w:tblPr>
      <w:tblBorders>
        <w:top w:color="000000" w:space="0" w:sz="6" w:val="single"/>
        <w:left w:color="000000" w:space="0" w:sz="6" w:val="single"/>
        <w:bottom w:color="000000" w:space="0" w:sz="6" w:val="single"/>
        <w:right w:color="000000" w:space="0" w:sz="6" w:val="single"/>
        <w:insideH w:color="000000" w:space="0" w:sz="6" w:val="single"/>
      </w:tblBorders>
    </w:tblPr>
    <w:tcPr>
      <w:shd w:color="auto" w:fill="auto" w:val="clear"/>
    </w:tcPr>
    <w:tblStylePr w:type="firstRow">
      <w:rPr>
        <w:b w:val="1"/>
        <w:bCs w:val="1"/>
      </w:rPr>
      <w:tblPr/>
      <w:tcPr>
        <w:tcBorders>
          <w:bottom w:color="000000" w:space="0" w:sz="12"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style>
  <w:style w:type="table" w:styleId="TableList6">
    <w:name w:val="Table List 6"/>
    <w:basedOn w:val="TableNormal"/>
    <w:uiPriority w:val="99"/>
    <w:semiHidden w:val="1"/>
    <w:unhideWhenUsed w:val="1"/>
    <w:rsid w:val="00687316"/>
    <w:pPr>
      <w:spacing w:after="240" w:line="240" w:lineRule="auto"/>
    </w:pPr>
    <w:tblPr>
      <w:tblStyleRowBandSize w:val="1"/>
      <w:tblBorders>
        <w:top w:color="000000" w:space="0" w:sz="6" w:val="single"/>
        <w:left w:color="000000" w:space="0" w:sz="6" w:val="single"/>
        <w:bottom w:color="000000" w:space="0" w:sz="6" w:val="single"/>
        <w:right w:color="000000" w:space="0" w:sz="6" w:val="single"/>
      </w:tblBorders>
    </w:tblPr>
    <w:tcPr>
      <w:shd w:color="000000" w:fill="ffffff" w:val="pct50"/>
    </w:tcPr>
    <w:tblStylePr w:type="firstRow">
      <w:rPr>
        <w:b w:val="1"/>
        <w:bCs w:val="1"/>
      </w:rPr>
      <w:tblPr/>
      <w:tcPr>
        <w:tcBorders>
          <w:bottom w:color="000000" w:space="0" w:sz="12" w:val="single"/>
          <w:tl2br w:color="auto" w:space="0" w:sz="0" w:val="none"/>
          <w:tr2bl w:color="auto" w:space="0" w:sz="0" w:val="none"/>
        </w:tcBorders>
      </w:tcPr>
    </w:tblStylePr>
    <w:tblStylePr w:type="firstCol">
      <w:rPr>
        <w:b w:val="1"/>
        <w:bCs w:val="1"/>
      </w:rPr>
      <w:tblPr/>
      <w:tcPr>
        <w:tcBorders>
          <w:right w:color="000000" w:space="0" w:sz="12" w:val="single"/>
          <w:tl2br w:color="auto" w:space="0" w:sz="0" w:val="none"/>
          <w:tr2bl w:color="auto" w:space="0" w:sz="0" w:val="none"/>
        </w:tcBorders>
      </w:tcPr>
    </w:tblStylePr>
    <w:tblStylePr w:type="band1Horz">
      <w:tblPr/>
      <w:tcPr>
        <w:tcBorders>
          <w:tl2br w:color="auto" w:space="0" w:sz="0" w:val="none"/>
          <w:tr2bl w:color="auto" w:space="0" w:sz="0" w:val="none"/>
        </w:tcBorders>
        <w:shd w:color="000000" w:fill="ffffff" w:val="pct25"/>
      </w:tcPr>
    </w:tblStylePr>
  </w:style>
  <w:style w:type="table" w:styleId="TableList7">
    <w:name w:val="Table List 7"/>
    <w:basedOn w:val="TableNormal"/>
    <w:uiPriority w:val="99"/>
    <w:semiHidden w:val="1"/>
    <w:unhideWhenUsed w:val="1"/>
    <w:rsid w:val="00687316"/>
    <w:pPr>
      <w:spacing w:after="240" w:line="240" w:lineRule="auto"/>
    </w:pPr>
    <w:tblPr>
      <w:tblStyleRowBandSize w:val="1"/>
      <w:tblBorders>
        <w:top w:color="008000" w:space="0" w:sz="12" w:val="single"/>
        <w:left w:color="008000" w:space="0" w:sz="6" w:val="single"/>
        <w:bottom w:color="008000" w:space="0" w:sz="12" w:val="single"/>
        <w:right w:color="008000" w:space="0" w:sz="6" w:val="single"/>
        <w:insideH w:color="000000" w:space="0" w:sz="6" w:val="single"/>
      </w:tblBorders>
    </w:tblPr>
    <w:tblStylePr w:type="firstRow">
      <w:rPr>
        <w:b w:val="1"/>
        <w:bCs w:val="1"/>
      </w:rPr>
      <w:tblPr/>
      <w:tcPr>
        <w:tcBorders>
          <w:bottom w:color="008000" w:space="0" w:sz="12" w:val="single"/>
          <w:tl2br w:color="auto" w:space="0" w:sz="0" w:val="none"/>
          <w:tr2bl w:color="auto" w:space="0" w:sz="0" w:val="none"/>
        </w:tcBorders>
        <w:shd w:color="c0c0c0" w:fill="ffffff" w:val="solid"/>
      </w:tcPr>
    </w:tblStylePr>
    <w:tblStylePr w:type="lastRow">
      <w:rPr>
        <w:b w:val="1"/>
        <w:bCs w:val="1"/>
      </w:rPr>
      <w:tblPr/>
      <w:tcPr>
        <w:tcBorders>
          <w:top w:color="008000" w:space="0" w:sz="12"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band1Horz">
      <w:rPr>
        <w:color w:val="auto"/>
      </w:rPr>
      <w:tblPr/>
      <w:tcPr>
        <w:tcBorders>
          <w:tl2br w:color="auto" w:space="0" w:sz="0" w:val="none"/>
          <w:tr2bl w:color="auto" w:space="0" w:sz="0" w:val="none"/>
        </w:tcBorders>
        <w:shd w:color="000000" w:fill="ffffff" w:val="pct20"/>
      </w:tcPr>
    </w:tblStylePr>
    <w:tblStylePr w:type="band2Horz">
      <w:tblPr/>
      <w:tcPr>
        <w:tcBorders>
          <w:tl2br w:color="auto" w:space="0" w:sz="0" w:val="none"/>
          <w:tr2bl w:color="auto" w:space="0" w:sz="0" w:val="none"/>
        </w:tcBorders>
        <w:shd w:color="ffff00" w:fill="ffffff" w:val="pct25"/>
      </w:tcPr>
    </w:tblStylePr>
  </w:style>
  <w:style w:type="table" w:styleId="TableList8">
    <w:name w:val="Table List 8"/>
    <w:basedOn w:val="TableNormal"/>
    <w:uiPriority w:val="99"/>
    <w:semiHidden w:val="1"/>
    <w:unhideWhenUsed w:val="1"/>
    <w:rsid w:val="00687316"/>
    <w:pPr>
      <w:spacing w:after="240" w:line="240" w:lineRule="auto"/>
    </w:pPr>
    <w:tblPr>
      <w:tblStyleRowBandSize w:val="1"/>
      <w:tblBorders>
        <w:top w:color="000000" w:space="0" w:sz="6" w:val="single"/>
        <w:left w:color="000000" w:space="0" w:sz="6" w:val="single"/>
        <w:bottom w:color="000000" w:space="0" w:sz="6" w:val="single"/>
        <w:right w:color="000000" w:space="0" w:sz="6" w:val="single"/>
        <w:insideV w:color="000000" w:space="0" w:sz="6" w:val="single"/>
      </w:tblBorders>
    </w:tblPr>
    <w:tblStylePr w:type="firstRow">
      <w:rPr>
        <w:b w:val="1"/>
        <w:bCs w:val="1"/>
        <w:i w:val="1"/>
        <w:iCs w:val="1"/>
      </w:rPr>
      <w:tblPr/>
      <w:tcPr>
        <w:tcBorders>
          <w:bottom w:color="000000" w:space="0" w:sz="6" w:val="single"/>
          <w:tl2br w:color="auto" w:space="0" w:sz="0" w:val="none"/>
          <w:tr2bl w:color="auto" w:space="0" w:sz="0" w:val="none"/>
        </w:tcBorders>
        <w:shd w:color="ffff00" w:fill="ffffff" w:val="solid"/>
      </w:tcPr>
    </w:tblStylePr>
    <w:tblStylePr w:type="lastRow">
      <w:rPr>
        <w:b w:val="1"/>
        <w:bCs w:val="1"/>
      </w:rPr>
      <w:tblPr/>
      <w:tcPr>
        <w:tcBorders>
          <w:top w:color="00000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band1Horz">
      <w:rPr>
        <w:color w:val="auto"/>
      </w:rPr>
      <w:tblPr/>
      <w:tcPr>
        <w:tcBorders>
          <w:tl2br w:color="auto" w:space="0" w:sz="0" w:val="none"/>
          <w:tr2bl w:color="auto" w:space="0" w:sz="0" w:val="none"/>
        </w:tcBorders>
        <w:shd w:color="ffff00" w:fill="ffffff" w:val="pct25"/>
      </w:tcPr>
    </w:tblStylePr>
    <w:tblStylePr w:type="band2Horz">
      <w:tblPr/>
      <w:tcPr>
        <w:tcBorders>
          <w:tl2br w:color="auto" w:space="0" w:sz="0" w:val="none"/>
          <w:tr2bl w:color="auto" w:space="0" w:sz="0" w:val="none"/>
        </w:tcBorders>
        <w:shd w:color="ff0000" w:fill="ffffff" w:val="pct50"/>
      </w:tcPr>
    </w:tblStylePr>
  </w:style>
  <w:style w:type="paragraph" w:styleId="TableofAuthorities">
    <w:name w:val="table of authorities"/>
    <w:basedOn w:val="Normal"/>
    <w:next w:val="Normal"/>
    <w:uiPriority w:val="99"/>
    <w:semiHidden w:val="1"/>
    <w:unhideWhenUsed w:val="1"/>
    <w:rsid w:val="00687316"/>
    <w:pPr>
      <w:spacing w:after="0"/>
      <w:ind w:left="200" w:hanging="200"/>
    </w:pPr>
  </w:style>
  <w:style w:type="paragraph" w:styleId="TableofFigures">
    <w:name w:val="table of figures"/>
    <w:basedOn w:val="Normal"/>
    <w:next w:val="Normal"/>
    <w:uiPriority w:val="99"/>
    <w:semiHidden w:val="1"/>
    <w:unhideWhenUsed w:val="1"/>
    <w:rsid w:val="00687316"/>
    <w:pPr>
      <w:spacing w:after="0"/>
    </w:pPr>
  </w:style>
  <w:style w:type="table" w:styleId="TableProfessional">
    <w:name w:val="Table Professional"/>
    <w:basedOn w:val="TableNormal"/>
    <w:uiPriority w:val="99"/>
    <w:semiHidden w:val="1"/>
    <w:unhideWhenUsed w:val="1"/>
    <w:rsid w:val="00687316"/>
    <w:pPr>
      <w:spacing w:after="240" w:line="240" w:lineRule="auto"/>
    </w:pPr>
    <w:tblP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Pr>
    <w:tcPr>
      <w:shd w:color="auto" w:fill="auto" w:val="clear"/>
    </w:tcPr>
    <w:tblStylePr w:type="firstRow">
      <w:rPr>
        <w:b w:val="1"/>
        <w:bCs w:val="1"/>
        <w:color w:val="auto"/>
      </w:rPr>
      <w:tblPr/>
      <w:tcPr>
        <w:tcBorders>
          <w:tl2br w:color="auto" w:space="0" w:sz="0" w:val="none"/>
          <w:tr2bl w:color="auto" w:space="0" w:sz="0" w:val="none"/>
        </w:tcBorders>
        <w:shd w:color="000000" w:fill="ffffff" w:val="solid"/>
      </w:tcPr>
    </w:tblStylePr>
  </w:style>
  <w:style w:type="table" w:styleId="TableSimple1">
    <w:name w:val="Table Simple 1"/>
    <w:basedOn w:val="TableNormal"/>
    <w:uiPriority w:val="99"/>
    <w:semiHidden w:val="1"/>
    <w:unhideWhenUsed w:val="1"/>
    <w:rsid w:val="00687316"/>
    <w:pPr>
      <w:spacing w:after="240" w:line="240" w:lineRule="auto"/>
    </w:pPr>
    <w:tblPr>
      <w:tblBorders>
        <w:top w:color="008000" w:space="0" w:sz="12" w:val="single"/>
        <w:bottom w:color="008000" w:space="0" w:sz="12" w:val="single"/>
      </w:tblBorders>
    </w:tblPr>
    <w:tcPr>
      <w:shd w:color="auto" w:fill="auto" w:val="clear"/>
    </w:tcPr>
    <w:tblStylePr w:type="firstRow">
      <w:tblPr/>
      <w:tcPr>
        <w:tcBorders>
          <w:bottom w:color="008000" w:space="0" w:sz="6" w:val="single"/>
          <w:tl2br w:color="auto" w:space="0" w:sz="0" w:val="none"/>
          <w:tr2bl w:color="auto" w:space="0" w:sz="0" w:val="none"/>
        </w:tcBorders>
      </w:tcPr>
    </w:tblStylePr>
    <w:tblStylePr w:type="lastRow">
      <w:tblPr/>
      <w:tcPr>
        <w:tcBorders>
          <w:top w:color="008000" w:space="0" w:sz="6" w:val="single"/>
          <w:tl2br w:color="auto" w:space="0" w:sz="0" w:val="none"/>
          <w:tr2bl w:color="auto" w:space="0" w:sz="0" w:val="none"/>
        </w:tcBorders>
      </w:tcPr>
    </w:tblStylePr>
  </w:style>
  <w:style w:type="table" w:styleId="TableSimple2">
    <w:name w:val="Table Simple 2"/>
    <w:basedOn w:val="TableNormal"/>
    <w:uiPriority w:val="99"/>
    <w:semiHidden w:val="1"/>
    <w:unhideWhenUsed w:val="1"/>
    <w:rsid w:val="00687316"/>
    <w:pPr>
      <w:spacing w:after="240" w:line="240" w:lineRule="auto"/>
    </w:pPr>
    <w:tblPr/>
    <w:tblStylePr w:type="firstRow">
      <w:rPr>
        <w:b w:val="1"/>
        <w:bCs w:val="1"/>
      </w:rPr>
      <w:tblPr/>
      <w:tcPr>
        <w:tcBorders>
          <w:bottom w:color="000000" w:space="0" w:sz="12" w:val="single"/>
          <w:tl2br w:color="auto" w:space="0" w:sz="0" w:val="none"/>
          <w:tr2bl w:color="auto" w:space="0" w:sz="0" w:val="none"/>
        </w:tcBorders>
      </w:tcPr>
    </w:tblStylePr>
    <w:tblStylePr w:type="lastRow">
      <w:rPr>
        <w:b w:val="1"/>
        <w:bCs w:val="1"/>
        <w:color w:val="auto"/>
      </w:rPr>
      <w:tblPr/>
      <w:tcPr>
        <w:tcBorders>
          <w:top w:color="000000" w:space="0" w:sz="6" w:val="single"/>
          <w:tl2br w:color="auto" w:space="0" w:sz="0" w:val="none"/>
          <w:tr2bl w:color="auto" w:space="0" w:sz="0" w:val="none"/>
        </w:tcBorders>
      </w:tcPr>
    </w:tblStylePr>
    <w:tblStylePr w:type="firstCol">
      <w:rPr>
        <w:b w:val="1"/>
        <w:bCs w:val="1"/>
      </w:rPr>
      <w:tblPr/>
      <w:tcPr>
        <w:tcBorders>
          <w:right w:color="000000" w:space="0" w:sz="12" w:val="single"/>
          <w:tl2br w:color="auto" w:space="0" w:sz="0" w:val="none"/>
          <w:tr2bl w:color="auto" w:space="0" w:sz="0" w:val="none"/>
        </w:tcBorders>
      </w:tcPr>
    </w:tblStylePr>
    <w:tblStylePr w:type="lastCol">
      <w:rPr>
        <w:b w:val="1"/>
        <w:bCs w:val="1"/>
      </w:rPr>
      <w:tblPr/>
      <w:tcPr>
        <w:tcBorders>
          <w:left w:color="000000" w:space="0" w:sz="6" w:val="single"/>
          <w:tl2br w:color="auto" w:space="0" w:sz="0" w:val="none"/>
          <w:tr2bl w:color="auto" w:space="0" w:sz="0" w:val="none"/>
        </w:tcBorders>
      </w:tcPr>
    </w:tblStylePr>
    <w:tblStylePr w:type="neCell">
      <w:rPr>
        <w:b w:val="1"/>
        <w:bCs w:val="1"/>
      </w:rPr>
      <w:tblPr/>
      <w:tcPr>
        <w:tcBorders>
          <w:left w:color="auto" w:space="0" w:sz="0" w:val="none"/>
          <w:tl2br w:color="auto" w:space="0" w:sz="0" w:val="none"/>
          <w:tr2bl w:color="auto" w:space="0" w:sz="0" w:val="none"/>
        </w:tcBorders>
      </w:tcPr>
    </w:tblStylePr>
    <w:tblStylePr w:type="swCell">
      <w:rPr>
        <w:b w:val="1"/>
        <w:bCs w:val="1"/>
      </w:rPr>
      <w:tblPr/>
      <w:tcPr>
        <w:tcBorders>
          <w:top w:color="auto" w:space="0" w:sz="0" w:val="none"/>
          <w:tl2br w:color="auto" w:space="0" w:sz="0" w:val="none"/>
          <w:tr2bl w:color="auto" w:space="0" w:sz="0" w:val="none"/>
        </w:tcBorders>
      </w:tcPr>
    </w:tblStylePr>
  </w:style>
  <w:style w:type="table" w:styleId="TableSimple3">
    <w:name w:val="Table Simple 3"/>
    <w:basedOn w:val="TableNormal"/>
    <w:uiPriority w:val="99"/>
    <w:semiHidden w:val="1"/>
    <w:unhideWhenUsed w:val="1"/>
    <w:rsid w:val="00687316"/>
    <w:pPr>
      <w:spacing w:after="240" w:line="240" w:lineRule="auto"/>
    </w:pPr>
    <w:tblPr>
      <w:tblBorders>
        <w:top w:color="000000" w:space="0" w:sz="12" w:val="single"/>
        <w:left w:color="000000" w:space="0" w:sz="12" w:val="single"/>
        <w:bottom w:color="000000" w:space="0" w:sz="12" w:val="single"/>
        <w:right w:color="000000" w:space="0" w:sz="12" w:val="single"/>
      </w:tblBorders>
    </w:tblPr>
    <w:tcPr>
      <w:shd w:color="auto" w:fill="auto" w:val="clear"/>
    </w:tcPr>
    <w:tblStylePr w:type="firstRow">
      <w:rPr>
        <w:b w:val="1"/>
        <w:bCs w:val="1"/>
        <w:color w:val="ffffff"/>
      </w:rPr>
      <w:tblPr/>
      <w:tcPr>
        <w:tcBorders>
          <w:tl2br w:color="auto" w:space="0" w:sz="0" w:val="none"/>
          <w:tr2bl w:color="auto" w:space="0" w:sz="0" w:val="none"/>
        </w:tcBorders>
        <w:shd w:color="000000" w:fill="ffffff" w:val="solid"/>
      </w:tcPr>
    </w:tblStylePr>
  </w:style>
  <w:style w:type="table" w:styleId="TableSubtle1">
    <w:name w:val="Table Subtle 1"/>
    <w:basedOn w:val="TableNormal"/>
    <w:uiPriority w:val="99"/>
    <w:semiHidden w:val="1"/>
    <w:unhideWhenUsed w:val="1"/>
    <w:rsid w:val="00687316"/>
    <w:pPr>
      <w:spacing w:after="240" w:line="240" w:lineRule="auto"/>
    </w:pPr>
    <w:tblPr>
      <w:tblStyleRowBandSize w:val="1"/>
    </w:tblPr>
    <w:tblStylePr w:type="firstRow">
      <w:tblPr/>
      <w:tcPr>
        <w:tcBorders>
          <w:top w:color="000000" w:space="0" w:sz="6" w:val="single"/>
          <w:bottom w:color="000000" w:space="0" w:sz="12" w:val="single"/>
          <w:tl2br w:color="auto" w:space="0" w:sz="0" w:val="none"/>
          <w:tr2bl w:color="auto" w:space="0" w:sz="0" w:val="none"/>
        </w:tcBorders>
      </w:tcPr>
    </w:tblStylePr>
    <w:tblStylePr w:type="lastRow">
      <w:tblPr/>
      <w:tcPr>
        <w:tcBorders>
          <w:top w:color="000000" w:space="0" w:sz="12" w:val="single"/>
          <w:tl2br w:color="auto" w:space="0" w:sz="0" w:val="none"/>
          <w:tr2bl w:color="auto" w:space="0" w:sz="0" w:val="none"/>
        </w:tcBorders>
        <w:shd w:color="800080" w:fill="ffffff" w:val="pct25"/>
      </w:tcPr>
    </w:tblStylePr>
    <w:tblStylePr w:type="firstCol">
      <w:tblPr/>
      <w:tcPr>
        <w:tcBorders>
          <w:right w:color="000000" w:space="0" w:sz="12" w:val="single"/>
          <w:tl2br w:color="auto" w:space="0" w:sz="0" w:val="none"/>
          <w:tr2bl w:color="auto" w:space="0" w:sz="0" w:val="none"/>
        </w:tcBorders>
      </w:tcPr>
    </w:tblStylePr>
    <w:tblStylePr w:type="lastCol">
      <w:tblPr/>
      <w:tcPr>
        <w:tcBorders>
          <w:left w:color="000000" w:space="0" w:sz="12" w:val="single"/>
          <w:tl2br w:color="auto" w:space="0" w:sz="0" w:val="none"/>
          <w:tr2bl w:color="auto" w:space="0" w:sz="0" w:val="none"/>
        </w:tcBorders>
      </w:tcPr>
    </w:tblStylePr>
    <w:tblStylePr w:type="band1Horz">
      <w:tblPr/>
      <w:tcPr>
        <w:tcBorders>
          <w:bottom w:color="000000" w:space="0" w:sz="6" w:val="single"/>
          <w:tl2br w:color="auto" w:space="0" w:sz="0" w:val="none"/>
          <w:tr2bl w:color="auto" w:space="0" w:sz="0" w:val="none"/>
        </w:tcBorders>
        <w:shd w:color="808000" w:fill="ffffff" w:val="pct25"/>
      </w:tcPr>
    </w:tblStylePr>
    <w:tblStylePr w:type="neCell">
      <w:rPr>
        <w:b w:val="1"/>
        <w:bCs w:val="1"/>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Subtle2">
    <w:name w:val="Table Subtle 2"/>
    <w:basedOn w:val="TableNormal"/>
    <w:uiPriority w:val="99"/>
    <w:semiHidden w:val="1"/>
    <w:unhideWhenUsed w:val="1"/>
    <w:rsid w:val="00687316"/>
    <w:pPr>
      <w:spacing w:after="240" w:line="240" w:lineRule="auto"/>
    </w:pPr>
    <w:tblPr>
      <w:tblBorders>
        <w:left w:color="000000" w:space="0" w:sz="6" w:val="single"/>
        <w:right w:color="000000" w:space="0" w:sz="6" w:val="single"/>
      </w:tblBorders>
    </w:tblPr>
    <w:tblStylePr w:type="firstRow">
      <w:tblPr/>
      <w:tcPr>
        <w:tcBorders>
          <w:bottom w:color="000000" w:space="0" w:sz="12" w:val="single"/>
          <w:tl2br w:color="auto" w:space="0" w:sz="0" w:val="none"/>
          <w:tr2bl w:color="auto" w:space="0" w:sz="0" w:val="none"/>
        </w:tcBorders>
      </w:tcPr>
    </w:tblStylePr>
    <w:tblStylePr w:type="lastRow">
      <w:tblPr/>
      <w:tcPr>
        <w:tcBorders>
          <w:top w:color="000000" w:space="0" w:sz="12" w:val="single"/>
          <w:tl2br w:color="auto" w:space="0" w:sz="0" w:val="none"/>
          <w:tr2bl w:color="auto" w:space="0" w:sz="0" w:val="none"/>
        </w:tcBorders>
      </w:tcPr>
    </w:tblStylePr>
    <w:tblStylePr w:type="firstCol">
      <w:tblPr/>
      <w:tcPr>
        <w:tcBorders>
          <w:right w:color="000000" w:space="0" w:sz="12" w:val="single"/>
          <w:tl2br w:color="auto" w:space="0" w:sz="0" w:val="none"/>
          <w:tr2bl w:color="auto" w:space="0" w:sz="0" w:val="none"/>
        </w:tcBorders>
        <w:shd w:color="008000" w:fill="ffffff" w:val="pct25"/>
      </w:tcPr>
    </w:tblStylePr>
    <w:tblStylePr w:type="lastCol">
      <w:tblPr/>
      <w:tcPr>
        <w:tcBorders>
          <w:left w:color="000000" w:space="0" w:sz="12" w:val="single"/>
          <w:tl2br w:color="auto" w:space="0" w:sz="0" w:val="none"/>
          <w:tr2bl w:color="auto" w:space="0" w:sz="0" w:val="none"/>
        </w:tcBorders>
        <w:shd w:color="808000" w:fill="ffffff" w:val="pct25"/>
      </w:tcPr>
    </w:tblStylePr>
    <w:tblStylePr w:type="neCell">
      <w:rPr>
        <w:b w:val="1"/>
        <w:bCs w:val="1"/>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Theme">
    <w:name w:val="Table Theme"/>
    <w:basedOn w:val="TableNormal"/>
    <w:uiPriority w:val="99"/>
    <w:semiHidden w:val="1"/>
    <w:unhideWhenUsed w:val="1"/>
    <w:rsid w:val="00687316"/>
    <w:pPr>
      <w:spacing w:after="24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Web1">
    <w:name w:val="Table Web 1"/>
    <w:basedOn w:val="TableNormal"/>
    <w:uiPriority w:val="99"/>
    <w:semiHidden w:val="1"/>
    <w:unhideWhenUsed w:val="1"/>
    <w:rsid w:val="00687316"/>
    <w:pPr>
      <w:spacing w:after="240" w:line="240" w:lineRule="auto"/>
    </w:pPr>
    <w:tblPr>
      <w:tblCellSpacing w:w="20.0" w:type="dxa"/>
      <w:tblBorders>
        <w:top w:color="auto" w:space="0" w:sz="6" w:val="outset"/>
        <w:left w:color="auto" w:space="0" w:sz="6" w:val="outset"/>
        <w:bottom w:color="auto" w:space="0" w:sz="6" w:val="outset"/>
        <w:right w:color="auto" w:space="0" w:sz="6" w:val="outset"/>
        <w:insideH w:color="auto" w:space="0" w:sz="6" w:val="outset"/>
        <w:insideV w:color="auto" w:space="0" w:sz="6" w:val="outset"/>
      </w:tblBorders>
    </w:tblPr>
    <w:trPr>
      <w:tblCellSpacing w:w="20.0" w:type="dxa"/>
    </w:trPr>
    <w:tcPr>
      <w:shd w:color="auto" w:fill="auto" w:val="clear"/>
    </w:tcPr>
    <w:tblStylePr w:type="firstRow">
      <w:rPr>
        <w:color w:val="auto"/>
      </w:rPr>
      <w:tblPr/>
      <w:tcPr>
        <w:tcBorders>
          <w:tl2br w:color="auto" w:space="0" w:sz="0" w:val="none"/>
          <w:tr2bl w:color="auto" w:space="0" w:sz="0" w:val="none"/>
        </w:tcBorders>
      </w:tcPr>
    </w:tblStylePr>
  </w:style>
  <w:style w:type="table" w:styleId="TableWeb2">
    <w:name w:val="Table Web 2"/>
    <w:basedOn w:val="TableNormal"/>
    <w:uiPriority w:val="99"/>
    <w:semiHidden w:val="1"/>
    <w:unhideWhenUsed w:val="1"/>
    <w:rsid w:val="00687316"/>
    <w:pPr>
      <w:spacing w:after="240" w:line="240" w:lineRule="auto"/>
    </w:pPr>
    <w:tblPr>
      <w:tblCellSpacing w:w="20.0" w:type="dxa"/>
      <w:tblBorders>
        <w:top w:color="auto" w:space="0" w:sz="6" w:val="inset"/>
        <w:left w:color="auto" w:space="0" w:sz="6" w:val="inset"/>
        <w:bottom w:color="auto" w:space="0" w:sz="6" w:val="inset"/>
        <w:right w:color="auto" w:space="0" w:sz="6" w:val="inset"/>
        <w:insideH w:color="auto" w:space="0" w:sz="6" w:val="inset"/>
        <w:insideV w:color="auto" w:space="0" w:sz="6" w:val="inset"/>
      </w:tblBorders>
    </w:tblPr>
    <w:trPr>
      <w:tblCellSpacing w:w="20.0" w:type="dxa"/>
    </w:trPr>
    <w:tcPr>
      <w:shd w:color="auto" w:fill="auto" w:val="clear"/>
    </w:tcPr>
    <w:tblStylePr w:type="firstRow">
      <w:rPr>
        <w:color w:val="auto"/>
      </w:rPr>
      <w:tblPr/>
      <w:tcPr>
        <w:tcBorders>
          <w:tl2br w:color="auto" w:space="0" w:sz="0" w:val="none"/>
          <w:tr2bl w:color="auto" w:space="0" w:sz="0" w:val="none"/>
        </w:tcBorders>
      </w:tcPr>
    </w:tblStylePr>
  </w:style>
  <w:style w:type="table" w:styleId="TableWeb3">
    <w:name w:val="Table Web 3"/>
    <w:basedOn w:val="TableNormal"/>
    <w:uiPriority w:val="99"/>
    <w:semiHidden w:val="1"/>
    <w:unhideWhenUsed w:val="1"/>
    <w:rsid w:val="00687316"/>
    <w:pPr>
      <w:spacing w:after="240" w:line="240" w:lineRule="auto"/>
    </w:pPr>
    <w:tblPr>
      <w:tblCellSpacing w:w="20.0" w:type="dxa"/>
      <w:tblBorders>
        <w:top w:color="auto" w:space="0" w:sz="24" w:val="outset"/>
        <w:left w:color="auto" w:space="0" w:sz="24" w:val="outset"/>
        <w:bottom w:color="auto" w:space="0" w:sz="24" w:val="outset"/>
        <w:right w:color="auto" w:space="0" w:sz="24" w:val="outset"/>
        <w:insideH w:color="auto" w:space="0" w:sz="6" w:val="outset"/>
        <w:insideV w:color="auto" w:space="0" w:sz="6" w:val="outset"/>
      </w:tblBorders>
    </w:tblPr>
    <w:trPr>
      <w:tblCellSpacing w:w="20.0" w:type="dxa"/>
    </w:trPr>
    <w:tcPr>
      <w:shd w:color="auto" w:fill="auto" w:val="clear"/>
    </w:tcPr>
    <w:tblStylePr w:type="firstRow">
      <w:rPr>
        <w:color w:val="auto"/>
      </w:rPr>
      <w:tblPr/>
      <w:tcPr>
        <w:tcBorders>
          <w:tl2br w:color="auto" w:space="0" w:sz="0" w:val="none"/>
          <w:tr2bl w:color="auto" w:space="0" w:sz="0" w:val="none"/>
        </w:tcBorders>
      </w:tcPr>
    </w:tblStylePr>
  </w:style>
  <w:style w:type="paragraph" w:styleId="TOAHeading">
    <w:name w:val="toa heading"/>
    <w:basedOn w:val="Normal"/>
    <w:next w:val="Normal"/>
    <w:uiPriority w:val="99"/>
    <w:semiHidden w:val="1"/>
    <w:unhideWhenUsed w:val="1"/>
    <w:rsid w:val="00687316"/>
    <w:pPr>
      <w:spacing w:before="120"/>
    </w:pPr>
    <w:rPr>
      <w:rFonts w:asciiTheme="majorHAnsi" w:cstheme="majorBidi" w:eastAsiaTheme="majorEastAsia" w:hAnsiTheme="majorHAnsi"/>
      <w:b w:val="1"/>
      <w:bCs w:val="1"/>
    </w:rPr>
  </w:style>
  <w:style w:type="paragraph" w:styleId="TOC4">
    <w:name w:val="toc 4"/>
    <w:basedOn w:val="Normal"/>
    <w:next w:val="Normal"/>
    <w:autoRedefine w:val="1"/>
    <w:uiPriority w:val="39"/>
    <w:unhideWhenUsed w:val="1"/>
    <w:rsid w:val="00687316"/>
    <w:pPr>
      <w:spacing w:after="100"/>
      <w:ind w:left="600"/>
    </w:pPr>
  </w:style>
  <w:style w:type="paragraph" w:styleId="TOC5">
    <w:name w:val="toc 5"/>
    <w:basedOn w:val="Normal"/>
    <w:next w:val="Normal"/>
    <w:autoRedefine w:val="1"/>
    <w:uiPriority w:val="39"/>
    <w:unhideWhenUsed w:val="1"/>
    <w:rsid w:val="00687316"/>
    <w:pPr>
      <w:spacing w:after="100"/>
      <w:ind w:left="800"/>
    </w:pPr>
  </w:style>
  <w:style w:type="paragraph" w:styleId="TOC6">
    <w:name w:val="toc 6"/>
    <w:basedOn w:val="Normal"/>
    <w:next w:val="Normal"/>
    <w:autoRedefine w:val="1"/>
    <w:uiPriority w:val="39"/>
    <w:unhideWhenUsed w:val="1"/>
    <w:rsid w:val="00687316"/>
    <w:pPr>
      <w:spacing w:after="100"/>
      <w:ind w:left="1000"/>
    </w:pPr>
  </w:style>
  <w:style w:type="paragraph" w:styleId="TOC7">
    <w:name w:val="toc 7"/>
    <w:basedOn w:val="Normal"/>
    <w:next w:val="Normal"/>
    <w:autoRedefine w:val="1"/>
    <w:uiPriority w:val="39"/>
    <w:unhideWhenUsed w:val="1"/>
    <w:rsid w:val="00687316"/>
    <w:pPr>
      <w:spacing w:after="100"/>
      <w:ind w:left="1200"/>
    </w:pPr>
  </w:style>
  <w:style w:type="character" w:styleId="UnresolvedMention" w:customStyle="1">
    <w:name w:val="Unresolved Mention"/>
    <w:basedOn w:val="DefaultParagraphFont"/>
    <w:uiPriority w:val="99"/>
    <w:semiHidden w:val="1"/>
    <w:unhideWhenUsed w:val="1"/>
    <w:rsid w:val="00687316"/>
    <w:rPr>
      <w:color w:val="605e5c"/>
      <w:shd w:color="auto" w:fill="e1dfdd" w:val="clear"/>
      <w:lang w:val="en-GB"/>
    </w:rPr>
  </w:style>
  <w:style w:type="paragraph" w:styleId="DefinitionList" w:customStyle="1">
    <w:name w:val="Definition List"/>
    <w:basedOn w:val="Normal"/>
    <w:rsid w:val="009919C6"/>
    <w:pPr>
      <w:numPr>
        <w:numId w:val="16"/>
      </w:numPr>
      <w:spacing w:after="200" w:before="100"/>
    </w:pPr>
    <w:rPr>
      <w:rFonts w:cs="Times New Roman" w:eastAsia="Times New Roman"/>
      <w:lang w:eastAsia="en-GB"/>
    </w:rPr>
  </w:style>
  <w:style w:type="paragraph" w:styleId="ScheduleText1" w:customStyle="1">
    <w:name w:val="Schedule Text 1"/>
    <w:basedOn w:val="Normal"/>
    <w:next w:val="Normal"/>
    <w:rsid w:val="009919C6"/>
    <w:pPr>
      <w:numPr>
        <w:numId w:val="15"/>
      </w:numPr>
      <w:spacing w:after="200" w:before="100"/>
    </w:pPr>
    <w:rPr>
      <w:rFonts w:cs="Times New Roman" w:eastAsia="Times New Roman"/>
      <w:b w:val="1"/>
      <w:lang w:eastAsia="en-GB"/>
    </w:rPr>
  </w:style>
  <w:style w:type="paragraph" w:styleId="ScheduleText2" w:customStyle="1">
    <w:name w:val="Schedule Text 2"/>
    <w:basedOn w:val="ScheduleText1"/>
    <w:next w:val="Normal"/>
    <w:rsid w:val="009919C6"/>
    <w:pPr>
      <w:numPr>
        <w:ilvl w:val="1"/>
      </w:numPr>
    </w:pPr>
    <w:rPr>
      <w:b w:val="0"/>
    </w:rPr>
  </w:style>
  <w:style w:type="paragraph" w:styleId="ScheduleText3" w:customStyle="1">
    <w:name w:val="Schedule Text 3"/>
    <w:basedOn w:val="Normal"/>
    <w:next w:val="Normal"/>
    <w:rsid w:val="009919C6"/>
    <w:pPr>
      <w:numPr>
        <w:ilvl w:val="2"/>
        <w:numId w:val="15"/>
      </w:numPr>
      <w:tabs>
        <w:tab w:val="left" w:pos="720"/>
        <w:tab w:val="left" w:pos="1803"/>
      </w:tabs>
      <w:spacing w:after="200" w:before="100"/>
    </w:pPr>
    <w:rPr>
      <w:rFonts w:cs="Times New Roman" w:eastAsia="Times New Roman"/>
      <w:lang w:eastAsia="en-GB"/>
    </w:rPr>
  </w:style>
  <w:style w:type="paragraph" w:styleId="ScheduleText4" w:customStyle="1">
    <w:name w:val="Schedule Text 4"/>
    <w:basedOn w:val="Normal"/>
    <w:next w:val="Normal"/>
    <w:rsid w:val="009919C6"/>
    <w:pPr>
      <w:numPr>
        <w:ilvl w:val="3"/>
        <w:numId w:val="15"/>
      </w:numPr>
      <w:tabs>
        <w:tab w:val="left" w:pos="720"/>
        <w:tab w:val="left" w:pos="1803"/>
      </w:tabs>
      <w:spacing w:after="200" w:before="100"/>
    </w:pPr>
    <w:rPr>
      <w:rFonts w:cs="Times New Roman" w:eastAsia="Times New Roman"/>
      <w:lang w:eastAsia="en-GB"/>
    </w:rPr>
  </w:style>
  <w:style w:type="paragraph" w:styleId="ScheduleText5" w:customStyle="1">
    <w:name w:val="Schedule Text 5"/>
    <w:basedOn w:val="Normal"/>
    <w:next w:val="Normal"/>
    <w:rsid w:val="009919C6"/>
    <w:pPr>
      <w:numPr>
        <w:ilvl w:val="4"/>
        <w:numId w:val="15"/>
      </w:numPr>
      <w:tabs>
        <w:tab w:val="left" w:pos="720"/>
        <w:tab w:val="left" w:pos="2523"/>
      </w:tabs>
      <w:spacing w:after="200" w:before="100"/>
    </w:pPr>
    <w:rPr>
      <w:rFonts w:cs="Times New Roman" w:eastAsia="Times New Roman"/>
      <w:lang w:eastAsia="en-GB"/>
    </w:rPr>
  </w:style>
  <w:style w:type="paragraph" w:styleId="DefinitionListLevel1" w:customStyle="1">
    <w:name w:val="Definition List Level 1"/>
    <w:basedOn w:val="DefinitionList"/>
    <w:rsid w:val="009919C6"/>
    <w:pPr>
      <w:numPr>
        <w:ilvl w:val="1"/>
      </w:numPr>
    </w:pPr>
  </w:style>
  <w:style w:type="paragraph" w:styleId="ScheduleText6" w:customStyle="1">
    <w:name w:val="Schedule Text 6"/>
    <w:basedOn w:val="ScheduleText5"/>
    <w:rsid w:val="009919C6"/>
    <w:pPr>
      <w:numPr>
        <w:ilvl w:val="5"/>
      </w:numPr>
    </w:pPr>
  </w:style>
  <w:style w:type="paragraph" w:styleId="DefinitionListLevel2" w:customStyle="1">
    <w:name w:val="Definition List Level 2"/>
    <w:basedOn w:val="DefinitionListLevel1"/>
    <w:rsid w:val="009919C6"/>
    <w:pPr>
      <w:numPr>
        <w:ilvl w:val="2"/>
      </w:numPr>
    </w:pPr>
  </w:style>
  <w:style w:type="paragraph" w:styleId="ScheduleText7" w:customStyle="1">
    <w:name w:val="Schedule Text 7"/>
    <w:basedOn w:val="ScheduleText6"/>
    <w:rsid w:val="009919C6"/>
    <w:pPr>
      <w:numPr>
        <w:ilvl w:val="6"/>
      </w:numPr>
    </w:pPr>
  </w:style>
  <w:style w:type="paragraph" w:styleId="CostHeading2A" w:customStyle="1">
    <w:name w:val="CostHeading 2A"/>
    <w:basedOn w:val="Heading2A"/>
    <w:rsid w:val="009229FC"/>
  </w:style>
  <w:style w:type="paragraph" w:styleId="DefinitionNumbering4" w:customStyle="1">
    <w:name w:val="Definition Numbering 4"/>
    <w:basedOn w:val="Normal"/>
    <w:rsid w:val="0059620A"/>
    <w:pPr>
      <w:tabs>
        <w:tab w:val="num" w:pos="2880"/>
      </w:tabs>
      <w:adjustRightInd w:val="0"/>
      <w:ind w:left="2880" w:hanging="1080"/>
      <w:jc w:val="both"/>
      <w:outlineLvl w:val="3"/>
    </w:pPr>
    <w:rPr>
      <w:rFonts w:ascii="Times New Roman" w:cs="Times New Roman" w:eastAsia="STZhongsong" w:hAnsi="Times New Roman"/>
      <w:sz w:val="22"/>
      <w:szCs w:val="20"/>
      <w:lang w:eastAsia="zh-CN"/>
    </w:rPr>
  </w:style>
  <w:style w:type="paragraph" w:styleId="DefinitionNumbering5" w:customStyle="1">
    <w:name w:val="Definition Numbering 5"/>
    <w:basedOn w:val="Normal"/>
    <w:rsid w:val="0059620A"/>
    <w:pPr>
      <w:tabs>
        <w:tab w:val="num" w:pos="2880"/>
      </w:tabs>
      <w:adjustRightInd w:val="0"/>
      <w:ind w:left="2880" w:hanging="1080"/>
      <w:jc w:val="both"/>
      <w:outlineLvl w:val="4"/>
    </w:pPr>
    <w:rPr>
      <w:rFonts w:ascii="Times New Roman" w:cs="Times New Roman" w:eastAsia="STZhongsong" w:hAnsi="Times New Roman"/>
      <w:sz w:val="22"/>
      <w:szCs w:val="20"/>
      <w:lang w:eastAsia="zh-CN"/>
    </w:rPr>
  </w:style>
  <w:style w:type="paragraph" w:styleId="DefinitionNumbering6" w:customStyle="1">
    <w:name w:val="Definition Numbering 6"/>
    <w:basedOn w:val="Normal"/>
    <w:rsid w:val="0059620A"/>
    <w:pPr>
      <w:tabs>
        <w:tab w:val="num" w:pos="2880"/>
      </w:tabs>
      <w:adjustRightInd w:val="0"/>
      <w:ind w:left="2880" w:hanging="1080"/>
      <w:jc w:val="both"/>
      <w:outlineLvl w:val="5"/>
    </w:pPr>
    <w:rPr>
      <w:rFonts w:ascii="Times New Roman" w:cs="Times New Roman" w:eastAsia="STZhongsong" w:hAnsi="Times New Roman"/>
      <w:sz w:val="22"/>
      <w:szCs w:val="20"/>
      <w:lang w:eastAsia="zh-CN"/>
    </w:rPr>
  </w:style>
  <w:style w:type="paragraph" w:styleId="DefinitionNumbering7" w:customStyle="1">
    <w:name w:val="Definition Numbering 7"/>
    <w:basedOn w:val="Normal"/>
    <w:rsid w:val="0059620A"/>
    <w:pPr>
      <w:tabs>
        <w:tab w:val="num" w:pos="2880"/>
      </w:tabs>
      <w:adjustRightInd w:val="0"/>
      <w:ind w:left="2880" w:hanging="1080"/>
      <w:jc w:val="both"/>
      <w:outlineLvl w:val="6"/>
    </w:pPr>
    <w:rPr>
      <w:rFonts w:ascii="Times New Roman" w:cs="Times New Roman" w:eastAsia="STZhongsong" w:hAnsi="Times New Roman"/>
      <w:sz w:val="22"/>
      <w:szCs w:val="20"/>
      <w:lang w:eastAsia="zh-CN"/>
    </w:rPr>
  </w:style>
  <w:style w:type="paragraph" w:styleId="Revision">
    <w:name w:val="Revision"/>
    <w:hidden w:val="1"/>
    <w:uiPriority w:val="99"/>
    <w:semiHidden w:val="1"/>
    <w:rsid w:val="001E3CE2"/>
    <w:pPr>
      <w:spacing w:after="0" w:line="240" w:lineRule="auto"/>
    </w:pPr>
    <w:rPr>
      <w:sz w:val="20"/>
      <w:lang w:val="en-GB"/>
    </w:rPr>
  </w:style>
  <w:style w:type="table" w:styleId="TableGrid10" w:customStyle="1">
    <w:name w:val="Table Grid1"/>
    <w:basedOn w:val="TableNormal"/>
    <w:next w:val="TableGrid"/>
    <w:rsid w:val="00C01238"/>
    <w:pPr>
      <w:spacing w:after="0" w:line="240" w:lineRule="auto"/>
    </w:pPr>
    <w:rPr>
      <w:rFonts w:eastAsia="SimSu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aragraph" w:customStyle="1">
    <w:name w:val="paragraph"/>
    <w:basedOn w:val="Normal"/>
    <w:rsid w:val="00195E4A"/>
    <w:pPr>
      <w:spacing w:after="100" w:afterAutospacing="1" w:before="100" w:beforeAutospacing="1"/>
    </w:pPr>
    <w:rPr>
      <w:rFonts w:ascii="Times New Roman" w:cs="Times New Roman" w:eastAsia="Times New Roman" w:hAnsi="Times New Roman"/>
      <w:lang w:eastAsia="en-GB"/>
    </w:rPr>
  </w:style>
  <w:style w:type="character" w:styleId="normaltextrun" w:customStyle="1">
    <w:name w:val="normaltextrun"/>
    <w:basedOn w:val="DefaultParagraphFont"/>
    <w:rsid w:val="00195E4A"/>
  </w:style>
  <w:style w:type="character" w:styleId="eop" w:customStyle="1">
    <w:name w:val="eop"/>
    <w:basedOn w:val="DefaultParagraphFont"/>
    <w:rsid w:val="00195E4A"/>
  </w:style>
  <w:style w:type="numbering" w:styleId="111111">
    <w:name w:val="Outline List 2"/>
    <w:basedOn w:val="NoList"/>
    <w:rsid w:val="001F4D46"/>
    <w:pPr>
      <w:numPr>
        <w:numId w:val="43"/>
      </w:numPr>
    </w:p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pPr>
    <w:rPr>
      <w:rFonts w:ascii="Arial" w:cs="Arial" w:eastAsia="Arial" w:hAnsi="Arial"/>
      <w:b w:val="0"/>
      <w:i w:val="0"/>
      <w:smallCaps w:val="0"/>
      <w:strike w:val="0"/>
      <w:color w:val="7d7d7d"/>
      <w:sz w:val="32"/>
      <w:szCs w:val="32"/>
      <w:u w:val="none"/>
      <w:shd w:fill="auto" w:val="clear"/>
      <w:vertAlign w:val="baseline"/>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gov.uk/government/publications/government-security-classifications/guidance-15-considerations-for-security-advisors-html" TargetMode="External"/><Relationship Id="rId22" Type="http://schemas.openxmlformats.org/officeDocument/2006/relationships/hyperlink" Target="https://www.gov.uk/guidance/set-up-government-email-services-securely" TargetMode="External"/><Relationship Id="rId21" Type="http://schemas.openxmlformats.org/officeDocument/2006/relationships/footer" Target="footer2.xml"/><Relationship Id="rId24" Type="http://schemas.openxmlformats.org/officeDocument/2006/relationships/header" Target="header3.xml"/><Relationship Id="rId23" Type="http://schemas.openxmlformats.org/officeDocument/2006/relationships/hyperlink" Target="https://www.ncsc.gov.uk/collection/email-security-and-anti-spoof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26" Type="http://schemas.openxmlformats.org/officeDocument/2006/relationships/header" Target="header2.xml"/><Relationship Id="rId25" Type="http://schemas.openxmlformats.org/officeDocument/2006/relationships/header" Target="header4.xml"/><Relationship Id="rId28" Type="http://schemas.openxmlformats.org/officeDocument/2006/relationships/footer" Target="footer5.xml"/><Relationship Id="rId27" Type="http://schemas.openxmlformats.org/officeDocument/2006/relationships/footer" Target="footer4.xm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footer" Target="footer3.xml"/><Relationship Id="rId7" Type="http://schemas.openxmlformats.org/officeDocument/2006/relationships/hyperlink" Target="https://www.security.gov.uk/policy-and-guidance/contracting-securely/" TargetMode="External"/><Relationship Id="rId8" Type="http://schemas.openxmlformats.org/officeDocument/2006/relationships/header" Target="header1.xml"/><Relationship Id="rId31" Type="http://schemas.openxmlformats.org/officeDocument/2006/relationships/footer" Target="footer6.xml"/><Relationship Id="rId30" Type="http://schemas.openxmlformats.org/officeDocument/2006/relationships/header" Target="header5.xml"/><Relationship Id="rId11" Type="http://schemas.openxmlformats.org/officeDocument/2006/relationships/hyperlink" Target="https://www.gov.uk/government/publications/government-security-classifications/guidance-11-working-at-official-html" TargetMode="External"/><Relationship Id="rId10" Type="http://schemas.openxmlformats.org/officeDocument/2006/relationships/hyperlink" Target="https://www.gov.uk/government/publications/government-security-classifications/guidance-11-working-at-official-html" TargetMode="External"/><Relationship Id="rId32" Type="http://schemas.openxmlformats.org/officeDocument/2006/relationships/hyperlink" Target="https://www.security.gov.uk/guidance/secure-by-design/" TargetMode="External"/><Relationship Id="rId13" Type="http://schemas.openxmlformats.org/officeDocument/2006/relationships/hyperlink" Target="https://www.ncsc.gov.uk/collection/cloud/the-cloud-security-principles" TargetMode="External"/><Relationship Id="rId12" Type="http://schemas.openxmlformats.org/officeDocument/2006/relationships/hyperlink" Target="https://www.gov.uk/government/publications/government-baseline-personnel-security-standard" TargetMode="External"/><Relationship Id="rId15" Type="http://schemas.openxmlformats.org/officeDocument/2006/relationships/hyperlink" Target="https://www.ncsc.gov.uk/collection/protecting-bulk-personal-data" TargetMode="External"/><Relationship Id="rId14" Type="http://schemas.openxmlformats.org/officeDocument/2006/relationships/hyperlink" Target="https://www.ncsc.gov.uk/collection/device-security-guidance" TargetMode="External"/><Relationship Id="rId17" Type="http://schemas.openxmlformats.org/officeDocument/2006/relationships/hyperlink" Target="https://owasp.org/www-project-secure-coding-practices-quick-reference-guide/" TargetMode="External"/><Relationship Id="rId16" Type="http://schemas.openxmlformats.org/officeDocument/2006/relationships/hyperlink" Target="https://www.ncsc.gov.uk/collection/cyber-security-design-principles/cyber-security-design-principles" TargetMode="External"/><Relationship Id="rId19" Type="http://schemas.openxmlformats.org/officeDocument/2006/relationships/hyperlink" Target="https://www.security.gov.uk/policy-and-guidance/secure-by-design/principles/" TargetMode="External"/><Relationship Id="rId18" Type="http://schemas.openxmlformats.org/officeDocument/2006/relationships/hyperlink" Target="https://owasp.org/www-project-top-te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1FKnLWcuaK83VUiSE25pOahs1g==">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2024-08-23T11:52:00Z</dcterms:created>
  <dc:creator>DLA Piper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FAuthor">
    <vt:lpwstr>7703109</vt:lpwstr>
  </property>
  <property fmtid="{D5CDD505-2E9C-101B-9397-08002B2CF9AE}" pid="3" name="DWFTypist">
    <vt:lpwstr>7703109</vt:lpwstr>
  </property>
  <property fmtid="{D5CDD505-2E9C-101B-9397-08002B2CF9AE}" pid="4" name="DWFTypistName">
    <vt:lpwstr>Charlotte Ganz</vt:lpwstr>
  </property>
  <property fmtid="{D5CDD505-2E9C-101B-9397-08002B2CF9AE}" pid="5" name="DWFAuthorName">
    <vt:lpwstr>Charlotte Ganz</vt:lpwstr>
  </property>
  <property fmtid="{D5CDD505-2E9C-101B-9397-08002B2CF9AE}" pid="6" name="DWFClientNum">
    <vt:lpwstr>2040175</vt:lpwstr>
  </property>
  <property fmtid="{D5CDD505-2E9C-101B-9397-08002B2CF9AE}" pid="7" name="DWFClientName">
    <vt:lpwstr>Government Legal Department</vt:lpwstr>
  </property>
  <property fmtid="{D5CDD505-2E9C-101B-9397-08002B2CF9AE}" pid="8" name="DWFMatterNum">
    <vt:lpwstr>26</vt:lpwstr>
  </property>
  <property fmtid="{D5CDD505-2E9C-101B-9397-08002B2CF9AE}" pid="9" name="DWFMatterName">
    <vt:lpwstr>RM6179 - LSP - 099 - Model Contracts Review 2024</vt:lpwstr>
  </property>
  <property fmtid="{D5CDD505-2E9C-101B-9397-08002B2CF9AE}" pid="10" name="DWFFooter">
    <vt:lpwstr>91177905-1</vt:lpwstr>
  </property>
  <property fmtid="{D5CDD505-2E9C-101B-9397-08002B2CF9AE}" pid="11" name="DMSDocNumber">
    <vt:lpwstr>91177905</vt:lpwstr>
  </property>
  <property fmtid="{D5CDD505-2E9C-101B-9397-08002B2CF9AE}" pid="12" name="DMSDocVersion">
    <vt:lpwstr>1</vt:lpwstr>
  </property>
  <property fmtid="{D5CDD505-2E9C-101B-9397-08002B2CF9AE}" pid="13" name="DWFOurRef">
    <vt:lpwstr>Government Legal Department</vt:lpwstr>
  </property>
  <property fmtid="{D5CDD505-2E9C-101B-9397-08002B2CF9AE}" pid="14" name="DWFOffice">
    <vt:lpwstr>LLP - Edinburgh - 2 Semple Street</vt:lpwstr>
  </property>
  <property fmtid="{D5CDD505-2E9C-101B-9397-08002B2CF9AE}" pid="15" name="DWFClientPartner">
    <vt:lpwstr>Colin Murray</vt:lpwstr>
  </property>
  <property fmtid="{D5CDD505-2E9C-101B-9397-08002B2CF9AE}" pid="16" name="DWFMatterPartner">
    <vt:lpwstr>Douglas Jefferies</vt:lpwstr>
  </property>
  <property fmtid="{D5CDD505-2E9C-101B-9397-08002B2CF9AE}" pid="17" name="DWFPracticeGroup">
    <vt:lpwstr>Commercial, Regulatory &amp; Data</vt:lpwstr>
  </property>
  <property fmtid="{D5CDD505-2E9C-101B-9397-08002B2CF9AE}" pid="18" name="ContentTypeId">
    <vt:lpwstr>0x01010049E24096C3B12B4DBFEA258BF752736B</vt:lpwstr>
  </property>
  <property fmtid="{D5CDD505-2E9C-101B-9397-08002B2CF9AE}" pid="19" name="MediaServiceImageTags">
    <vt:lpwstr/>
  </property>
</Properties>
</file>