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Framework Schedule 3 (Framework Prices)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after="120" w:before="120" w:line="24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jc w:val="both"/>
        <w:rPr>
          <w:b w:val="1"/>
          <w:smallCaps w:val="1"/>
          <w:color w:val="000000"/>
        </w:rPr>
      </w:pPr>
      <w:r w:rsidDel="00000000" w:rsidR="00000000" w:rsidRPr="00000000">
        <w:rPr>
          <w:b w:val="1"/>
          <w:color w:val="000000"/>
          <w:rtl w:val="0"/>
        </w:rPr>
        <w:t xml:space="preserve">How Framework Prices are used to calculate Call-Off Charges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The Framework Prices: </w:t>
      </w:r>
    </w:p>
    <w:p w:rsidR="00000000" w:rsidDel="00000000" w:rsidP="00000000" w:rsidRDefault="00000000" w:rsidRPr="00000000" w14:paraId="00000005">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440"/>
        </w:tabs>
        <w:spacing w:after="120" w:before="120" w:line="240" w:lineRule="auto"/>
        <w:ind w:left="1980" w:hanging="846"/>
        <w:rPr/>
      </w:pPr>
      <w:r w:rsidDel="00000000" w:rsidR="00000000" w:rsidRPr="00000000">
        <w:rPr>
          <w:rtl w:val="0"/>
        </w:rPr>
        <w:t xml:space="preserve">will be used as the basis for the Charges (and are maximums that the Supplier may charge) under each Call-Off Contract; </w:t>
      </w:r>
    </w:p>
    <w:p w:rsidR="00000000" w:rsidDel="00000000" w:rsidP="00000000" w:rsidRDefault="00000000" w:rsidRPr="00000000" w14:paraId="0000000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cannot be increased except as in accordance with this Schedule; and</w:t>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can only be increased due to indexation from the third Contract Year as set out at Paragraph 6.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pPr>
      <w:r w:rsidDel="00000000" w:rsidR="00000000" w:rsidRPr="00000000">
        <w:rPr>
          <w:rtl w:val="0"/>
        </w:rPr>
        <w:t xml:space="preserve">The Charges that apply under each Call-Off Contract shall be determined as follows: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shall be calculated in accordance with the terms of the Call-Off Contract and in particular in accordance with the terms of the Order Form; </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cannot be increased except as specifically permitted by the Call-Off Contract and in particular shall only be subject to Indexation where specifically stated in the Order Form; and</w:t>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shall not be impacted by any change to the Framework Prices.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pPr>
      <w:bookmarkStart w:colFirst="0" w:colLast="0" w:name="_heading=h.30j0zll" w:id="1"/>
      <w:bookmarkEnd w:id="1"/>
      <w:r w:rsidDel="00000000" w:rsidR="00000000" w:rsidRPr="00000000">
        <w:rPr>
          <w:rtl w:val="0"/>
        </w:rPr>
        <w:t xml:space="preserve">Any variation to the Charges payable under a Call-Off Contract must be agreed between the Supplier and the Buyer and implemented using the same procedure for altering Framework Prices in accordance with the provisions of this Framework Schedule 3.</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3" w:hanging="720"/>
        <w:jc w:val="both"/>
        <w:rPr>
          <w:color w:val="000000"/>
        </w:rPr>
      </w:pPr>
      <w:r w:rsidDel="00000000" w:rsidR="00000000" w:rsidRPr="00000000">
        <w:rPr>
          <w:rtl w:val="0"/>
        </w:rPr>
        <w:t xml:space="preserve">For the avoidance of doubt, the Charges that apply under each Call-Off Contract may exceed the Framework Prices where indexation is applied.</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pPr>
      <w:r w:rsidDel="00000000" w:rsidR="00000000" w:rsidRPr="00000000">
        <w:rPr>
          <w:b w:val="1"/>
          <w:rtl w:val="0"/>
        </w:rPr>
        <w:t xml:space="preserve">How Framework Prices are calculated</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The pricing mechanisms and prices set out in Annex 1 shall be available for use in calculation of Framework Prices in Call-Off Contracts.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pPr>
      <w:bookmarkStart w:colFirst="0" w:colLast="0" w:name="_heading=h.1fob9te" w:id="2"/>
      <w:bookmarkEnd w:id="2"/>
      <w:r w:rsidDel="00000000" w:rsidR="00000000" w:rsidRPr="00000000">
        <w:rPr>
          <w:b w:val="1"/>
          <w:rtl w:val="0"/>
        </w:rPr>
        <w:t xml:space="preserve">Costs and expenses included in the Framework Prices</w:t>
      </w:r>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pPr>
      <w:r w:rsidDel="00000000" w:rsidR="00000000" w:rsidRPr="00000000">
        <w:rPr>
          <w:rtl w:val="0"/>
        </w:rPr>
        <w:t xml:space="preserve">Except as expressly set out in Paragraph 4 below, or otherwise stated in the Order Form the Framework Prices shall include all costs and expenses relating to the provision of Deliverables. No further amounts shall be payable in respect of matters such as:</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46"/>
        <w:rPr/>
      </w:pPr>
      <w:r w:rsidDel="00000000" w:rsidR="00000000" w:rsidRPr="00000000">
        <w:rPr>
          <w:rtl w:val="0"/>
        </w:rPr>
        <w:t xml:space="preserve">incidental expenses such as travel, subsistence and lodging, document or report reproduction, shipping, desktop or office equipment costs, network or data interchange costs or other telecommunications charges; or</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46"/>
        <w:rPr/>
      </w:pPr>
      <w:r w:rsidDel="00000000" w:rsidR="00000000" w:rsidRPr="00000000">
        <w:rPr>
          <w:rtl w:val="0"/>
        </w:rPr>
        <w:t xml:space="preserve">costs incurred prior to the commencement of any Call-Off Contract.</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jc w:val="both"/>
        <w:rPr/>
      </w:pPr>
      <w:r w:rsidDel="00000000" w:rsidR="00000000" w:rsidRPr="00000000">
        <w:rPr>
          <w:b w:val="1"/>
          <w:rtl w:val="0"/>
        </w:rPr>
        <w:t xml:space="preserve">NOT USED </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pPr>
      <w:r w:rsidDel="00000000" w:rsidR="00000000" w:rsidRPr="00000000">
        <w:rPr>
          <w:b w:val="1"/>
          <w:rtl w:val="0"/>
        </w:rPr>
        <w:t xml:space="preserve">Events that allow the Supplier to change the Framework Prices</w:t>
      </w:r>
      <w:r w:rsidDel="00000000" w:rsidR="00000000" w:rsidRPr="00000000">
        <w:rPr>
          <w:rtl w:val="0"/>
        </w:rPr>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The Framework Prices can only be varied (and Annex 1 will be updated accordingly) due to:</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a Specific Change in Law in accordance with Clause 27 </w:t>
      </w:r>
      <w:r w:rsidDel="00000000" w:rsidR="00000000" w:rsidRPr="00000000">
        <w:rPr>
          <w:i w:val="1"/>
          <w:rtl w:val="0"/>
        </w:rPr>
        <w:t xml:space="preserve">(Changing the Contract)</w:t>
      </w:r>
      <w:r w:rsidDel="00000000" w:rsidR="00000000" w:rsidRPr="00000000">
        <w:rPr>
          <w:rtl w:val="0"/>
        </w:rPr>
        <w:t xml:space="preserve"> of the General Terms;</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a review in accordance with insurance requirements in Clause 16 </w:t>
      </w:r>
      <w:r w:rsidDel="00000000" w:rsidR="00000000" w:rsidRPr="00000000">
        <w:rPr>
          <w:i w:val="1"/>
          <w:rtl w:val="0"/>
        </w:rPr>
        <w:t xml:space="preserve">(Insurance)</w:t>
      </w:r>
      <w:r w:rsidDel="00000000" w:rsidR="00000000" w:rsidRPr="00000000">
        <w:rPr>
          <w:rtl w:val="0"/>
        </w:rPr>
        <w:t xml:space="preserve"> of the General Terms;</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a benchmarking review in accordance with Call-Off Schedule 16 </w:t>
      </w:r>
      <w:r w:rsidDel="00000000" w:rsidR="00000000" w:rsidRPr="00000000">
        <w:rPr>
          <w:i w:val="1"/>
          <w:rtl w:val="0"/>
        </w:rPr>
        <w:t xml:space="preserve">(Benchmarking)</w:t>
      </w:r>
      <w:r w:rsidDel="00000000" w:rsidR="00000000" w:rsidRPr="00000000">
        <w:rPr>
          <w:rtl w:val="0"/>
        </w:rPr>
        <w:t xml:space="preserve">;</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pPr>
      <w:r w:rsidDel="00000000" w:rsidR="00000000" w:rsidRPr="00000000">
        <w:rPr>
          <w:rtl w:val="0"/>
        </w:rPr>
        <w:t xml:space="preserve">a request to decrease the Framework Prices from the Supplier, which it can make at any time; and</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pPr>
      <w:r w:rsidDel="00000000" w:rsidR="00000000" w:rsidRPr="00000000">
        <w:rPr>
          <w:rtl w:val="0"/>
        </w:rPr>
        <w:t xml:space="preserve">indexation, only where the Framework Contract Period exceeds 2 years and Annex 1 states that a particular Framework Price or any component is “subject to Indexation” in which event Paragraph 6 below shall apply.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b w:val="1"/>
        </w:rPr>
      </w:pPr>
      <w:r w:rsidDel="00000000" w:rsidR="00000000" w:rsidRPr="00000000">
        <w:rPr>
          <w:b w:val="1"/>
          <w:rtl w:val="0"/>
        </w:rPr>
        <w:t xml:space="preserve">When the Framework Prices are linked to inflation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5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 Framework Contract Period exceeds 2 years and the Framework Prices are stated to be "subject to Indexation" they shall be adjusted in line with changes in the Services Producer Price Index as published in the latest version of the Services Producer Price Index Statistical Bulletin Reference Tables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“Index”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pursuant to Paragraph 6.4 from the start of the third Contract Year.  CCS reserves the right to amend the Index before the start of the third Contract Year on notice to Suppliers and provide reasons for the change. All other costs, expenses, fees and charges shall not be adjusted to take account of any inflation, change to exchange rate, change to interest rate or any other factor or element which might otherwise increase the cost to the Supplier.</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Any costs, expenses, fees or charges charged by the Supplier to the Buyer in respect of Supplier Assets or Buyer Assets (including capital costs and installation, maintenance and support costs) which are incurred by the Supplier prior to the relevant adjustment date but which remain to be recovered through the Charges shall not be subject to adjustment under this Paragraph 6 and shall not be included in the relevant amount or sum for the purposes of Paragraph 6.1.</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Framework Prices shall not be indexed during the first 2</w:t>
      </w:r>
      <w:r w:rsidDel="00000000" w:rsidR="00000000" w:rsidRPr="00000000">
        <w:rPr>
          <w:b w:val="1"/>
          <w:rtl w:val="0"/>
        </w:rPr>
        <w:t xml:space="preserve"> </w:t>
      </w:r>
      <w:r w:rsidDel="00000000" w:rsidR="00000000" w:rsidRPr="00000000">
        <w:rPr>
          <w:rtl w:val="0"/>
        </w:rPr>
        <w:t xml:space="preserve">years following the Framework Start Date. </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Where Annex 1 states a Framework Price is subject to Indexation then it will be indexed on the date which is 2</w:t>
      </w:r>
      <w:r w:rsidDel="00000000" w:rsidR="00000000" w:rsidRPr="00000000">
        <w:rPr>
          <w:b w:val="1"/>
          <w:rtl w:val="0"/>
        </w:rPr>
        <w:t xml:space="preserve"> </w:t>
      </w:r>
      <w:r w:rsidDel="00000000" w:rsidR="00000000" w:rsidRPr="00000000">
        <w:rPr>
          <w:rtl w:val="0"/>
        </w:rPr>
        <w:t xml:space="preserve">years after the Framework Start Date to reflect the percentage change in the Index since the Framework Start Date.  They shall be indexed on each following yearly anniversary to reflect the percentage change in the Index since the previous change.</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Where the Index:</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used to carry out an indexation calculation is updated (for example due to it being provisional) then the indexation calculation shall also be updated unless CCS and the Supplier agree otherwise; </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pPr>
      <w:r w:rsidDel="00000000" w:rsidR="00000000" w:rsidRPr="00000000">
        <w:rPr>
          <w:rtl w:val="0"/>
        </w:rPr>
        <w:t xml:space="preserve">is no longer published, CCS and the Supplier shall agree an appropriate replacement index which shall cover to the maximum extent possible the same economic activities as the original index.</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b w:val="1"/>
        </w:rPr>
      </w:pPr>
      <w:r w:rsidDel="00000000" w:rsidR="00000000" w:rsidRPr="00000000">
        <w:rPr>
          <w:b w:val="1"/>
          <w:rtl w:val="0"/>
        </w:rPr>
        <w:t xml:space="preserve">When you will be reimbursed for travel and subsistence</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Expenses shall only be recoverable where:</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46"/>
        <w:rPr/>
      </w:pPr>
      <w:r w:rsidDel="00000000" w:rsidR="00000000" w:rsidRPr="00000000">
        <w:rPr>
          <w:rtl w:val="0"/>
        </w:rPr>
        <w:t xml:space="preserve">the Time and Materials pricing mechanism is used; and</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46"/>
        <w:rPr/>
      </w:pPr>
      <w:r w:rsidDel="00000000" w:rsidR="00000000" w:rsidRPr="00000000">
        <w:rPr>
          <w:rtl w:val="0"/>
        </w:rPr>
        <w:t xml:space="preserve">the Order Form states that recovery is permitted; and</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 w:val="left" w:leader="none" w:pos="1980"/>
        </w:tabs>
        <w:spacing w:after="120" w:before="120" w:line="240" w:lineRule="auto"/>
        <w:ind w:left="1980" w:hanging="846"/>
        <w:rPr/>
      </w:pPr>
      <w:r w:rsidDel="00000000" w:rsidR="00000000" w:rsidRPr="00000000">
        <w:rPr>
          <w:rtl w:val="0"/>
        </w:rPr>
        <w:t xml:space="preserve">they are Reimbursable Expenses and are supported by Supporting Documentation.</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pPr>
      <w:bookmarkStart w:colFirst="0" w:colLast="0" w:name="_heading=h.tyjcwt" w:id="3"/>
      <w:bookmarkEnd w:id="3"/>
      <w:r w:rsidDel="00000000" w:rsidR="00000000" w:rsidRPr="00000000">
        <w:rPr>
          <w:rtl w:val="0"/>
        </w:rPr>
        <w:t xml:space="preserve">For the purposes of Paragraph 7.1 of this Schedule, a “</w:t>
      </w:r>
      <w:r w:rsidDel="00000000" w:rsidR="00000000" w:rsidRPr="00000000">
        <w:rPr>
          <w:b w:val="1"/>
          <w:rtl w:val="0"/>
        </w:rPr>
        <w:t xml:space="preserve">Time and Materials pricing mechanism</w:t>
      </w:r>
      <w:r w:rsidDel="00000000" w:rsidR="00000000" w:rsidRPr="00000000">
        <w:rPr>
          <w:rtl w:val="0"/>
        </w:rPr>
        <w:t xml:space="preserve">” means a pricing mechanism whereby the Buyer agrees to pay the Supplier based upon the work performed by the Supplier's Staff, and for materials used in the project, no matter how much work is required to complete the project. In the event that a Call-Off Contract uses this pricing mechanism the price shall be based upon the prices detailed in Table 1 of Annex 1 to Framework Schedule 3.</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pPr>
      <w:bookmarkStart w:colFirst="0" w:colLast="0" w:name="_heading=h.3dy6vkm" w:id="4"/>
      <w:bookmarkEnd w:id="4"/>
      <w:r w:rsidDel="00000000" w:rsidR="00000000" w:rsidRPr="00000000">
        <w:rPr>
          <w:rtl w:val="0"/>
        </w:rPr>
        <w:t xml:space="preserve">The Buyer shall provide a copy of their current expenses policy to the Supplier upon request.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0"/>
        </w:tabs>
        <w:spacing w:after="120" w:before="120" w:line="240" w:lineRule="auto"/>
        <w:ind w:left="644" w:hanging="360"/>
        <w:jc w:val="both"/>
        <w:rPr>
          <w:b w:val="1"/>
          <w:smallCaps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1372"/>
        <w:rPr/>
      </w:pPr>
      <w:r w:rsidDel="00000000" w:rsidR="00000000" w:rsidRPr="00000000">
        <w:rPr>
          <w:rtl w:val="0"/>
        </w:rPr>
      </w:r>
    </w:p>
    <w:p w:rsidR="00000000" w:rsidDel="00000000" w:rsidP="00000000" w:rsidRDefault="00000000" w:rsidRPr="00000000" w14:paraId="0000002D">
      <w:pPr>
        <w:spacing w:after="120" w:before="120" w:line="240" w:lineRule="auto"/>
        <w:rPr>
          <w:b w:val="1"/>
          <w:sz w:val="36"/>
          <w:szCs w:val="36"/>
        </w:rPr>
      </w:pPr>
      <w:bookmarkStart w:colFirst="0" w:colLast="0" w:name="_heading=h.1t3h5sf" w:id="5"/>
      <w:bookmarkEnd w:id="5"/>
      <w:r w:rsidDel="00000000" w:rsidR="00000000" w:rsidRPr="00000000">
        <w:br w:type="page"/>
      </w:r>
      <w:r w:rsidDel="00000000" w:rsidR="00000000" w:rsidRPr="00000000">
        <w:rPr>
          <w:b w:val="1"/>
          <w:sz w:val="36"/>
          <w:szCs w:val="36"/>
          <w:rtl w:val="0"/>
        </w:rPr>
        <w:t xml:space="preserve">Annex 1: Rates and Prices</w:t>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Table 1: Day Rates</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t xml:space="preserve">The Supplier (and its Subcontractors) shall not be entitled to include any uplift for risks or contingencies within its day rates. The rates below shall be subject to variation by way of Indexation</w:t>
      </w:r>
      <w:r w:rsidDel="00000000" w:rsidR="00000000" w:rsidRPr="00000000">
        <w:rPr>
          <w:rtl w:val="0"/>
        </w:rPr>
      </w:r>
    </w:p>
    <w:tbl>
      <w:tblPr>
        <w:tblStyle w:val="Table1"/>
        <w:tblW w:w="9209.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787"/>
        <w:gridCol w:w="1061"/>
        <w:gridCol w:w="1061"/>
        <w:gridCol w:w="1060"/>
        <w:gridCol w:w="1060"/>
        <w:gridCol w:w="1060"/>
        <w:gridCol w:w="1060"/>
        <w:gridCol w:w="1060"/>
        <w:tblGridChange w:id="0">
          <w:tblGrid>
            <w:gridCol w:w="1787"/>
            <w:gridCol w:w="1061"/>
            <w:gridCol w:w="1061"/>
            <w:gridCol w:w="1060"/>
            <w:gridCol w:w="1060"/>
            <w:gridCol w:w="1060"/>
            <w:gridCol w:w="1060"/>
            <w:gridCol w:w="1060"/>
          </w:tblGrid>
        </w:tblGridChange>
      </w:tblGrid>
      <w:tr>
        <w:trPr>
          <w:cantSplit w:val="0"/>
          <w:tblHeader w:val="0"/>
        </w:trPr>
        <w:tc>
          <w:tcPr>
            <w:shd w:fill="548dd4" w:val="clear"/>
          </w:tcPr>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spacing w:after="120" w:before="120" w:line="240" w:lineRule="auto"/>
              <w:ind w:left="142" w:firstLine="0"/>
              <w:rPr>
                <w:b w:val="1"/>
              </w:rPr>
            </w:pPr>
            <w:r w:rsidDel="00000000" w:rsidR="00000000" w:rsidRPr="00000000">
              <w:rPr>
                <w:b w:val="1"/>
                <w:rtl w:val="0"/>
              </w:rPr>
              <w:t xml:space="preserve">Framework Lot</w:t>
            </w:r>
          </w:p>
        </w:tc>
        <w:tc>
          <w:tcPr>
            <w:shd w:fill="548dd4" w:val="clear"/>
          </w:tcPr>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after="120" w:before="120" w:line="240" w:lineRule="auto"/>
              <w:ind w:left="142" w:firstLine="0"/>
              <w:rPr>
                <w:b w:val="1"/>
              </w:rPr>
            </w:pPr>
            <w:r w:rsidDel="00000000" w:rsidR="00000000" w:rsidRPr="00000000">
              <w:rPr>
                <w:b w:val="1"/>
                <w:rtl w:val="0"/>
              </w:rPr>
              <w:t xml:space="preserve">AO</w:t>
            </w:r>
          </w:p>
        </w:tc>
        <w:tc>
          <w:tcPr>
            <w:shd w:fill="548dd4" w:val="clear"/>
          </w:tcPr>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spacing w:after="120" w:before="120" w:line="240" w:lineRule="auto"/>
              <w:ind w:left="142" w:firstLine="0"/>
              <w:rPr>
                <w:b w:val="1"/>
              </w:rPr>
            </w:pPr>
            <w:r w:rsidDel="00000000" w:rsidR="00000000" w:rsidRPr="00000000">
              <w:rPr>
                <w:b w:val="1"/>
                <w:rtl w:val="0"/>
              </w:rPr>
              <w:t xml:space="preserve">EO</w:t>
            </w:r>
          </w:p>
        </w:tc>
        <w:tc>
          <w:tcPr>
            <w:shd w:fill="548dd4" w:val="clear"/>
          </w:tcPr>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spacing w:after="120" w:before="120" w:line="240" w:lineRule="auto"/>
              <w:ind w:left="142" w:firstLine="0"/>
              <w:rPr>
                <w:b w:val="1"/>
              </w:rPr>
            </w:pPr>
            <w:r w:rsidDel="00000000" w:rsidR="00000000" w:rsidRPr="00000000">
              <w:rPr>
                <w:b w:val="1"/>
                <w:rtl w:val="0"/>
              </w:rPr>
              <w:t xml:space="preserve">HEO</w:t>
            </w:r>
          </w:p>
        </w:tc>
        <w:tc>
          <w:tcPr>
            <w:shd w:fill="548dd4" w:val="clear"/>
          </w:tcPr>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SEO</w:t>
            </w:r>
          </w:p>
        </w:tc>
        <w:tc>
          <w:tcPr>
            <w:shd w:fill="548dd4" w:val="clear"/>
          </w:tcPr>
          <w:p w:rsidR="00000000" w:rsidDel="00000000" w:rsidP="00000000" w:rsidRDefault="00000000" w:rsidRPr="00000000" w14:paraId="00000035">
            <w:pPr>
              <w:keepNext w:val="1"/>
              <w:pBdr>
                <w:top w:space="0" w:sz="0" w:val="nil"/>
                <w:left w:space="0" w:sz="0" w:val="nil"/>
                <w:bottom w:space="0" w:sz="0" w:val="nil"/>
                <w:right w:space="0" w:sz="0" w:val="nil"/>
                <w:between w:space="0" w:sz="0" w:val="nil"/>
              </w:pBdr>
              <w:spacing w:after="120" w:before="120" w:line="240" w:lineRule="auto"/>
              <w:ind w:left="142" w:firstLine="0"/>
              <w:rPr>
                <w:b w:val="1"/>
              </w:rPr>
            </w:pPr>
            <w:r w:rsidDel="00000000" w:rsidR="00000000" w:rsidRPr="00000000">
              <w:rPr>
                <w:b w:val="1"/>
                <w:rtl w:val="0"/>
              </w:rPr>
              <w:t xml:space="preserve">G6</w:t>
            </w:r>
          </w:p>
        </w:tc>
        <w:tc>
          <w:tcPr>
            <w:shd w:fill="548dd4" w:val="clear"/>
          </w:tcPr>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spacing w:after="120" w:before="120" w:line="240" w:lineRule="auto"/>
              <w:ind w:left="142" w:firstLine="0"/>
              <w:rPr>
                <w:b w:val="1"/>
              </w:rPr>
            </w:pPr>
            <w:r w:rsidDel="00000000" w:rsidR="00000000" w:rsidRPr="00000000">
              <w:rPr>
                <w:b w:val="1"/>
                <w:rtl w:val="0"/>
              </w:rPr>
              <w:t xml:space="preserve">G7</w:t>
            </w:r>
          </w:p>
        </w:tc>
        <w:tc>
          <w:tcPr>
            <w:shd w:fill="548dd4" w:val="clea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spacing w:after="120" w:before="120" w:line="240" w:lineRule="auto"/>
              <w:ind w:left="142" w:firstLine="0"/>
              <w:rPr>
                <w:b w:val="1"/>
              </w:rPr>
            </w:pPr>
            <w:r w:rsidDel="00000000" w:rsidR="00000000" w:rsidRPr="00000000">
              <w:rPr>
                <w:b w:val="1"/>
                <w:rtl w:val="0"/>
              </w:rPr>
              <w:t xml:space="preserve">SCS1</w:t>
            </w:r>
          </w:p>
        </w:tc>
      </w:tr>
      <w:tr>
        <w:trPr>
          <w:cantSplit w:val="0"/>
          <w:tblHeader w:val="0"/>
        </w:trPr>
        <w:tc>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1</w:t>
            </w:r>
          </w:p>
        </w:tc>
        <w:tc>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3A">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3B">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3C">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3E">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3F">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2</w:t>
            </w:r>
          </w:p>
        </w:tc>
        <w:tc>
          <w:tcPr/>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6">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7">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3</w:t>
            </w:r>
          </w:p>
        </w:tc>
        <w:tc>
          <w:tcPr/>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A">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B">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4</w:t>
            </w:r>
          </w:p>
        </w:tc>
        <w:tc>
          <w:tcPr/>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6">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5</w:t>
            </w:r>
          </w:p>
        </w:tc>
        <w:tc>
          <w:tcPr/>
          <w:p w:rsidR="00000000" w:rsidDel="00000000" w:rsidP="00000000" w:rsidRDefault="00000000" w:rsidRPr="00000000" w14:paraId="00000059">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6</w:t>
            </w:r>
          </w:p>
        </w:tc>
        <w:tc>
          <w:tcPr/>
          <w:p w:rsidR="00000000" w:rsidDel="00000000" w:rsidP="00000000" w:rsidRDefault="00000000" w:rsidRPr="00000000" w14:paraId="00000061">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5">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7</w:t>
            </w:r>
          </w:p>
        </w:tc>
        <w:tc>
          <w:tcPr/>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D">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Lot 8</w:t>
            </w:r>
          </w:p>
        </w:tc>
        <w:tc>
          <w:tcPr/>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75">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77">
            <w:pPr>
              <w:keepNext w:val="1"/>
              <w:pBdr>
                <w:top w:space="0" w:sz="0" w:val="nil"/>
                <w:left w:space="0" w:sz="0" w:val="nil"/>
                <w:bottom w:space="0" w:sz="0" w:val="nil"/>
                <w:right w:space="0" w:sz="0" w:val="nil"/>
                <w:between w:space="0" w:sz="0" w:val="nil"/>
              </w:pBdr>
              <w:spacing w:after="120" w:before="120" w:line="240" w:lineRule="auto"/>
              <w:ind w:left="142" w:firstLine="0"/>
              <w:rPr/>
            </w:pPr>
            <w:r w:rsidDel="00000000" w:rsidR="00000000" w:rsidRPr="00000000">
              <w:rPr>
                <w:rtl w:val="0"/>
              </w:rPr>
            </w:r>
          </w:p>
        </w:tc>
      </w:tr>
    </w:tbl>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Table 2: Maximum markup per Lot</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t xml:space="preserve">The rates below shall be subject to variation by way of Indexation</w:t>
      </w:r>
      <w:r w:rsidDel="00000000" w:rsidR="00000000" w:rsidRPr="00000000">
        <w:rPr>
          <w:rtl w:val="0"/>
        </w:rPr>
      </w:r>
    </w:p>
    <w:tbl>
      <w:tblPr>
        <w:tblStyle w:val="Table2"/>
        <w:tblW w:w="921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785"/>
        <w:gridCol w:w="1860"/>
        <w:gridCol w:w="1860"/>
        <w:gridCol w:w="1860"/>
        <w:gridCol w:w="1845"/>
        <w:tblGridChange w:id="0">
          <w:tblGrid>
            <w:gridCol w:w="1785"/>
            <w:gridCol w:w="1860"/>
            <w:gridCol w:w="1860"/>
            <w:gridCol w:w="1860"/>
            <w:gridCol w:w="1845"/>
          </w:tblGrid>
        </w:tblGridChange>
      </w:tblGrid>
      <w:tr>
        <w:trPr>
          <w:cantSplit w:val="0"/>
          <w:tblHeader w:val="0"/>
        </w:trPr>
        <w:tc>
          <w:tcPr>
            <w:shd w:fill="548dd4" w:val="clear"/>
          </w:tcPr>
          <w:p w:rsidR="00000000" w:rsidDel="00000000" w:rsidP="00000000" w:rsidRDefault="00000000" w:rsidRPr="00000000" w14:paraId="0000007A">
            <w:pPr>
              <w:keepNext w:val="1"/>
              <w:spacing w:after="120" w:before="120" w:line="240" w:lineRule="auto"/>
              <w:ind w:left="142" w:firstLine="0"/>
              <w:rPr>
                <w:b w:val="1"/>
              </w:rPr>
            </w:pPr>
            <w:r w:rsidDel="00000000" w:rsidR="00000000" w:rsidRPr="00000000">
              <w:rPr>
                <w:b w:val="1"/>
                <w:rtl w:val="0"/>
              </w:rPr>
              <w:t xml:space="preserve">Framework Lot</w:t>
            </w:r>
          </w:p>
        </w:tc>
        <w:tc>
          <w:tcPr>
            <w:shd w:fill="548dd4" w:val="clear"/>
          </w:tcPr>
          <w:p w:rsidR="00000000" w:rsidDel="00000000" w:rsidP="00000000" w:rsidRDefault="00000000" w:rsidRPr="00000000" w14:paraId="0000007B">
            <w:pPr>
              <w:keepNext w:val="1"/>
              <w:spacing w:after="120" w:before="120" w:line="240" w:lineRule="auto"/>
              <w:ind w:left="142" w:firstLine="0"/>
              <w:rPr>
                <w:b w:val="1"/>
              </w:rPr>
            </w:pPr>
            <w:r w:rsidDel="00000000" w:rsidR="00000000" w:rsidRPr="00000000">
              <w:rPr>
                <w:b w:val="1"/>
                <w:rtl w:val="0"/>
              </w:rPr>
              <w:t xml:space="preserve">Goods and Materials</w:t>
            </w:r>
          </w:p>
        </w:tc>
        <w:tc>
          <w:tcPr>
            <w:shd w:fill="548dd4" w:val="clear"/>
          </w:tcPr>
          <w:p w:rsidR="00000000" w:rsidDel="00000000" w:rsidP="00000000" w:rsidRDefault="00000000" w:rsidRPr="00000000" w14:paraId="0000007C">
            <w:pPr>
              <w:keepNext w:val="1"/>
              <w:spacing w:after="120" w:before="120" w:line="240" w:lineRule="auto"/>
              <w:ind w:left="142" w:firstLine="0"/>
              <w:rPr>
                <w:b w:val="1"/>
              </w:rPr>
            </w:pPr>
            <w:r w:rsidDel="00000000" w:rsidR="00000000" w:rsidRPr="00000000">
              <w:rPr>
                <w:b w:val="1"/>
                <w:rtl w:val="0"/>
              </w:rPr>
              <w:t xml:space="preserve">Licensed Software</w:t>
            </w:r>
          </w:p>
        </w:tc>
        <w:tc>
          <w:tcPr>
            <w:shd w:fill="548dd4" w:val="clear"/>
          </w:tcPr>
          <w:p w:rsidR="00000000" w:rsidDel="00000000" w:rsidP="00000000" w:rsidRDefault="00000000" w:rsidRPr="00000000" w14:paraId="0000007D">
            <w:pPr>
              <w:keepNext w:val="1"/>
              <w:spacing w:after="120" w:before="120" w:line="240" w:lineRule="auto"/>
              <w:ind w:left="142" w:firstLine="0"/>
              <w:rPr>
                <w:b w:val="1"/>
              </w:rPr>
            </w:pPr>
            <w:r w:rsidDel="00000000" w:rsidR="00000000" w:rsidRPr="00000000">
              <w:rPr>
                <w:b w:val="1"/>
                <w:rtl w:val="0"/>
              </w:rPr>
              <w:t xml:space="preserve">Services</w:t>
            </w:r>
          </w:p>
        </w:tc>
        <w:tc>
          <w:tcPr>
            <w:shd w:fill="548dd4" w:val="clear"/>
          </w:tcPr>
          <w:p w:rsidR="00000000" w:rsidDel="00000000" w:rsidP="00000000" w:rsidRDefault="00000000" w:rsidRPr="00000000" w14:paraId="0000007E">
            <w:pPr>
              <w:keepNext w:val="1"/>
              <w:spacing w:after="120" w:before="120" w:line="240" w:lineRule="auto"/>
              <w:ind w:left="142" w:firstLine="0"/>
              <w:rPr>
                <w:b w:val="1"/>
              </w:rPr>
            </w:pPr>
            <w:r w:rsidDel="00000000" w:rsidR="00000000" w:rsidRPr="00000000">
              <w:rPr>
                <w:b w:val="1"/>
                <w:rtl w:val="0"/>
              </w:rPr>
              <w:t xml:space="preserve">On-going maintenance</w:t>
            </w:r>
          </w:p>
        </w:tc>
      </w:tr>
      <w:tr>
        <w:trPr>
          <w:cantSplit w:val="0"/>
          <w:tblHeader w:val="0"/>
        </w:trPr>
        <w:tc>
          <w:tcPr/>
          <w:p w:rsidR="00000000" w:rsidDel="00000000" w:rsidP="00000000" w:rsidRDefault="00000000" w:rsidRPr="00000000" w14:paraId="0000007F">
            <w:pPr>
              <w:keepNext w:val="1"/>
              <w:spacing w:after="120" w:before="120" w:line="240" w:lineRule="auto"/>
              <w:rPr/>
            </w:pPr>
            <w:r w:rsidDel="00000000" w:rsidR="00000000" w:rsidRPr="00000000">
              <w:rPr>
                <w:rtl w:val="0"/>
              </w:rPr>
              <w:t xml:space="preserve">Lot 1</w:t>
            </w:r>
          </w:p>
        </w:tc>
        <w:tc>
          <w:tcPr/>
          <w:p w:rsidR="00000000" w:rsidDel="00000000" w:rsidP="00000000" w:rsidRDefault="00000000" w:rsidRPr="00000000" w14:paraId="00000080">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1">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2">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3">
            <w:pPr>
              <w:keepNext w:val="1"/>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84">
            <w:pPr>
              <w:keepNext w:val="1"/>
              <w:spacing w:after="120" w:before="120" w:line="240" w:lineRule="auto"/>
              <w:rPr/>
            </w:pPr>
            <w:r w:rsidDel="00000000" w:rsidR="00000000" w:rsidRPr="00000000">
              <w:rPr>
                <w:rtl w:val="0"/>
              </w:rPr>
              <w:t xml:space="preserve">Lot 2</w:t>
            </w:r>
          </w:p>
        </w:tc>
        <w:tc>
          <w:tcPr/>
          <w:p w:rsidR="00000000" w:rsidDel="00000000" w:rsidP="00000000" w:rsidRDefault="00000000" w:rsidRPr="00000000" w14:paraId="00000085">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6">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7">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8">
            <w:pPr>
              <w:keepNext w:val="1"/>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89">
            <w:pPr>
              <w:keepNext w:val="1"/>
              <w:spacing w:after="120" w:before="120" w:line="240" w:lineRule="auto"/>
              <w:rPr/>
            </w:pPr>
            <w:r w:rsidDel="00000000" w:rsidR="00000000" w:rsidRPr="00000000">
              <w:rPr>
                <w:rtl w:val="0"/>
              </w:rPr>
              <w:t xml:space="preserve">Lot 3</w:t>
            </w:r>
          </w:p>
        </w:tc>
        <w:tc>
          <w:tcPr/>
          <w:p w:rsidR="00000000" w:rsidDel="00000000" w:rsidP="00000000" w:rsidRDefault="00000000" w:rsidRPr="00000000" w14:paraId="0000008A">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B">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C">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8D">
            <w:pPr>
              <w:keepNext w:val="1"/>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8E">
            <w:pPr>
              <w:keepNext w:val="1"/>
              <w:spacing w:after="120" w:before="120" w:line="240" w:lineRule="auto"/>
              <w:rPr/>
            </w:pPr>
            <w:r w:rsidDel="00000000" w:rsidR="00000000" w:rsidRPr="00000000">
              <w:rPr>
                <w:rtl w:val="0"/>
              </w:rPr>
              <w:t xml:space="preserve">Lot 4</w:t>
            </w:r>
          </w:p>
        </w:tc>
        <w:tc>
          <w:tcPr/>
          <w:p w:rsidR="00000000" w:rsidDel="00000000" w:rsidP="00000000" w:rsidRDefault="00000000" w:rsidRPr="00000000" w14:paraId="0000008F">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0">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1">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2">
            <w:pPr>
              <w:keepNext w:val="1"/>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93">
            <w:pPr>
              <w:keepNext w:val="1"/>
              <w:spacing w:after="120" w:before="120" w:line="240" w:lineRule="auto"/>
              <w:rPr/>
            </w:pPr>
            <w:r w:rsidDel="00000000" w:rsidR="00000000" w:rsidRPr="00000000">
              <w:rPr>
                <w:rtl w:val="0"/>
              </w:rPr>
              <w:t xml:space="preserve">Lot 5</w:t>
            </w:r>
          </w:p>
        </w:tc>
        <w:tc>
          <w:tcPr/>
          <w:p w:rsidR="00000000" w:rsidDel="00000000" w:rsidP="00000000" w:rsidRDefault="00000000" w:rsidRPr="00000000" w14:paraId="00000094">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5">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6">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7">
            <w:pPr>
              <w:keepNext w:val="1"/>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98">
            <w:pPr>
              <w:keepNext w:val="1"/>
              <w:spacing w:after="120" w:before="120" w:line="240" w:lineRule="auto"/>
              <w:rPr/>
            </w:pPr>
            <w:r w:rsidDel="00000000" w:rsidR="00000000" w:rsidRPr="00000000">
              <w:rPr>
                <w:rtl w:val="0"/>
              </w:rPr>
              <w:t xml:space="preserve">Lot 6</w:t>
            </w:r>
          </w:p>
        </w:tc>
        <w:tc>
          <w:tcPr/>
          <w:p w:rsidR="00000000" w:rsidDel="00000000" w:rsidP="00000000" w:rsidRDefault="00000000" w:rsidRPr="00000000" w14:paraId="00000099">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A">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B">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C">
            <w:pPr>
              <w:keepNext w:val="1"/>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9D">
            <w:pPr>
              <w:keepNext w:val="1"/>
              <w:spacing w:after="120" w:before="120" w:line="240" w:lineRule="auto"/>
              <w:rPr/>
            </w:pPr>
            <w:r w:rsidDel="00000000" w:rsidR="00000000" w:rsidRPr="00000000">
              <w:rPr>
                <w:rtl w:val="0"/>
              </w:rPr>
              <w:t xml:space="preserve">Lot 7</w:t>
            </w:r>
          </w:p>
        </w:tc>
        <w:tc>
          <w:tcPr/>
          <w:p w:rsidR="00000000" w:rsidDel="00000000" w:rsidP="00000000" w:rsidRDefault="00000000" w:rsidRPr="00000000" w14:paraId="0000009E">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9F">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A0">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A1">
            <w:pPr>
              <w:keepNext w:val="1"/>
              <w:spacing w:after="120" w:before="120" w:line="240" w:lineRule="auto"/>
              <w:ind w:left="142" w:firstLine="0"/>
              <w:rPr/>
            </w:pPr>
            <w:r w:rsidDel="00000000" w:rsidR="00000000" w:rsidRPr="00000000">
              <w:rPr>
                <w:rtl w:val="0"/>
              </w:rPr>
            </w:r>
          </w:p>
        </w:tc>
      </w:tr>
      <w:tr>
        <w:trPr>
          <w:cantSplit w:val="0"/>
          <w:tblHeader w:val="0"/>
        </w:trPr>
        <w:tc>
          <w:tcPr/>
          <w:p w:rsidR="00000000" w:rsidDel="00000000" w:rsidP="00000000" w:rsidRDefault="00000000" w:rsidRPr="00000000" w14:paraId="000000A2">
            <w:pPr>
              <w:keepNext w:val="1"/>
              <w:spacing w:after="120" w:before="120" w:line="240" w:lineRule="auto"/>
              <w:rPr/>
            </w:pPr>
            <w:r w:rsidDel="00000000" w:rsidR="00000000" w:rsidRPr="00000000">
              <w:rPr>
                <w:rtl w:val="0"/>
              </w:rPr>
              <w:t xml:space="preserve">Lot 8</w:t>
            </w:r>
          </w:p>
        </w:tc>
        <w:tc>
          <w:tcPr/>
          <w:p w:rsidR="00000000" w:rsidDel="00000000" w:rsidP="00000000" w:rsidRDefault="00000000" w:rsidRPr="00000000" w14:paraId="000000A3">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A4">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A5">
            <w:pPr>
              <w:keepNext w:val="1"/>
              <w:spacing w:after="120" w:before="120" w:line="240" w:lineRule="auto"/>
              <w:ind w:left="142" w:firstLine="0"/>
              <w:rPr/>
            </w:pPr>
            <w:r w:rsidDel="00000000" w:rsidR="00000000" w:rsidRPr="00000000">
              <w:rPr>
                <w:rtl w:val="0"/>
              </w:rPr>
            </w:r>
          </w:p>
        </w:tc>
        <w:tc>
          <w:tcPr/>
          <w:p w:rsidR="00000000" w:rsidDel="00000000" w:rsidP="00000000" w:rsidRDefault="00000000" w:rsidRPr="00000000" w14:paraId="000000A6">
            <w:pPr>
              <w:keepNext w:val="1"/>
              <w:spacing w:after="120" w:before="120" w:line="240" w:lineRule="auto"/>
              <w:ind w:left="142" w:firstLine="0"/>
              <w:rPr/>
            </w:pPr>
            <w:r w:rsidDel="00000000" w:rsidR="00000000" w:rsidRPr="00000000">
              <w:rPr>
                <w:rtl w:val="0"/>
              </w:rPr>
            </w:r>
          </w:p>
        </w:tc>
      </w:tr>
    </w:tbl>
    <w:p w:rsidR="00000000" w:rsidDel="00000000" w:rsidP="00000000" w:rsidRDefault="00000000" w:rsidRPr="00000000" w14:paraId="000000A7">
      <w:pPr>
        <w:spacing w:after="120" w:before="120" w:line="240" w:lineRule="auto"/>
        <w:rPr>
          <w:b w:val="1"/>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AE">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spacing w:after="0" w:line="240" w:lineRule="auto"/>
      <w:jc w:val="both"/>
      <w:rPr>
        <w:sz w:val="14"/>
        <w:szCs w:val="14"/>
      </w:rPr>
    </w:pPr>
    <w:r w:rsidDel="00000000" w:rsidR="00000000" w:rsidRPr="00000000">
      <w:rPr>
        <w:sz w:val="20"/>
        <w:szCs w:val="20"/>
        <w:rtl w:val="0"/>
      </w:rPr>
      <w:t xml:space="preserve">Model Version: v1.0 PA</w:t>
      <w:tab/>
      <w:tab/>
    </w:r>
    <w:r w:rsidDel="00000000" w:rsidR="00000000" w:rsidRPr="00000000">
      <w:rPr>
        <w:color w:val="bfbfbf"/>
        <w:sz w:val="20"/>
        <w:szCs w:val="20"/>
        <w:rtl w:val="0"/>
      </w:rPr>
      <w:tab/>
    </w:r>
    <w:r w:rsidDel="00000000" w:rsidR="00000000" w:rsidRPr="00000000">
      <w:rPr>
        <w:color w:val="bfbfbf"/>
        <w:rtl w:val="0"/>
      </w:rPr>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sz w:val="20"/>
        <w:szCs w:val="20"/>
      </w:rPr>
    </w:pPr>
    <w:r w:rsidDel="00000000" w:rsidR="00000000" w:rsidRPr="00000000">
      <w:rPr>
        <w:sz w:val="20"/>
        <w:szCs w:val="20"/>
        <w:rtl w:val="0"/>
      </w:rPr>
      <w:t xml:space="preserve">Model Version: v3.0</w:t>
      <w:tab/>
      <w:tab/>
      <w:tab/>
    </w:r>
    <w:r w:rsidDel="00000000" w:rsidR="00000000" w:rsidRPr="00000000">
      <w:rPr>
        <w:rtl w:val="0"/>
      </w:rPr>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2"/>
        <w:szCs w:val="22"/>
      </w:rPr>
    </w:pPr>
    <w:r w:rsidDel="00000000" w:rsidR="00000000" w:rsidRPr="00000000">
      <w:rPr>
        <w:b w:val="1"/>
        <w:sz w:val="22"/>
        <w:szCs w:val="22"/>
        <w:rtl w:val="0"/>
      </w:rPr>
      <w:t xml:space="preserve">Framework Schedule 3 (Framework Prices)</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0"/>
        <w:szCs w:val="20"/>
      </w:rPr>
    </w:pPr>
    <w:r w:rsidDel="00000000" w:rsidR="00000000" w:rsidRPr="00000000">
      <w:rPr>
        <w:b w:val="1"/>
        <w:sz w:val="20"/>
        <w:szCs w:val="20"/>
        <w:rtl w:val="0"/>
      </w:rPr>
      <w:t xml:space="preserve">Framework Schedule 3 (Framework Prices)</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rPr>
    </w:pPr>
    <w:r w:rsidDel="00000000" w:rsidR="00000000" w:rsidRPr="00000000">
      <w:rPr>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24" w:hanging="624"/>
      </w:pPr>
      <w:rPr>
        <w:b w:val="1"/>
        <w:smallCaps w:val="0"/>
        <w:strike w:val="0"/>
        <w:color w:val="000000"/>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character" w:styleId="Emphasis">
    <w:name w:val="Emphasis"/>
    <w:basedOn w:val="DefaultParagraphFont"/>
    <w:rPr>
      <w:i w:val="1"/>
      <w:iCs w:val="1"/>
    </w:rPr>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jc w:val="both"/>
    </w:pPr>
    <w:rPr>
      <w:rFonts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p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eastAsia="Times New Roman"/>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character" w:styleId="GPSDefinitionL2Char" w:customStyle="1">
    <w:name w:val="GPS Definition L2 Char"/>
    <w:link w:val="GPSDefinitionL2"/>
    <w:rPr>
      <w:rFonts w:ascii="Arial" w:cs="Arial" w:eastAsia="Times New Roman" w:hAnsi="Arial"/>
    </w:rPr>
  </w:style>
  <w:style w:type="paragraph" w:styleId="GPSDefinitionL3" w:customStyle="1">
    <w:name w:val="GPS Definition L3"/>
    <w:basedOn w:val="GPSDefinitionL2"/>
    <w:qFormat w:val="1"/>
    <w:pPr>
      <w:numPr>
        <w:ilvl w:val="2"/>
      </w:numPr>
      <w:tabs>
        <w:tab w:val="num" w:pos="360"/>
      </w:tabs>
    </w:pPr>
  </w:style>
  <w:style w:type="paragraph" w:styleId="GPSDefinitionL4" w:customStyle="1">
    <w:name w:val="GPS Definition L4"/>
    <w:basedOn w:val="GPSDefinitionL3"/>
    <w:qFormat w:val="1"/>
    <w:pPr>
      <w:numPr>
        <w:ilvl w:val="3"/>
      </w:numPr>
      <w:tabs>
        <w:tab w:val="num" w:pos="360"/>
        <w:tab w:val="num" w:pos="2160"/>
      </w:tabs>
    </w:p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autoRedefine w:val="1"/>
    <w:rsid w:val="003C776E"/>
    <w:pPr>
      <w:tabs>
        <w:tab w:val="clear" w:pos="0"/>
        <w:tab w:val="left" w:pos="142"/>
      </w:tabs>
      <w:spacing w:before="120"/>
      <w:ind w:left="360"/>
      <w:outlineLvl w:val="9"/>
    </w:pPr>
    <w:rPr>
      <w:rFonts w:ascii="Arial" w:hAnsi="Arial"/>
      <w:caps w:val="0"/>
    </w:rPr>
  </w:style>
  <w:style w:type="character" w:styleId="GPSL1SCHEDULEHeadingChar" w:customStyle="1">
    <w:name w:val="GPS L1 SCHEDULE Heading Char"/>
    <w:link w:val="GPSL1SCHEDULEHeading"/>
    <w:rsid w:val="003C776E"/>
    <w:rPr>
      <w:rFonts w:ascii="Arial" w:cs="Arial" w:eastAsia="STZhongsong" w:hAnsi="Arial"/>
      <w:b w:val="1"/>
      <w:sz w:val="24"/>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SchAnnexname" w:customStyle="1">
    <w:name w:val="GPS Sch Annex name"/>
    <w:basedOn w:val="Normal"/>
    <w:link w:val="GPSSchAnnexnameChar"/>
    <w:qFormat w:val="1"/>
    <w:pPr>
      <w:keepNext w:val="1"/>
      <w:adjustRightInd w:val="0"/>
      <w:spacing w:after="240" w:line="240" w:lineRule="auto"/>
      <w:jc w:val="center"/>
      <w:outlineLvl w:val="1"/>
    </w:pPr>
    <w:rPr>
      <w:rFonts w:cs="Times New Roman" w:eastAsia="STZhongsong"/>
      <w:b w:val="1"/>
      <w:caps w:val="1"/>
      <w:sz w:val="20"/>
      <w:lang w:eastAsia="zh-CN"/>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character" w:styleId="Heading6Char5" w:customStyle="1">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val="1"/>
    <w:locked w:val="1"/>
    <w:rPr>
      <w:rFonts w:ascii="Calibri" w:hAnsi="Calibri"/>
      <w:b w:val="1"/>
      <w:lang w:eastAsia="en-GB" w:val="x-none"/>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eastAsia="Times New Roman"/>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eastAsia="Times New Roman"/>
      <w:b w:val="1"/>
      <w:i w:val="1"/>
    </w:rPr>
  </w:style>
  <w:style w:type="paragraph" w:styleId="GPSL2GuidanceNumbered" w:customStyle="1">
    <w:name w:val="GPS L2 Guidance Numbered"/>
    <w:basedOn w:val="Normal"/>
    <w:link w:val="GPSL2GuidanceNumberedChar"/>
    <w:qFormat w:val="1"/>
    <w:pPr>
      <w:tabs>
        <w:tab w:val="num" w:pos="720"/>
        <w:tab w:val="left" w:pos="1418"/>
      </w:tabs>
      <w:adjustRightInd w:val="0"/>
      <w:spacing w:after="120" w:before="120" w:line="240" w:lineRule="auto"/>
      <w:ind w:left="720" w:hanging="720"/>
      <w:jc w:val="both"/>
    </w:pPr>
    <w:rPr>
      <w:rFonts w:eastAsia="Times New Roman"/>
      <w:b w:val="1"/>
      <w:i w:val="1"/>
      <w:lang w:eastAsia="zh-CN"/>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styleId="GPSSchPart" w:customStyle="1">
    <w:name w:val="GPS Sch Part"/>
    <w:basedOn w:val="GPSSchAnnexname"/>
    <w:link w:val="GPSSchPartChar"/>
    <w:qFormat w:val="1"/>
    <w:pPr>
      <w:spacing w:before="240"/>
      <w:ind w:firstLine="426"/>
      <w:outlineLvl w:val="9"/>
    </w:pPr>
    <w:rPr>
      <w:rFonts w:ascii="Arial Bold" w:hAnsi="Arial Bold"/>
      <w:sz w:val="22"/>
    </w:rPr>
  </w:style>
  <w:style w:type="paragraph" w:styleId="GPSL2Numbered" w:customStyle="1">
    <w:name w:val="GPS L2 Numbered"/>
    <w:basedOn w:val="GPSL2NumberedBoldHeading"/>
    <w:link w:val="GPSL2NumberedChar"/>
    <w:qFormat w:val="1"/>
    <w:pPr>
      <w:tabs>
        <w:tab w:val="left" w:pos="709"/>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GuidanceNumberedChar" w:customStyle="1">
    <w:name w:val="GPS L2 Guidance Numbered Char"/>
    <w:link w:val="GPSL2GuidanceNumbered"/>
    <w:rPr>
      <w:rFonts w:cs="Arial" w:eastAsia="Times New Roman"/>
      <w:b w:val="1"/>
      <w:i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Hyperlink">
    <w:name w:val="Hyperlink"/>
    <w:basedOn w:val="DefaultParagraphFont"/>
    <w:uiPriority w:val="99"/>
    <w:unhideWhenUsed w:val="1"/>
    <w:rPr>
      <w:color w:val="0000ff" w:themeColor="hyperlink"/>
      <w:u w:val="single"/>
    </w:rPr>
  </w:style>
  <w:style w:type="paragraph" w:styleId="Normal1" w:customStyle="1">
    <w:name w:val="Normal1"/>
    <w:pPr>
      <w:widowControl w:val="0"/>
      <w:spacing w:after="80" w:line="240" w:lineRule="auto"/>
    </w:pPr>
  </w:style>
  <w:style w:type="paragraph" w:styleId="Revision">
    <w:name w:val="Revision"/>
    <w:hidden w:val="1"/>
    <w:uiPriority w:val="99"/>
    <w:semiHidden w:val="1"/>
    <w:pPr>
      <w:spacing w:after="0" w:line="240" w:lineRule="auto"/>
    </w:pPr>
  </w:style>
  <w:style w:type="character" w:styleId="GPSL2NumberedBoldHeadingChar" w:customStyle="1">
    <w:name w:val="GPS L2 Numbered Bold Heading Char"/>
    <w:link w:val="GPSL2NumberedBoldHeading"/>
    <w:locked w:val="1"/>
    <w:rsid w:val="0057789E"/>
    <w:rPr>
      <w:rFonts w:ascii="Calibri" w:cs="Arial" w:eastAsia="Times New Roman" w:hAnsi="Calibri"/>
      <w:b w:val="1"/>
      <w:lang w:eastAsia="zh-CN"/>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B04D4F"/>
    <w:pPr>
      <w:suppressAutoHyphens w:val="1"/>
      <w:autoSpaceDN w:val="0"/>
      <w:ind w:left="720"/>
      <w:textAlignment w:val="baseline"/>
    </w:pPr>
    <w:rPr>
      <w:rFonts w:cs="Times New Roman"/>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eRROcjeVxCp92IAIwkrJqs1Tg==">CgMxLjAyCGguZ2pkZ3hzMgloLjMwajB6bGwyCWguMWZvYjl0ZTIIaC50eWpjd3QyCWguM2R5NnZrbTIJaC4xdDNoNXNmOAByITFrOFNSbVA4V09STGhPakxST1hNTHBwMjRWQjYxT1NONw==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2025-04-02T13:07:00Z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