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b w:val="1"/>
          <w:sz w:val="36"/>
          <w:szCs w:val="36"/>
        </w:rPr>
      </w:pPr>
      <w:r w:rsidDel="00000000" w:rsidR="00000000" w:rsidRPr="00000000">
        <w:rPr>
          <w:b w:val="1"/>
          <w:sz w:val="36"/>
          <w:szCs w:val="36"/>
          <w:rtl w:val="0"/>
        </w:rPr>
        <w:t xml:space="preserve">Framework Schedule 4 (Framework Management)</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42"/>
        </w:tabs>
        <w:spacing w:after="120" w:before="120" w:line="240" w:lineRule="auto"/>
        <w:rPr>
          <w:b w:val="1"/>
          <w:color w:val="000000"/>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rPr>
          <w:b w:val="1"/>
          <w:color w:val="000000"/>
        </w:rPr>
      </w:pPr>
      <w:r w:rsidDel="00000000" w:rsidR="00000000" w:rsidRPr="00000000">
        <w:rPr>
          <w:b w:val="1"/>
          <w:color w:val="000000"/>
          <w:rtl w:val="0"/>
        </w:rPr>
        <w:t xml:space="preserve">Definitions</w:t>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tabs>
          <w:tab w:val="left" w:leader="none" w:pos="1276"/>
          <w:tab w:val="left" w:leader="none" w:pos="1418"/>
        </w:tabs>
        <w:spacing w:after="120" w:before="120" w:line="240" w:lineRule="auto"/>
        <w:ind w:left="1134" w:hanging="708"/>
        <w:rPr>
          <w:color w:val="000000"/>
        </w:rPr>
      </w:pPr>
      <w:r w:rsidDel="00000000" w:rsidR="00000000" w:rsidRPr="00000000">
        <w:rPr>
          <w:color w:val="000000"/>
          <w:rtl w:val="0"/>
        </w:rPr>
        <w:t xml:space="preserve">In this Schedule, the following words shall have the following meanings and they shall supplement Joint Schedule 1 </w:t>
      </w:r>
      <w:r w:rsidDel="00000000" w:rsidR="00000000" w:rsidRPr="00000000">
        <w:rPr>
          <w:i w:val="1"/>
          <w:color w:val="000000"/>
          <w:rtl w:val="0"/>
        </w:rPr>
        <w:t xml:space="preserve">(Definitions)</w:t>
      </w:r>
      <w:r w:rsidDel="00000000" w:rsidR="00000000" w:rsidRPr="00000000">
        <w:rPr>
          <w:color w:val="000000"/>
          <w:rtl w:val="0"/>
        </w:rPr>
        <w:t xml:space="preserve">:</w:t>
      </w:r>
    </w:p>
    <w:tbl>
      <w:tblPr>
        <w:tblStyle w:val="Table1"/>
        <w:tblW w:w="8314.0" w:type="dxa"/>
        <w:jc w:val="left"/>
        <w:tblInd w:w="1134.0" w:type="dxa"/>
        <w:tblLayout w:type="fixed"/>
        <w:tblLook w:val="0400"/>
      </w:tblPr>
      <w:tblGrid>
        <w:gridCol w:w="2928"/>
        <w:gridCol w:w="5386"/>
        <w:tblGridChange w:id="0">
          <w:tblGrid>
            <w:gridCol w:w="2928"/>
            <w:gridCol w:w="5386"/>
          </w:tblGrid>
        </w:tblGridChange>
      </w:tblGrid>
      <w:tr>
        <w:trPr>
          <w:cantSplit w:val="0"/>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b w:val="1"/>
                <w:color w:val="000000"/>
              </w:rPr>
            </w:pPr>
            <w:r w:rsidDel="00000000" w:rsidR="00000000" w:rsidRPr="00000000">
              <w:rPr>
                <w:b w:val="1"/>
                <w:color w:val="000000"/>
                <w:rtl w:val="0"/>
              </w:rPr>
              <w:t xml:space="preserve">"Supplier Framework Manager"</w:t>
            </w:r>
          </w:p>
        </w:tc>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75"/>
              </w:tabs>
              <w:spacing w:after="120" w:before="120" w:line="240" w:lineRule="auto"/>
              <w:ind w:left="170" w:firstLine="0"/>
              <w:rPr>
                <w:color w:val="000000"/>
              </w:rPr>
            </w:pPr>
            <w:r w:rsidDel="00000000" w:rsidR="00000000" w:rsidRPr="00000000">
              <w:rPr>
                <w:color w:val="000000"/>
                <w:rtl w:val="0"/>
              </w:rPr>
              <w:t xml:space="preserve">has the meaning given to it in Paragraph 3.1 of this Schedule; and</w:t>
            </w:r>
          </w:p>
        </w:tc>
      </w:tr>
      <w:tr>
        <w:trPr>
          <w:cantSplit w:val="0"/>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40" w:lineRule="auto"/>
              <w:rPr>
                <w:b w:val="1"/>
                <w:color w:val="000000"/>
              </w:rPr>
            </w:pPr>
            <w:r w:rsidDel="00000000" w:rsidR="00000000" w:rsidRPr="00000000">
              <w:rPr>
                <w:b w:val="1"/>
                <w:color w:val="000000"/>
                <w:rtl w:val="0"/>
              </w:rPr>
              <w:t xml:space="preserve">"Supplier Review Meetings"</w:t>
            </w:r>
          </w:p>
        </w:tc>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75"/>
              </w:tabs>
              <w:spacing w:after="120" w:before="120" w:line="240" w:lineRule="auto"/>
              <w:ind w:left="170" w:firstLine="0"/>
              <w:rPr>
                <w:color w:val="000000"/>
              </w:rPr>
            </w:pPr>
            <w:r w:rsidDel="00000000" w:rsidR="00000000" w:rsidRPr="00000000">
              <w:rPr>
                <w:color w:val="000000"/>
                <w:rtl w:val="0"/>
              </w:rPr>
              <w:t xml:space="preserve">has the meaning given to it in Paragraph 3.9 of this Schedule.</w:t>
            </w:r>
          </w:p>
        </w:tc>
      </w:tr>
    </w:tbl>
    <w:p w:rsidR="00000000" w:rsidDel="00000000" w:rsidP="00000000" w:rsidRDefault="00000000" w:rsidRPr="00000000" w14:paraId="00000009">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360" w:hanging="360"/>
        <w:rPr>
          <w:b w:val="1"/>
          <w:color w:val="000000"/>
        </w:rPr>
      </w:pPr>
      <w:r w:rsidDel="00000000" w:rsidR="00000000" w:rsidRPr="00000000">
        <w:rPr>
          <w:b w:val="1"/>
          <w:color w:val="000000"/>
          <w:rtl w:val="0"/>
        </w:rPr>
        <w:t xml:space="preserve">How CCS and the Supplier will work together</w:t>
      </w:r>
    </w:p>
    <w:p w:rsidR="00000000" w:rsidDel="00000000" w:rsidP="00000000" w:rsidRDefault="00000000" w:rsidRPr="00000000" w14:paraId="0000000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To achieve this strategic relationship, there will be a requirement to adopt proactive framework management activities which will be informed by quality Management Information, and the sharing of information between the Supplier and CCS.</w:t>
      </w:r>
    </w:p>
    <w:p w:rsidR="00000000" w:rsidDel="00000000" w:rsidP="00000000" w:rsidRDefault="00000000" w:rsidRPr="00000000" w14:paraId="0000000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This Schedule outlines the general structures and management activities that the Parties shall follow during the Framework Contract Period.</w:t>
      </w:r>
    </w:p>
    <w:p w:rsidR="00000000" w:rsidDel="00000000" w:rsidP="00000000" w:rsidRDefault="00000000" w:rsidRPr="00000000" w14:paraId="0000000D">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rPr>
          <w:b w:val="1"/>
          <w:color w:val="000000"/>
        </w:rPr>
      </w:pPr>
      <w:r w:rsidDel="00000000" w:rsidR="00000000" w:rsidRPr="00000000">
        <w:rPr>
          <w:b w:val="1"/>
          <w:color w:val="000000"/>
          <w:rtl w:val="0"/>
        </w:rPr>
        <w:t xml:space="preserve">Framework Management</w:t>
      </w:r>
    </w:p>
    <w:p w:rsidR="00000000" w:rsidDel="00000000" w:rsidP="00000000" w:rsidRDefault="00000000" w:rsidRPr="00000000" w14:paraId="0000000E">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426" w:firstLine="0"/>
        <w:rPr>
          <w:b w:val="1"/>
          <w:color w:val="000000"/>
        </w:rPr>
      </w:pPr>
      <w:r w:rsidDel="00000000" w:rsidR="00000000" w:rsidRPr="00000000">
        <w:rPr>
          <w:b w:val="1"/>
          <w:color w:val="000000"/>
          <w:rtl w:val="0"/>
        </w:rPr>
        <w:t xml:space="preserve">Framework Management Structure</w:t>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bookmarkStart w:colFirst="0" w:colLast="0" w:name="_heading=h.gjdgxs" w:id="0"/>
      <w:bookmarkEnd w:id="0"/>
      <w:r w:rsidDel="00000000" w:rsidR="00000000" w:rsidRPr="00000000">
        <w:rPr>
          <w:color w:val="000000"/>
          <w:rtl w:val="0"/>
        </w:rPr>
        <w:t xml:space="preserve">The Supplier shall provide a suitably qualified nominated contact (the "</w:t>
      </w:r>
      <w:r w:rsidDel="00000000" w:rsidR="00000000" w:rsidRPr="00000000">
        <w:rPr>
          <w:b w:val="1"/>
          <w:color w:val="000000"/>
          <w:rtl w:val="0"/>
        </w:rPr>
        <w:t xml:space="preserve">Supplier Framework Manager</w:t>
      </w:r>
      <w:r w:rsidDel="00000000" w:rsidR="00000000" w:rsidRPr="00000000">
        <w:rPr>
          <w:color w:val="000000"/>
          <w:rtl w:val="0"/>
        </w:rPr>
        <w:t xml:space="preserve">") who will take overall responsibility for delivering the Goods and/or Services required within this Contract, as well as a suitably qualified deputy to act in their absence. </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shall put in place a structure to manage this Contract in</w:t>
      </w:r>
      <w:r w:rsidDel="00000000" w:rsidR="00000000" w:rsidRPr="00000000">
        <w:rPr>
          <w:b w:val="1"/>
          <w:color w:val="000000"/>
          <w:rtl w:val="0"/>
        </w:rPr>
        <w:t xml:space="preserve"> </w:t>
      </w:r>
      <w:r w:rsidDel="00000000" w:rsidR="00000000" w:rsidRPr="00000000">
        <w:rPr>
          <w:color w:val="000000"/>
          <w:rtl w:val="0"/>
        </w:rPr>
        <w:t xml:space="preserve">accordance with Framework Schedule 1 </w:t>
      </w:r>
      <w:r w:rsidDel="00000000" w:rsidR="00000000" w:rsidRPr="00000000">
        <w:rPr>
          <w:i w:val="1"/>
          <w:color w:val="000000"/>
          <w:rtl w:val="0"/>
        </w:rPr>
        <w:t xml:space="preserve">(Specification)</w:t>
      </w:r>
      <w:r w:rsidDel="00000000" w:rsidR="00000000" w:rsidRPr="00000000">
        <w:rPr>
          <w:color w:val="000000"/>
          <w:rtl w:val="0"/>
        </w:rPr>
        <w:t xml:space="preserve"> and the Framework Performance Measures. </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A governance structure will be agreed between the Parties as soon as reasonably practicable following the Framework Start Date.</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bookmarkStart w:colFirst="0" w:colLast="0" w:name="_heading=h.30j0zll" w:id="1"/>
      <w:bookmarkEnd w:id="1"/>
      <w:r w:rsidDel="00000000" w:rsidR="00000000" w:rsidRPr="00000000">
        <w:rPr>
          <w:color w:val="000000"/>
          <w:rtl w:val="0"/>
        </w:rPr>
        <w:t xml:space="preserve">Following discussions between the Parties following the Framework Start Date, where requested by CCS the Supplier shall produce and issue to CCS a draft supplier action plan (the </w:t>
      </w:r>
      <w:r w:rsidDel="00000000" w:rsidR="00000000" w:rsidRPr="00000000">
        <w:rPr>
          <w:b w:val="1"/>
          <w:color w:val="000000"/>
          <w:rtl w:val="0"/>
        </w:rPr>
        <w:t xml:space="preserve">"Supplier Action Plan"</w:t>
      </w:r>
      <w:r w:rsidDel="00000000" w:rsidR="00000000" w:rsidRPr="00000000">
        <w:rPr>
          <w:color w:val="000000"/>
          <w:rtl w:val="0"/>
        </w:rPr>
        <w:t xml:space="preserve">).  CCS shall not unreasonably withhold or delay its agreement to the draft Supplier Action Plan. The Supplier Action Plan shall be agreed between the Parties and come into effect within two weeks from receipt by CCS of the draft Supplier Action Plan. </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sidDel="00000000" w:rsidR="00000000" w:rsidRPr="00000000">
        <w:rPr>
          <w:b w:val="1"/>
          <w:color w:val="000000"/>
          <w:rtl w:val="0"/>
        </w:rPr>
        <w:t xml:space="preserve"> </w:t>
      </w:r>
      <w:r w:rsidDel="00000000" w:rsidR="00000000" w:rsidRPr="00000000">
        <w:rPr>
          <w:color w:val="000000"/>
          <w:rtl w:val="0"/>
        </w:rPr>
        <w:t xml:space="preserve">effect within two weeks from receipt by the Supplier of CCS’s notification.</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agrees to comply with its obligations in the Supplier Action Plan as updated from time to time.</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shall comply with all requests from CCS in regard to compliance requirements as required including:</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Dun and Bradstreet risk failure score monitoring;</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regular evidence that the Required Insurances and Additional Insurances have been renewed and maintained;</w:t>
      </w:r>
    </w:p>
    <w:p w:rsidR="00000000" w:rsidDel="00000000" w:rsidP="00000000" w:rsidRDefault="00000000" w:rsidRPr="00000000" w14:paraId="00000018">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invoice payment performance; and</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verification of required accreditations &amp; certifications.</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bookmarkStart w:colFirst="0" w:colLast="0" w:name="_heading=h.1fob9te" w:id="2"/>
      <w:bookmarkEnd w:id="2"/>
      <w:r w:rsidDel="00000000" w:rsidR="00000000" w:rsidRPr="00000000">
        <w:rPr>
          <w:color w:val="000000"/>
          <w:rtl w:val="0"/>
        </w:rPr>
        <w:t xml:space="preserve">Suppliers should participate in Competitive Selection Processes when identified as part of the final bidder list. Failure to bid on further competitions without an acceptable reason may result in the Supplier being suspended from the Framework, in accordance with Clause 13.6 </w:t>
      </w:r>
      <w:r w:rsidDel="00000000" w:rsidR="00000000" w:rsidRPr="00000000">
        <w:rPr>
          <w:i w:val="1"/>
          <w:color w:val="000000"/>
          <w:rtl w:val="0"/>
        </w:rPr>
        <w:t xml:space="preserve">(Partially ending and suspending the contract) </w:t>
      </w:r>
      <w:r w:rsidDel="00000000" w:rsidR="00000000" w:rsidRPr="00000000">
        <w:rPr>
          <w:color w:val="000000"/>
          <w:rtl w:val="0"/>
        </w:rPr>
        <w:t xml:space="preserve">of the General Terms, for a period as decided by CCS. </w:t>
      </w:r>
    </w:p>
    <w:p w:rsidR="00000000" w:rsidDel="00000000" w:rsidP="00000000" w:rsidRDefault="00000000" w:rsidRPr="00000000" w14:paraId="0000001B">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720" w:hanging="294"/>
        <w:rPr>
          <w:b w:val="1"/>
          <w:color w:val="000000"/>
        </w:rPr>
      </w:pPr>
      <w:bookmarkStart w:colFirst="0" w:colLast="0" w:name="_heading=h.3znysh7" w:id="3"/>
      <w:bookmarkEnd w:id="3"/>
      <w:r w:rsidDel="00000000" w:rsidR="00000000" w:rsidRPr="00000000">
        <w:rPr>
          <w:b w:val="1"/>
          <w:color w:val="000000"/>
          <w:rtl w:val="0"/>
        </w:rPr>
        <w:t xml:space="preserve">Supplier Review Meetings</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bookmarkStart w:colFirst="0" w:colLast="0" w:name="_heading=h.2et92p0" w:id="4"/>
      <w:bookmarkEnd w:id="4"/>
      <w:r w:rsidDel="00000000" w:rsidR="00000000" w:rsidRPr="00000000">
        <w:rPr>
          <w:color w:val="000000"/>
          <w:rtl w:val="0"/>
        </w:rPr>
        <w:t xml:space="preserve">Regular performance review meetings will take place at CCS’s premises throughout the Framework Contract Period</w:t>
      </w:r>
      <w:r w:rsidDel="00000000" w:rsidR="00000000" w:rsidRPr="00000000">
        <w:rPr>
          <w:b w:val="1"/>
          <w:color w:val="000000"/>
          <w:rtl w:val="0"/>
        </w:rPr>
        <w:t xml:space="preserve"> ("Supplier Review Meetings")</w:t>
      </w:r>
      <w:r w:rsidDel="00000000" w:rsidR="00000000" w:rsidRPr="00000000">
        <w:rPr>
          <w:color w:val="000000"/>
          <w:rtl w:val="0"/>
        </w:rPr>
        <w:t xml:space="preserve"> at such times and frequencies as CCS determine from time to time (which are anticipated to be at least once a Month)</w:t>
      </w:r>
      <w:r w:rsidDel="00000000" w:rsidR="00000000" w:rsidRPr="00000000">
        <w:rPr>
          <w:b w:val="1"/>
          <w:color w:val="000000"/>
          <w:rtl w:val="0"/>
        </w:rPr>
        <w:t xml:space="preserve">. </w:t>
      </w:r>
      <w:r w:rsidDel="00000000" w:rsidR="00000000" w:rsidRPr="00000000">
        <w:rPr>
          <w:color w:val="000000"/>
          <w:rtl w:val="0"/>
        </w:rPr>
        <w:t xml:space="preserve"> The Parties shall be flexible about the timings of these meetings.</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Review Meetings will review the Supplier’s performance under this Contract and, where applicable, the Supplier’s adherence to the Supplier Action Plan. The agenda for each Supplier Review Meeting shall be set by CCS and sent to the Supplier in advance.</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CCS will ask the Supplier at the Supplier Review Meeting to discuss any instances known to the Supplier together with the rationale where any Other Contracting Authority decided not to use this Framework Contract for their order. </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Review Meetings shall be attended, as a minimum, by CCS Authorised Representative(s) and the Supplier Framework Manager.</w:t>
      </w:r>
    </w:p>
    <w:p w:rsidR="00000000" w:rsidDel="00000000" w:rsidP="00000000" w:rsidRDefault="00000000" w:rsidRPr="00000000" w14:paraId="00000020">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rPr>
          <w:b w:val="1"/>
          <w:color w:val="000000"/>
        </w:rPr>
      </w:pPr>
      <w:r w:rsidDel="00000000" w:rsidR="00000000" w:rsidRPr="00000000">
        <w:rPr>
          <w:b w:val="1"/>
          <w:color w:val="000000"/>
          <w:rtl w:val="0"/>
        </w:rPr>
        <w:t xml:space="preserve">How the Supplier’s Performance will be measured</w:t>
      </w:r>
    </w:p>
    <w:p w:rsidR="00000000" w:rsidDel="00000000" w:rsidP="00000000" w:rsidRDefault="00000000" w:rsidRPr="00000000" w14:paraId="00000021">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Supplier’s performance will be measured by the following Framework Performance Measures (“FPM”):</w:t>
      </w:r>
    </w:p>
    <w:tbl>
      <w:tblPr>
        <w:tblStyle w:val="Table2"/>
        <w:tblW w:w="74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31"/>
        <w:gridCol w:w="1476"/>
        <w:gridCol w:w="2234"/>
        <w:tblGridChange w:id="0">
          <w:tblGrid>
            <w:gridCol w:w="3731"/>
            <w:gridCol w:w="1476"/>
            <w:gridCol w:w="223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spacing w:after="120" w:before="120" w:line="240" w:lineRule="auto"/>
              <w:ind w:left="142" w:firstLine="0"/>
              <w:rPr>
                <w:b w:val="1"/>
                <w:color w:val="000000"/>
              </w:rPr>
            </w:pPr>
            <w:r w:rsidDel="00000000" w:rsidR="00000000" w:rsidRPr="00000000">
              <w:rPr>
                <w:b w:val="1"/>
                <w:color w:val="000000"/>
                <w:rtl w:val="0"/>
              </w:rPr>
              <w:t xml:space="preserve">Framework Performance Measure (FPM)</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spacing w:after="120" w:before="120" w:line="240" w:lineRule="auto"/>
              <w:ind w:left="142" w:firstLine="0"/>
              <w:rPr>
                <w:b w:val="1"/>
                <w:color w:val="000000"/>
              </w:rPr>
            </w:pPr>
            <w:r w:rsidDel="00000000" w:rsidR="00000000" w:rsidRPr="00000000">
              <w:rPr>
                <w:b w:val="1"/>
                <w:color w:val="000000"/>
                <w:rtl w:val="0"/>
              </w:rPr>
              <w:t xml:space="preserve">FPM Target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4">
            <w:pPr>
              <w:keepNext w:val="1"/>
              <w:pBdr>
                <w:top w:space="0" w:sz="0" w:val="nil"/>
                <w:left w:space="0" w:sz="0" w:val="nil"/>
                <w:bottom w:space="0" w:sz="0" w:val="nil"/>
                <w:right w:space="0" w:sz="0" w:val="nil"/>
                <w:between w:space="0" w:sz="0" w:val="nil"/>
              </w:pBdr>
              <w:spacing w:after="120" w:before="120" w:line="240" w:lineRule="auto"/>
              <w:ind w:left="142" w:firstLine="0"/>
              <w:rPr>
                <w:b w:val="1"/>
                <w:color w:val="000000"/>
              </w:rPr>
            </w:pPr>
            <w:r w:rsidDel="00000000" w:rsidR="00000000" w:rsidRPr="00000000">
              <w:rPr>
                <w:b w:val="1"/>
                <w:color w:val="000000"/>
                <w:rtl w:val="0"/>
              </w:rPr>
              <w:t xml:space="preserve">Measured by</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keepNext w:val="1"/>
              <w:numPr>
                <w:ilvl w:val="0"/>
                <w:numId w:val="2"/>
              </w:numPr>
              <w:pBdr>
                <w:top w:space="0" w:sz="0" w:val="nil"/>
                <w:left w:space="0" w:sz="0" w:val="nil"/>
                <w:bottom w:space="0" w:sz="0" w:val="nil"/>
                <w:right w:space="0" w:sz="0" w:val="nil"/>
                <w:between w:space="0" w:sz="0" w:val="nil"/>
              </w:pBdr>
              <w:spacing w:after="120" w:before="120" w:line="240" w:lineRule="auto"/>
              <w:ind w:left="502" w:hanging="360"/>
              <w:rPr>
                <w:color w:val="000000"/>
              </w:rPr>
            </w:pPr>
            <w:r w:rsidDel="00000000" w:rsidR="00000000" w:rsidRPr="00000000">
              <w:rPr>
                <w:color w:val="000000"/>
                <w:rtl w:val="0"/>
              </w:rPr>
              <w:t xml:space="preserve">Framework Management </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120" w:before="120" w:line="240" w:lineRule="auto"/>
              <w:rPr/>
            </w:pPr>
            <w:r w:rsidDel="00000000" w:rsidR="00000000" w:rsidRPr="00000000">
              <w:rPr>
                <w:rtl w:val="0"/>
              </w:rPr>
              <w:t xml:space="preserve">1.1 MI Reports must be completed and returned to CCS by the fifth working day of every month during the Framework Contract Period as set out in Framework Schedule 5 (Management Charges and Information)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1"/>
              <w:pBdr>
                <w:top w:space="0" w:sz="0" w:val="nil"/>
                <w:left w:space="0" w:sz="0" w:val="nil"/>
                <w:bottom w:space="0" w:sz="0" w:val="nil"/>
                <w:right w:space="0" w:sz="0" w:val="nil"/>
                <w:between w:space="0" w:sz="0" w:val="nil"/>
              </w:pBdr>
              <w:spacing w:after="120" w:before="120" w:line="240" w:lineRule="auto"/>
              <w:ind w:left="142" w:firstLine="0"/>
              <w:rPr>
                <w:color w:val="000000"/>
              </w:rPr>
            </w:pPr>
            <w:r w:rsidDel="00000000" w:rsidR="00000000" w:rsidRPr="00000000">
              <w:rPr>
                <w:color w:val="000000"/>
                <w:rtl w:val="0"/>
              </w:rPr>
              <w:t xml:space="preserve">100%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spacing w:after="120" w:before="120" w:line="240" w:lineRule="auto"/>
              <w:rPr/>
            </w:pPr>
            <w:r w:rsidDel="00000000" w:rsidR="00000000" w:rsidRPr="00000000">
              <w:rPr>
                <w:rtl w:val="0"/>
              </w:rPr>
              <w:t xml:space="preserve">Confirmation of receipt and time of receipt by CCS</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after="120" w:before="120" w:line="240" w:lineRule="auto"/>
              <w:rPr/>
            </w:pPr>
            <w:r w:rsidDel="00000000" w:rsidR="00000000" w:rsidRPr="00000000">
              <w:rPr>
                <w:rtl w:val="0"/>
              </w:rPr>
              <w:t xml:space="preserve">1.2 The Supplier shall pay CCS the Management Charge in cleared funds within 30 days of receipt by the Supplier of an undisputed invoice as set out in Framework Schedule 5 (Management Charges and Information)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spacing w:after="120" w:before="120" w:line="240" w:lineRule="auto"/>
              <w:ind w:left="142" w:firstLine="0"/>
              <w:rPr>
                <w:color w:val="000000"/>
              </w:rPr>
            </w:pPr>
            <w:r w:rsidDel="00000000" w:rsidR="00000000" w:rsidRPr="00000000">
              <w:rPr>
                <w:color w:val="000000"/>
                <w:rtl w:val="0"/>
              </w:rPr>
              <w:t xml:space="preserve">100%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after="120" w:before="120" w:line="240" w:lineRule="auto"/>
              <w:rPr/>
            </w:pPr>
            <w:r w:rsidDel="00000000" w:rsidR="00000000" w:rsidRPr="00000000">
              <w:rPr>
                <w:rtl w:val="0"/>
              </w:rPr>
              <w:t xml:space="preserve">Confirmation of receipt and time of receipt by CCS</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after="120" w:before="120" w:line="240" w:lineRule="auto"/>
              <w:rPr/>
            </w:pPr>
            <w:r w:rsidDel="00000000" w:rsidR="00000000" w:rsidRPr="00000000">
              <w:rPr>
                <w:rtl w:val="0"/>
              </w:rPr>
              <w:t xml:space="preserve">1.3 The Supplier shall issue the self-audit certificate to CCS at the end of each Contract Year in accordance with Framework Schedule 8 (Self Audit Certificate)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keepNext w:val="1"/>
              <w:spacing w:after="120" w:before="120" w:line="240" w:lineRule="auto"/>
              <w:ind w:left="142" w:firstLine="0"/>
              <w:rPr>
                <w:color w:val="000000"/>
              </w:rPr>
            </w:pPr>
            <w:r w:rsidDel="00000000" w:rsidR="00000000" w:rsidRPr="00000000">
              <w:rPr>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after="120" w:before="120" w:line="240" w:lineRule="auto"/>
              <w:rPr/>
            </w:pPr>
            <w:r w:rsidDel="00000000" w:rsidR="00000000" w:rsidRPr="00000000">
              <w:rPr>
                <w:rtl w:val="0"/>
              </w:rPr>
              <w:t xml:space="preserve">Confirmation of receipt and time of receipt by CCS</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after="120" w:before="120" w:line="240" w:lineRule="auto"/>
              <w:rPr/>
            </w:pPr>
            <w:r w:rsidDel="00000000" w:rsidR="00000000" w:rsidRPr="00000000">
              <w:rPr>
                <w:rtl w:val="0"/>
              </w:rPr>
              <w:t xml:space="preserve">1.4 The Supplier shall quantify total cost savings generated over the Framework Contract Period via Continuous Improvement Plans  as defined in Call-Off Schedule 3 (Continuous Improvement)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1"/>
              <w:spacing w:after="120" w:before="120" w:line="240" w:lineRule="auto"/>
              <w:ind w:left="142" w:firstLine="0"/>
              <w:rPr>
                <w:color w:val="000000"/>
              </w:rPr>
            </w:pPr>
            <w:r w:rsidDel="00000000" w:rsidR="00000000" w:rsidRPr="00000000">
              <w:rPr>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after="120" w:before="120" w:line="240" w:lineRule="auto"/>
              <w:rPr/>
            </w:pPr>
            <w:r w:rsidDel="00000000" w:rsidR="00000000" w:rsidRPr="00000000">
              <w:rPr>
                <w:rtl w:val="0"/>
              </w:rPr>
              <w:t xml:space="preserve">Confirmation of receipt and time of receipt by CCS</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after="120" w:before="120" w:line="240" w:lineRule="auto"/>
              <w:rPr/>
            </w:pPr>
            <w:r w:rsidDel="00000000" w:rsidR="00000000" w:rsidRPr="00000000">
              <w:rPr>
                <w:rtl w:val="0"/>
              </w:rPr>
              <w:t xml:space="preserve">1.5 Complete the Government’s Modern Slavery Assessment Template (MSAT) or an alternative assessment required by CCS or the Buyer within sixty days of such request as set out in Joint Schedule 5 (Sustainability)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keepNext w:val="1"/>
              <w:spacing w:after="120" w:before="120" w:line="240" w:lineRule="auto"/>
              <w:ind w:left="142" w:firstLine="0"/>
              <w:rPr>
                <w:color w:val="000000"/>
              </w:rPr>
            </w:pPr>
            <w:r w:rsidDel="00000000" w:rsidR="00000000" w:rsidRPr="00000000">
              <w:rPr>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after="120" w:before="120" w:line="240" w:lineRule="auto"/>
              <w:rPr/>
            </w:pPr>
            <w:r w:rsidDel="00000000" w:rsidR="00000000" w:rsidRPr="00000000">
              <w:rPr>
                <w:rtl w:val="0"/>
              </w:rPr>
              <w:t xml:space="preserve">Confirmation of receipt and time of receipt by CCS</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after="120" w:before="120" w:line="240" w:lineRule="auto"/>
              <w:rPr/>
            </w:pPr>
            <w:r w:rsidDel="00000000" w:rsidR="00000000" w:rsidRPr="00000000">
              <w:rPr>
                <w:rtl w:val="0"/>
              </w:rPr>
              <w:t xml:space="preserve">1.6 The Supplier shall maintain its Carbon Reduction Plan including that set out in paragraph 5.4 of Joint Schedule 5  (Sustainability)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1"/>
              <w:spacing w:after="120" w:before="120" w:line="240" w:lineRule="auto"/>
              <w:ind w:left="142" w:firstLine="0"/>
              <w:rPr>
                <w:color w:val="000000"/>
              </w:rPr>
            </w:pPr>
            <w:r w:rsidDel="00000000" w:rsidR="00000000" w:rsidRPr="00000000">
              <w:rPr>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after="120" w:before="120" w:line="240" w:lineRule="auto"/>
              <w:rPr/>
            </w:pPr>
            <w:r w:rsidDel="00000000" w:rsidR="00000000" w:rsidRPr="00000000">
              <w:rPr>
                <w:rtl w:val="0"/>
              </w:rPr>
              <w:t xml:space="preserve">Confirmation of receipt and time of receipt by CCS</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after="120" w:before="120" w:line="240" w:lineRule="auto"/>
              <w:rPr/>
            </w:pPr>
            <w:r w:rsidDel="00000000" w:rsidR="00000000" w:rsidRPr="00000000">
              <w:rPr>
                <w:rtl w:val="0"/>
              </w:rPr>
              <w:t xml:space="preserve">1.7 The Supplier shall provide a valid Cyber Essentials Basic Certificate to CCS prior to the Framework Start Date and  deliver to CCS evidence of renewal of the Cyber Essentials Basic Certificate as requested in Framework Schedule 9 (Cyber Essentials Scheme)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keepNext w:val="1"/>
              <w:spacing w:after="120" w:before="120" w:line="240" w:lineRule="auto"/>
              <w:ind w:left="142" w:firstLine="0"/>
              <w:rPr>
                <w:color w:val="000000"/>
              </w:rPr>
            </w:pPr>
            <w:r w:rsidDel="00000000" w:rsidR="00000000" w:rsidRPr="00000000">
              <w:rPr>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120" w:before="120" w:line="240" w:lineRule="auto"/>
              <w:rPr/>
            </w:pPr>
            <w:r w:rsidDel="00000000" w:rsidR="00000000" w:rsidRPr="00000000">
              <w:rPr>
                <w:rtl w:val="0"/>
              </w:rPr>
              <w:t xml:space="preserve">Confirmation of receipt and time of receipt by CCS</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120" w:before="120" w:line="240" w:lineRule="auto"/>
              <w:rPr/>
            </w:pPr>
            <w:r w:rsidDel="00000000" w:rsidR="00000000" w:rsidRPr="00000000">
              <w:rPr>
                <w:rtl w:val="0"/>
              </w:rPr>
              <w:t xml:space="preserve">1.8 The Supplier shall upon the Effective Date and within 15 Working Days after the renewal of each of the Insurances, provide evidence, in a form satisfactory to CCS, that the Insurances are in force and effect and meet in full the requirements of Joint Schedule 3 (Insurance Requirements)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keepNext w:val="1"/>
              <w:spacing w:after="120" w:before="120" w:line="240" w:lineRule="auto"/>
              <w:ind w:left="142" w:firstLine="0"/>
              <w:rPr>
                <w:color w:val="000000"/>
              </w:rPr>
            </w:pPr>
            <w:r w:rsidDel="00000000" w:rsidR="00000000" w:rsidRPr="00000000">
              <w:rPr>
                <w:rtl w:val="0"/>
              </w:rPr>
              <w:t xml:space="preserve">100%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after="120" w:before="120" w:line="240" w:lineRule="auto"/>
              <w:rPr/>
            </w:pPr>
            <w:r w:rsidDel="00000000" w:rsidR="00000000" w:rsidRPr="00000000">
              <w:rPr>
                <w:rtl w:val="0"/>
              </w:rPr>
              <w:t xml:space="preserve">Confirmation of receipt and time of receipt by CCS</w:t>
            </w:r>
          </w:p>
        </w:tc>
      </w:tr>
    </w:tbl>
    <w:p w:rsidR="00000000" w:rsidDel="00000000" w:rsidP="00000000" w:rsidRDefault="00000000" w:rsidRPr="00000000" w14:paraId="00000040">
      <w:pPr>
        <w:tabs>
          <w:tab w:val="left" w:leader="none" w:pos="1134"/>
        </w:tabs>
        <w:spacing w:after="120" w:before="120" w:line="240" w:lineRule="auto"/>
        <w:rPr>
          <w:b w:val="1"/>
        </w:rPr>
      </w:pPr>
      <w:r w:rsidDel="00000000" w:rsidR="00000000" w:rsidRPr="00000000">
        <w:rPr>
          <w:rtl w:val="0"/>
        </w:rPr>
      </w:r>
    </w:p>
    <w:p w:rsidR="00000000" w:rsidDel="00000000" w:rsidP="00000000" w:rsidRDefault="00000000" w:rsidRPr="00000000" w14:paraId="0000004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shall comply with the Framework Performance Measures and establish processes to monitor its performance against them and the Supplier’s achievement of FPMs shall be reviewed during the Supplier Review Meetings. </w:t>
      </w:r>
    </w:p>
    <w:p w:rsidR="00000000" w:rsidDel="00000000" w:rsidP="00000000" w:rsidRDefault="00000000" w:rsidRPr="00000000" w14:paraId="0000004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CCS reserves the right to adjust, introduce new, or remove FPMs throughout the Framework Contract Period, however any significant changes to FPMs shall be agreed between CCS and the Supplier in accordance with the Variation Procedure.</w:t>
      </w:r>
    </w:p>
    <w:p w:rsidR="00000000" w:rsidDel="00000000" w:rsidP="00000000" w:rsidRDefault="00000000" w:rsidRPr="00000000" w14:paraId="0000004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CCS reserves the right to use and publish the performance of the Supplier against the FPMs without restriction.</w:t>
      </w:r>
    </w:p>
    <w:p w:rsidR="00000000" w:rsidDel="00000000" w:rsidP="00000000" w:rsidRDefault="00000000" w:rsidRPr="00000000" w14:paraId="00000044">
      <w:pPr>
        <w:keepLines w:val="1"/>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rPr>
          <w:b w:val="1"/>
          <w:color w:val="000000"/>
        </w:rPr>
      </w:pPr>
      <w:r w:rsidDel="00000000" w:rsidR="00000000" w:rsidRPr="00000000">
        <w:rPr>
          <w:b w:val="1"/>
          <w:color w:val="000000"/>
          <w:rtl w:val="0"/>
        </w:rPr>
        <w:t xml:space="preserve">What the Supplier must do to measure their performance</w:t>
      </w:r>
    </w:p>
    <w:p w:rsidR="00000000" w:rsidDel="00000000" w:rsidP="00000000" w:rsidRDefault="00000000" w:rsidRPr="00000000" w14:paraId="00000045">
      <w:pPr>
        <w:keepNext w:val="1"/>
        <w:keepLines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bookmarkStart w:colFirst="0" w:colLast="0" w:name="_heading=h.tyjcwt" w:id="5"/>
      <w:bookmarkEnd w:id="5"/>
      <w:r w:rsidDel="00000000" w:rsidR="00000000" w:rsidRPr="00000000">
        <w:rPr>
          <w:color w:val="000000"/>
          <w:rtl w:val="0"/>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rsidR="00000000" w:rsidDel="00000000" w:rsidP="00000000" w:rsidRDefault="00000000" w:rsidRPr="00000000" w14:paraId="0000004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tracking reductions in product volumes and product costs, in order to demonstrate that Buyers are consuming less and buying more smartly; </w:t>
      </w:r>
    </w:p>
    <w:p w:rsidR="00000000" w:rsidDel="00000000" w:rsidP="00000000" w:rsidRDefault="00000000" w:rsidRPr="00000000" w14:paraId="00000047">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developing additional FPMs to ensure that this Contract supports the emerging target operating model across central government (particularly in line with centralised sourcing and category management, procurement delivery centres and payment processing systems and shared service centres).</w:t>
      </w:r>
    </w:p>
    <w:p w:rsidR="00000000" w:rsidDel="00000000" w:rsidP="00000000" w:rsidRDefault="00000000" w:rsidRPr="00000000" w14:paraId="0000004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metrics that are to be implemented to measure efficiency shall be developed and agreed between CCS and the Supplier. Such metrics shall be incorporated into the list of FPMs set out in this Schedule.</w:t>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ongoing progress and development of the efficiency tracking performance measures shall be reported through framework management activities as outlined in this Schedule.</w:t>
      </w:r>
    </w:p>
    <w:p w:rsidR="00000000" w:rsidDel="00000000" w:rsidP="00000000" w:rsidRDefault="00000000" w:rsidRPr="00000000" w14:paraId="0000004A">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rPr>
          <w:b w:val="1"/>
          <w:color w:val="000000"/>
        </w:rPr>
      </w:pPr>
      <w:r w:rsidDel="00000000" w:rsidR="00000000" w:rsidRPr="00000000">
        <w:rPr>
          <w:b w:val="1"/>
          <w:color w:val="000000"/>
          <w:rtl w:val="0"/>
        </w:rPr>
        <w:t xml:space="preserve">What to do if CCS and the Supplier can’t agree about the performance </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In the event that CCS and the Supplier are unable to agree the performance score for any FPM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rsidR="00000000" w:rsidDel="00000000" w:rsidP="00000000" w:rsidRDefault="00000000" w:rsidRPr="00000000" w14:paraId="0000004C">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In cases where CCS Authorised Representative and the Supplier Authorised Representative fail to reach a solution within a reasonable period of time, the matter shall be referred to the Dispute Resolution Procedure.</w:t>
      </w:r>
    </w:p>
    <w:p w:rsidR="00000000" w:rsidDel="00000000" w:rsidP="00000000" w:rsidRDefault="00000000" w:rsidRPr="00000000" w14:paraId="0000004D">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rPr>
          <w:b w:val="1"/>
          <w:color w:val="000000"/>
        </w:rPr>
      </w:pPr>
      <w:bookmarkStart w:colFirst="0" w:colLast="0" w:name="_heading=h.3dy6vkm" w:id="6"/>
      <w:bookmarkEnd w:id="6"/>
      <w:r w:rsidDel="00000000" w:rsidR="00000000" w:rsidRPr="00000000">
        <w:rPr>
          <w:b w:val="1"/>
          <w:color w:val="000000"/>
          <w:rtl w:val="0"/>
        </w:rPr>
        <w:t xml:space="preserve">Marketing</w:t>
      </w:r>
    </w:p>
    <w:p w:rsidR="00000000" w:rsidDel="00000000" w:rsidP="00000000" w:rsidRDefault="00000000" w:rsidRPr="00000000" w14:paraId="0000004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shall ensure that a person is appointed as Supplier Marketing Contact who shall be responsible for the marketing obligations of the Supplier in relation to this Contract. </w:t>
      </w:r>
    </w:p>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426" w:hanging="642"/>
        <w:rPr>
          <w:b w:val="1"/>
          <w:color w:val="000000"/>
        </w:rPr>
      </w:pPr>
      <w:r w:rsidDel="00000000" w:rsidR="00000000" w:rsidRPr="00000000">
        <w:rPr>
          <w:b w:val="1"/>
          <w:color w:val="000000"/>
          <w:rtl w:val="0"/>
        </w:rPr>
        <w:tab/>
        <w:t xml:space="preserve">How the Supplier must contribute to CCS publications</w:t>
      </w:r>
    </w:p>
    <w:p w:rsidR="00000000" w:rsidDel="00000000" w:rsidP="00000000" w:rsidRDefault="00000000" w:rsidRPr="00000000" w14:paraId="0000005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bookmarkStart w:colFirst="0" w:colLast="0" w:name="_heading=h.1t3h5sf" w:id="7"/>
      <w:bookmarkEnd w:id="7"/>
      <w:r w:rsidDel="00000000" w:rsidR="00000000" w:rsidRPr="00000000">
        <w:rPr>
          <w:color w:val="000000"/>
          <w:rtl w:val="0"/>
        </w:rPr>
        <w:t xml:space="preserve">The Supplier shall supply current information relating to the Goods and/or Services it offers for inclusion in CCS marketing materials when required by CCS from time to time.</w:t>
      </w:r>
    </w:p>
    <w:p w:rsidR="00000000" w:rsidDel="00000000" w:rsidP="00000000" w:rsidRDefault="00000000" w:rsidRPr="00000000" w14:paraId="0000005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bookmarkStart w:colFirst="0" w:colLast="0" w:name="_heading=h.4d34og8" w:id="8"/>
      <w:bookmarkEnd w:id="8"/>
      <w:r w:rsidDel="00000000" w:rsidR="00000000" w:rsidRPr="00000000">
        <w:rPr>
          <w:color w:val="000000"/>
          <w:rtl w:val="0"/>
        </w:rPr>
        <w:t xml:space="preserve">Such information shall be provided in such form and at such time as CCS may request.</w:t>
      </w:r>
    </w:p>
    <w:p w:rsidR="00000000" w:rsidDel="00000000" w:rsidP="00000000" w:rsidRDefault="00000000" w:rsidRPr="00000000" w14:paraId="0000005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Failure to comply with the provisions of Paragraphs 7.2 and 7.3 may result in the Supplier's exclusion from the use of such marketing materials.</w:t>
      </w:r>
    </w:p>
    <w:p w:rsidR="00000000" w:rsidDel="00000000" w:rsidP="00000000" w:rsidRDefault="00000000" w:rsidRPr="00000000" w14:paraId="00000053">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426" w:hanging="642"/>
        <w:rPr>
          <w:b w:val="1"/>
          <w:color w:val="000000"/>
        </w:rPr>
      </w:pPr>
      <w:r w:rsidDel="00000000" w:rsidR="00000000" w:rsidRPr="00000000">
        <w:rPr>
          <w:b w:val="1"/>
          <w:color w:val="000000"/>
          <w:rtl w:val="0"/>
        </w:rPr>
        <w:tab/>
        <w:t xml:space="preserve">What Suppliers can say in its own publications</w:t>
      </w:r>
    </w:p>
    <w:p w:rsidR="00000000" w:rsidDel="00000000" w:rsidP="00000000" w:rsidRDefault="00000000" w:rsidRPr="00000000" w14:paraId="0000005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All marketing materials produced by the Supplier in relation to this Framework shall at all times comply with the CCS branding guidance at </w:t>
      </w:r>
      <w:hyperlink r:id="rId7">
        <w:r w:rsidDel="00000000" w:rsidR="00000000" w:rsidRPr="00000000">
          <w:rPr>
            <w:color w:val="0000ff"/>
            <w:u w:val="single"/>
            <w:rtl w:val="0"/>
          </w:rPr>
          <w:t xml:space="preserve">https://www.gov.uk/government/publications/crown-commercial-service-supplier-logo-and-brand-guidelines</w:t>
        </w:r>
      </w:hyperlink>
      <w:r w:rsidDel="00000000" w:rsidR="00000000" w:rsidRPr="00000000">
        <w:rPr>
          <w:color w:val="000000"/>
          <w:rtl w:val="0"/>
        </w:rPr>
        <w:t xml:space="preserve">.</w:t>
      </w:r>
    </w:p>
    <w:p w:rsidR="00000000" w:rsidDel="00000000" w:rsidP="00000000" w:rsidRDefault="00000000" w:rsidRPr="00000000" w14:paraId="0000005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will periodically update and revise its marketing materials to ensure ongoing compliance.</w:t>
      </w:r>
    </w:p>
    <w:p w:rsidR="00000000" w:rsidDel="00000000" w:rsidP="00000000" w:rsidRDefault="00000000" w:rsidRPr="00000000" w14:paraId="0000005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shall regularly review the content of any information which appears on its website and which relates to each Contract and ensure that such information is up to date at all times.</w:t>
      </w:r>
    </w:p>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rsidR="00000000" w:rsidDel="00000000" w:rsidP="00000000" w:rsidRDefault="00000000" w:rsidRPr="00000000" w14:paraId="00000058">
      <w:pPr>
        <w:keepNext w:val="1"/>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rPr>
          <w:b w:val="1"/>
          <w:color w:val="000000"/>
        </w:rPr>
      </w:pPr>
      <w:r w:rsidDel="00000000" w:rsidR="00000000" w:rsidRPr="00000000">
        <w:rPr>
          <w:b w:val="1"/>
          <w:color w:val="000000"/>
          <w:rtl w:val="0"/>
        </w:rPr>
        <w:t xml:space="preserve">Where CCS might oversee parts of the Call-Off Contracts</w:t>
      </w:r>
    </w:p>
    <w:p w:rsidR="00000000" w:rsidDel="00000000" w:rsidP="00000000" w:rsidRDefault="00000000" w:rsidRPr="00000000" w14:paraId="00000059">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CCS shall have general oversight of certain processes which are operated under Call-Off Contracts. For the avoidance of doubt, CCS are not managing the process for Buyers and such general oversight shall be provided in relation to only the operation of the following Schedules in each Call-Off Contract:</w:t>
      </w:r>
    </w:p>
    <w:p w:rsidR="00000000" w:rsidDel="00000000" w:rsidP="00000000" w:rsidRDefault="00000000" w:rsidRPr="00000000" w14:paraId="0000005A">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jc w:val="both"/>
        <w:rPr>
          <w:color w:val="000000"/>
        </w:rPr>
      </w:pPr>
      <w:r w:rsidDel="00000000" w:rsidR="00000000" w:rsidRPr="00000000">
        <w:rPr>
          <w:color w:val="000000"/>
          <w:rtl w:val="0"/>
        </w:rPr>
        <w:t xml:space="preserve">Call-Off Schedule 3 </w:t>
      </w:r>
      <w:r w:rsidDel="00000000" w:rsidR="00000000" w:rsidRPr="00000000">
        <w:rPr>
          <w:i w:val="1"/>
          <w:color w:val="000000"/>
          <w:rtl w:val="0"/>
        </w:rPr>
        <w:t xml:space="preserve">(Continuous Improvement)</w:t>
      </w:r>
      <w:r w:rsidDel="00000000" w:rsidR="00000000" w:rsidRPr="00000000">
        <w:rPr>
          <w:color w:val="000000"/>
          <w:rtl w:val="0"/>
        </w:rPr>
        <w:t xml:space="preserve">;</w:t>
      </w:r>
    </w:p>
    <w:p w:rsidR="00000000" w:rsidDel="00000000" w:rsidP="00000000" w:rsidRDefault="00000000" w:rsidRPr="00000000" w14:paraId="0000005B">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Call-Off Schedule 8 </w:t>
      </w:r>
      <w:r w:rsidDel="00000000" w:rsidR="00000000" w:rsidRPr="00000000">
        <w:rPr>
          <w:i w:val="1"/>
          <w:color w:val="000000"/>
          <w:rtl w:val="0"/>
        </w:rPr>
        <w:t xml:space="preserve">(Business Continuity and Disaster Recovery)</w:t>
      </w:r>
      <w:r w:rsidDel="00000000" w:rsidR="00000000" w:rsidRPr="00000000">
        <w:rPr>
          <w:color w:val="000000"/>
          <w:rtl w:val="0"/>
        </w:rPr>
        <w:t xml:space="preserve">;</w:t>
      </w:r>
    </w:p>
    <w:p w:rsidR="00000000" w:rsidDel="00000000" w:rsidP="00000000" w:rsidRDefault="00000000" w:rsidRPr="00000000" w14:paraId="0000005C">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the applicable Security Schedule; and</w:t>
      </w:r>
    </w:p>
    <w:p w:rsidR="00000000" w:rsidDel="00000000" w:rsidP="00000000" w:rsidRDefault="00000000" w:rsidRPr="00000000" w14:paraId="0000005D">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Call-Off Schedule 16 </w:t>
      </w:r>
      <w:r w:rsidDel="00000000" w:rsidR="00000000" w:rsidRPr="00000000">
        <w:rPr>
          <w:i w:val="1"/>
          <w:color w:val="000000"/>
          <w:rtl w:val="0"/>
        </w:rPr>
        <w:t xml:space="preserve">(Benchmarking)</w:t>
      </w:r>
      <w:r w:rsidDel="00000000" w:rsidR="00000000" w:rsidRPr="00000000">
        <w:rPr>
          <w:color w:val="000000"/>
          <w:rtl w:val="0"/>
        </w:rPr>
        <w:t xml:space="preserve">,</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1985"/>
        </w:tabs>
        <w:spacing w:after="120" w:before="120" w:line="240" w:lineRule="auto"/>
        <w:ind w:firstLine="1134"/>
        <w:rPr>
          <w:color w:val="000000"/>
        </w:rPr>
      </w:pPr>
      <w:r w:rsidDel="00000000" w:rsidR="00000000" w:rsidRPr="00000000">
        <w:rPr>
          <w:color w:val="000000"/>
          <w:rtl w:val="0"/>
        </w:rPr>
        <w:t xml:space="preserve">(the </w:t>
      </w:r>
      <w:r w:rsidDel="00000000" w:rsidR="00000000" w:rsidRPr="00000000">
        <w:rPr>
          <w:b w:val="1"/>
          <w:color w:val="000000"/>
          <w:rtl w:val="0"/>
        </w:rPr>
        <w:t xml:space="preserve">"Supported Schedules"</w:t>
      </w:r>
      <w:r w:rsidDel="00000000" w:rsidR="00000000" w:rsidRPr="00000000">
        <w:rPr>
          <w:color w:val="000000"/>
          <w:rtl w:val="0"/>
        </w:rPr>
        <w:t xml:space="preserve">)</w:t>
      </w:r>
    </w:p>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426" w:hanging="642"/>
        <w:rPr>
          <w:b w:val="1"/>
          <w:color w:val="000000"/>
        </w:rPr>
      </w:pPr>
      <w:r w:rsidDel="00000000" w:rsidR="00000000" w:rsidRPr="00000000">
        <w:rPr>
          <w:b w:val="1"/>
          <w:color w:val="000000"/>
          <w:rtl w:val="0"/>
        </w:rPr>
        <w:tab/>
        <w:t xml:space="preserve">How the Supplier must support CCS involvement</w:t>
      </w:r>
    </w:p>
    <w:p w:rsidR="00000000" w:rsidDel="00000000" w:rsidP="00000000" w:rsidRDefault="00000000" w:rsidRPr="00000000" w14:paraId="00000060">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The Supplier shall co-operate as reasonably required by CCS in relation to the Supported Schedules including:</w:t>
      </w:r>
    </w:p>
    <w:p w:rsidR="00000000" w:rsidDel="00000000" w:rsidP="00000000" w:rsidRDefault="00000000" w:rsidRPr="00000000" w14:paraId="00000061">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provision of information;</w:t>
      </w:r>
    </w:p>
    <w:p w:rsidR="00000000" w:rsidDel="00000000" w:rsidP="00000000" w:rsidRDefault="00000000" w:rsidRPr="00000000" w14:paraId="00000062">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allowing CCS to act as agent for the Buyers under the Supported Schedules for such matters as CCS may notify to the Supplier from time to time; and</w:t>
      </w:r>
    </w:p>
    <w:p w:rsidR="00000000" w:rsidDel="00000000" w:rsidP="00000000" w:rsidRDefault="00000000" w:rsidRPr="00000000" w14:paraId="00000063">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5" w:hanging="851"/>
        <w:rPr>
          <w:color w:val="000000"/>
        </w:rPr>
      </w:pPr>
      <w:r w:rsidDel="00000000" w:rsidR="00000000" w:rsidRPr="00000000">
        <w:rPr>
          <w:color w:val="000000"/>
          <w:rtl w:val="0"/>
        </w:rPr>
        <w:t xml:space="preserve">such other matters as CCS may notify to the Supplier from time to time.</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1134"/>
        </w:tabs>
        <w:spacing w:after="120" w:before="120" w:line="240" w:lineRule="auto"/>
        <w:ind w:left="426" w:hanging="642"/>
        <w:rPr>
          <w:b w:val="1"/>
          <w:color w:val="000000"/>
        </w:rPr>
      </w:pPr>
      <w:r w:rsidDel="00000000" w:rsidR="00000000" w:rsidRPr="00000000">
        <w:rPr>
          <w:b w:val="1"/>
          <w:color w:val="000000"/>
          <w:rtl w:val="0"/>
        </w:rPr>
        <w:tab/>
        <w:t xml:space="preserve">Where CCS might manage the process for Buyers collectively </w:t>
      </w:r>
    </w:p>
    <w:p w:rsidR="00000000" w:rsidDel="00000000" w:rsidP="00000000" w:rsidRDefault="00000000" w:rsidRPr="00000000" w14:paraId="00000065">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color w:val="000000"/>
        </w:rPr>
      </w:pPr>
      <w:r w:rsidDel="00000000" w:rsidR="00000000" w:rsidRPr="00000000">
        <w:rPr>
          <w:color w:val="000000"/>
          <w:rtl w:val="0"/>
        </w:rPr>
        <w:t xml:space="preserve">NOT USED </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1985"/>
          <w:tab w:val="left" w:leader="none" w:pos="1985"/>
          <w:tab w:val="left" w:leader="none" w:pos="2552"/>
        </w:tabs>
        <w:spacing w:after="120" w:before="120" w:line="240" w:lineRule="auto"/>
        <w:rPr>
          <w:color w:val="000000"/>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06D">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6E">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sz w:val="20"/>
        <w:szCs w:val="20"/>
        <w:rtl w:val="0"/>
      </w:rPr>
      <w:t xml:space="preserve">Model Version: v1.0 PA</w:t>
      <w:tab/>
    </w:r>
    <w:r w:rsidDel="00000000" w:rsidR="00000000" w:rsidRPr="00000000">
      <w:rPr>
        <w:color w:val="00000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rPr>
    </w:pPr>
    <w:r w:rsidDel="00000000" w:rsidR="00000000" w:rsidRPr="00000000">
      <w:rPr>
        <w:color w:val="000000"/>
        <w:sz w:val="20"/>
        <w:szCs w:val="20"/>
        <w:rtl w:val="0"/>
      </w:rPr>
      <w:t xml:space="preserve">Model Version: v3.0</w:t>
      <w:tab/>
    </w:r>
    <w:r w:rsidDel="00000000" w:rsidR="00000000" w:rsidRPr="00000000">
      <w:rPr>
        <w:color w:val="bfbfbf"/>
        <w:sz w:val="20"/>
        <w:szCs w:val="20"/>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2"/>
        <w:szCs w:val="22"/>
      </w:rPr>
    </w:pPr>
    <w:r w:rsidDel="00000000" w:rsidR="00000000" w:rsidRPr="00000000">
      <w:rPr>
        <w:b w:val="1"/>
        <w:color w:val="000000"/>
        <w:sz w:val="22"/>
        <w:szCs w:val="22"/>
        <w:rtl w:val="0"/>
      </w:rPr>
      <w:t xml:space="preserve">Framework Schedule 4 (Framework Management)</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rPr>
    </w:pPr>
    <w:r w:rsidDel="00000000" w:rsidR="00000000" w:rsidRPr="00000000">
      <w:rPr>
        <w:color w:val="000000"/>
        <w:sz w:val="22"/>
        <w:szCs w:val="22"/>
        <w:rtl w:val="0"/>
      </w:rPr>
      <w:t xml:space="preserve">Crown Copyright 20</w:t>
    </w:r>
    <w:r w:rsidDel="00000000" w:rsidR="00000000" w:rsidRPr="00000000">
      <w:rPr>
        <w:sz w:val="22"/>
        <w:szCs w:val="22"/>
        <w:rtl w:val="0"/>
      </w:rPr>
      <w:t xml:space="preserve">25</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20"/>
        <w:szCs w:val="20"/>
      </w:rPr>
    </w:pPr>
    <w:r w:rsidDel="00000000" w:rsidR="00000000" w:rsidRPr="00000000">
      <w:rPr>
        <w:b w:val="1"/>
        <w:color w:val="000000"/>
        <w:sz w:val="20"/>
        <w:szCs w:val="20"/>
        <w:rtl w:val="0"/>
      </w:rPr>
      <w:t xml:space="preserve">Framework Schedule 4 (Framework Management)</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sz w:val="20"/>
        <w:szCs w:val="20"/>
      </w:rPr>
    </w:pPr>
    <w:r w:rsidDel="00000000" w:rsidR="00000000" w:rsidRPr="00000000">
      <w:rPr>
        <w:color w:val="000000"/>
        <w:sz w:val="20"/>
        <w:szCs w:val="20"/>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20"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502" w:hanging="360"/>
      </w:pPr>
      <w:rPr>
        <w:b w:val="1"/>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tabs>
        <w:tab w:val="left" w:leader="none" w:pos="-5585"/>
      </w:tabs>
      <w:spacing w:after="120" w:line="240" w:lineRule="auto"/>
      <w:ind w:left="2665" w:hanging="964"/>
      <w:jc w:val="both"/>
    </w:pPr>
    <w:rPr/>
  </w:style>
  <w:style w:type="paragraph" w:styleId="Heading6">
    <w:name w:val="heading 6"/>
    <w:basedOn w:val="Normal"/>
    <w:next w:val="Normal"/>
    <w:pPr>
      <w:tabs>
        <w:tab w:val="left" w:leader="none" w:pos="-8987"/>
        <w:tab w:val="left" w:leader="none" w:pos="-8420"/>
      </w:tabs>
      <w:spacing w:after="120" w:line="240" w:lineRule="auto"/>
      <w:ind w:left="3799" w:hanging="1133.9999999999998"/>
      <w:jc w:val="both"/>
    </w:pPr>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val="1"/>
    <w:qFormat w:val="1"/>
    <w:pPr>
      <w:keepNext w:val="1"/>
      <w:keepLines w:val="1"/>
      <w:spacing w:after="0" w:before="200"/>
      <w:outlineLvl w:val="7"/>
    </w:pPr>
    <w:rPr>
      <w:rFonts w:asciiTheme="majorHAnsi" w:cstheme="majorBidi" w:eastAsiaTheme="majorEastAsia" w:hAnsiTheme="majorHAnsi"/>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qFormat w:val="1"/>
    <w:pPr>
      <w:numPr>
        <w:numId w:val="2"/>
      </w:numPr>
      <w:tabs>
        <w:tab w:val="left" w:pos="142"/>
      </w:tabs>
      <w:adjustRightInd w:val="0"/>
      <w:spacing w:after="240" w:before="120" w:line="240" w:lineRule="auto"/>
      <w:ind w:left="426" w:hanging="426"/>
      <w:jc w:val="both"/>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adjustRightInd w:val="0"/>
      <w:spacing w:after="120" w:before="120" w:line="240" w:lineRule="auto"/>
      <w:ind w:left="1656"/>
      <w:jc w:val="both"/>
    </w:pPr>
    <w:rPr>
      <w:rFonts w:eastAsia="Times New Roman"/>
      <w:lang w:eastAsia="zh-CN"/>
    </w:rPr>
  </w:style>
  <w:style w:type="paragraph" w:styleId="GPSL4numberedclause" w:customStyle="1">
    <w:name w:val="GPS L4 numbered clause"/>
    <w:basedOn w:val="GPSL3numberedclause"/>
    <w:qFormat w:val="1"/>
    <w:pPr>
      <w:numPr>
        <w:ilvl w:val="3"/>
      </w:numPr>
      <w:tabs>
        <w:tab w:val="clear" w:pos="1985"/>
      </w:tabs>
    </w:p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adjustRightInd w:val="0"/>
      <w:spacing w:after="120" w:before="120" w:line="240" w:lineRule="auto"/>
      <w:ind w:left="936" w:hanging="576"/>
      <w:jc w:val="both"/>
    </w:pPr>
    <w:rPr>
      <w:rFonts w:eastAsia="Times New Roman"/>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overflowPunct w:val="0"/>
      <w:autoSpaceDE w:val="0"/>
      <w:autoSpaceDN w:val="0"/>
      <w:adjustRightInd w:val="0"/>
      <w:spacing w:after="120" w:line="240" w:lineRule="auto"/>
      <w:jc w:val="both"/>
      <w:textAlignment w:val="baseline"/>
    </w:pPr>
    <w:rPr>
      <w:rFonts w:eastAsia="Times New Roman"/>
    </w:rPr>
  </w:style>
  <w:style w:type="paragraph" w:styleId="GPSDefinitionL2" w:customStyle="1">
    <w:name w:val="GPS Definition L2"/>
    <w:basedOn w:val="GPsDefinition"/>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eastAsia="Times New Roman"/>
      <w:b w:val="1"/>
    </w:rPr>
  </w:style>
  <w:style w:type="paragraph" w:styleId="GPSL1SCHEDULEHeading" w:customStyle="1">
    <w:name w:val="GPS L1 SCHEDULE Heading"/>
    <w:basedOn w:val="GPSL1CLAUSEHEADING"/>
    <w:link w:val="GPSL1SCHEDULEHeadingChar"/>
    <w:qFormat w:val="1"/>
    <w:rsid w:val="005C6957"/>
    <w:pPr>
      <w:ind w:left="360" w:hanging="360"/>
      <w:outlineLvl w:val="9"/>
    </w:pPr>
    <w:rPr>
      <w:caps w:val="0"/>
    </w:rPr>
  </w:style>
  <w:style w:type="paragraph" w:styleId="GPSL3Guidance" w:customStyle="1">
    <w:name w:val="GPS L3 Guidance"/>
    <w:basedOn w:val="GPSL3numberedclause"/>
    <w:link w:val="GPSL3GuidanceChar"/>
    <w:qFormat w:val="1"/>
    <w:pPr>
      <w:numPr>
        <w:ilvl w:val="0"/>
        <w:numId w:val="0"/>
      </w:numPr>
      <w:ind w:left="1985"/>
    </w:pPr>
    <w:rPr>
      <w:b w:val="1"/>
      <w:i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styleId="GPSL2Numbered" w:customStyle="1">
    <w:name w:val="GPS L2 Numbered"/>
    <w:basedOn w:val="GPSL2NumberedBoldHeading"/>
    <w:link w:val="GPSL2NumberedChar"/>
    <w:qFormat w:val="1"/>
    <w:pPr>
      <w:tabs>
        <w:tab w:val="clear" w:pos="1134"/>
      </w:tabs>
      <w:ind w:left="720"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sid w:val="005C6957"/>
    <w:rPr>
      <w:rFonts w:ascii="Calibri" w:cs="Arial" w:eastAsia="STZhongsong" w:hAnsi="Calibri"/>
      <w:b w:val="1"/>
      <w:lang w:eastAsia="zh-CN"/>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Normal1" w:customStyle="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Heading8Char" w:customStyle="1">
    <w:name w:val="Heading 8 Char"/>
    <w:basedOn w:val="DefaultParagraphFont"/>
    <w:link w:val="Heading8"/>
    <w:rPr>
      <w:rFonts w:asciiTheme="majorHAnsi" w:cstheme="majorBidi" w:eastAsiaTheme="majorEastAsia" w:hAnsiTheme="majorHAnsi"/>
      <w:color w:val="404040" w:themeColor="text1" w:themeTint="0000BF"/>
      <w:sz w:val="20"/>
      <w:szCs w:val="20"/>
    </w:rPr>
  </w:style>
  <w:style w:type="character" w:styleId="Heading5Char" w:customStyle="1">
    <w:name w:val="Heading 5 Char"/>
    <w:basedOn w:val="DefaultParagraphFont"/>
    <w:link w:val="Heading5"/>
    <w:rPr>
      <w:rFonts w:ascii="Arial" w:cs="Times New Roman" w:eastAsia="Times New Roman" w:hAnsi="Arial"/>
    </w:rPr>
  </w:style>
  <w:style w:type="character" w:styleId="Heading6Char" w:customStyle="1">
    <w:name w:val="Heading 6 Char"/>
    <w:basedOn w:val="DefaultParagraphFont"/>
    <w:link w:val="Heading6"/>
    <w:rPr>
      <w:rFonts w:ascii="Arial" w:cs="Times New Roman" w:eastAsia="Times New Roman" w:hAnsi="Arial"/>
    </w:rPr>
  </w:style>
  <w:style w:type="character" w:styleId="Heading7Char" w:customStyle="1">
    <w:name w:val="Heading 7 Char"/>
    <w:basedOn w:val="DefaultParagraphFont"/>
    <w:link w:val="Heading7"/>
    <w:rPr>
      <w:rFonts w:ascii="Arial" w:cs="Times New Roman" w:eastAsia="Times New Roman" w:hAnsi="Arial"/>
    </w:rPr>
  </w:style>
  <w:style w:type="numbering" w:styleId="WWOutlineListStyle8" w:customStyle="1">
    <w:name w:val="WW_OutlineListStyle_8"/>
    <w:basedOn w:val="NoList"/>
  </w:style>
  <w:style w:type="character" w:styleId="Hyperlink">
    <w:name w:val="Hyperlink"/>
    <w:basedOn w:val="DefaultParagraphFont"/>
    <w:uiPriority w:val="99"/>
    <w:unhideWhenUsed w:val="1"/>
    <w:rPr>
      <w:color w:val="0000ff" w:themeColor="hyperlink"/>
      <w:u w:val="single"/>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pPr>
      <w:spacing w:after="0" w:line="240" w:lineRule="auto"/>
    </w:pPr>
  </w:style>
  <w:style w:type="paragraph" w:styleId="GPSL2numberedclause" w:customStyle="1">
    <w:name w:val="GPS L2 numbered clause"/>
    <w:basedOn w:val="Normal"/>
    <w:link w:val="GPSL2numberedclauseChar1"/>
    <w:qFormat w:val="1"/>
    <w:pPr>
      <w:tabs>
        <w:tab w:val="num" w:pos="720"/>
        <w:tab w:val="left" w:pos="1134"/>
      </w:tabs>
      <w:adjustRightInd w:val="0"/>
      <w:spacing w:after="120" w:before="120" w:line="240" w:lineRule="auto"/>
      <w:ind w:left="720" w:hanging="720"/>
      <w:jc w:val="both"/>
    </w:pPr>
    <w:rPr>
      <w:rFonts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cs="Times New Roman" w:eastAsia="STZhongsong"/>
      <w:szCs w:val="18"/>
      <w:lang w:eastAsia="zh-CN"/>
    </w:rPr>
  </w:style>
  <w:style w:type="character" w:styleId="Heading2Char" w:customStyle="1">
    <w:name w:val="Heading 2 Char"/>
    <w:basedOn w:val="DefaultParagraphFont"/>
    <w:link w:val="Heading2"/>
    <w:uiPriority w:val="9"/>
    <w:semiHidden w:val="1"/>
    <w:rPr>
      <w:rFonts w:asciiTheme="majorHAnsi" w:cstheme="majorBidi" w:eastAsiaTheme="majorEastAsia" w:hAnsiTheme="majorHAnsi"/>
      <w:b w:val="1"/>
      <w:bCs w:val="1"/>
      <w:color w:val="4f81bd" w:themeColor="accent1"/>
      <w:sz w:val="26"/>
      <w:szCs w:val="26"/>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4514B7"/>
    <w:pPr>
      <w:suppressAutoHyphens w:val="1"/>
      <w:autoSpaceDN w:val="0"/>
      <w:ind w:left="720"/>
      <w:textAlignment w:val="baseline"/>
    </w:pPr>
    <w:rPr>
      <w:rFonts w:cs="Times New Roman"/>
    </w:r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crown-commercial-service-supplier-logo-and-brand-guideline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Rtpf4EA1InkVg8KGUbVDECN0WA==">CgMxLjAyCGguZ2pkZ3hzMgloLjMwajB6bGwyCWguMWZvYjl0ZTIJaC4zem55c2g3MgloLjJldDkycDAyCGgudHlqY3d0MgloLjNkeTZ2a20yCWguMXQzaDVzZjIJaC40ZDM0b2c4OAByITFSWmdRMjVTazNGcTdCQTZxYVRrcThHZEJRemhjVGNOUw==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2025-03-25T16:39:00Z</dcterms:created>
  <dc:creator>Pauline Hanratty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