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rPr>
          <w:b w:val="1"/>
          <w:sz w:val="36"/>
          <w:szCs w:val="36"/>
        </w:rPr>
      </w:pPr>
      <w:r w:rsidDel="00000000" w:rsidR="00000000" w:rsidRPr="00000000">
        <w:rPr>
          <w:b w:val="1"/>
          <w:sz w:val="36"/>
          <w:szCs w:val="36"/>
          <w:rtl w:val="0"/>
        </w:rPr>
        <w:t xml:space="preserve">Joint Schedule 3 (Insurance Requirements)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Rule="auto"/>
        <w:jc w:val="left"/>
        <w:rPr>
          <w:b w:val="1"/>
          <w:smallCaps w:val="1"/>
        </w:rPr>
      </w:pPr>
      <w:bookmarkStart w:colFirst="0" w:colLast="0" w:name="_heading=h.66fc7vj3y8ld" w:id="0"/>
      <w:bookmarkEnd w:id="0"/>
      <w:r w:rsidDel="00000000" w:rsidR="00000000" w:rsidRPr="00000000">
        <w:rPr>
          <w:rtl w:val="0"/>
        </w:rPr>
      </w:r>
    </w:p>
    <w:p w:rsidR="00000000" w:rsidDel="00000000" w:rsidP="00000000" w:rsidRDefault="00000000" w:rsidRPr="00000000" w14:paraId="00000003">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rPr>
      </w:pPr>
      <w:r w:rsidDel="00000000" w:rsidR="00000000" w:rsidRPr="00000000">
        <w:rPr>
          <w:b w:val="1"/>
          <w:rtl w:val="0"/>
        </w:rPr>
        <w:t xml:space="preserve">The insurance you need to have</w:t>
      </w:r>
      <w:r w:rsidDel="00000000" w:rsidR="00000000" w:rsidRPr="00000000">
        <w:rPr>
          <w:rtl w:val="0"/>
        </w:rPr>
      </w:r>
    </w:p>
    <w:p w:rsidR="00000000" w:rsidDel="00000000" w:rsidP="00000000" w:rsidRDefault="00000000" w:rsidRPr="00000000" w14:paraId="0000000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b w:val="1"/>
          <w:rtl w:val="0"/>
        </w:rPr>
        <w:t xml:space="preserve">Additional Insurances</w:t>
      </w:r>
      <w:r w:rsidDel="00000000" w:rsidR="00000000" w:rsidRPr="00000000">
        <w:rPr>
          <w:rtl w:val="0"/>
        </w:rPr>
        <w:t xml:space="preserve">")  and any other insurances as may be required by applicable Law (together the “</w:t>
      </w:r>
      <w:r w:rsidDel="00000000" w:rsidR="00000000" w:rsidRPr="00000000">
        <w:rPr>
          <w:b w:val="1"/>
          <w:rtl w:val="0"/>
        </w:rPr>
        <w:t xml:space="preserve">Insurances</w:t>
      </w:r>
      <w:r w:rsidDel="00000000" w:rsidR="00000000" w:rsidRPr="00000000">
        <w:rPr>
          <w:rtl w:val="0"/>
        </w:rPr>
        <w:t xml:space="preserve">”). The Supplier shall ensure that each of the Insurances is effective no later than:</w:t>
      </w:r>
    </w:p>
    <w:p w:rsidR="00000000" w:rsidDel="00000000" w:rsidP="00000000" w:rsidRDefault="00000000" w:rsidRPr="00000000" w14:paraId="00000005">
      <w:pPr>
        <w:keepNext w:val="1"/>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Effective Date in respect of those Insurances set out in the Annex to this Schedule and those required by applicable Law; and</w:t>
      </w:r>
    </w:p>
    <w:p w:rsidR="00000000" w:rsidDel="00000000" w:rsidP="00000000" w:rsidRDefault="00000000" w:rsidRPr="00000000" w14:paraId="00000006">
      <w:pPr>
        <w:keepNext w:val="1"/>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Call-Off Contract Effective Date in respect of the Additional Insurances.</w:t>
      </w:r>
    </w:p>
    <w:p w:rsidR="00000000" w:rsidDel="00000000" w:rsidP="00000000" w:rsidRDefault="00000000" w:rsidRPr="00000000" w14:paraId="00000007">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Insurances shall be: </w:t>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maintained in accordance with Good Industry Practice; </w:t>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taken out and maintained with insurers of good financial standing and good repute in the international insurance market; and</w:t>
      </w:r>
    </w:p>
    <w:p w:rsidR="00000000" w:rsidDel="00000000" w:rsidP="00000000" w:rsidRDefault="00000000" w:rsidRPr="00000000" w14:paraId="0000000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maintained until the End Date except in relation to Professional Indemnity where required under the Annex to this Schedule which shall be maintained for at least six (6) years after the End Date.</w:t>
      </w:r>
    </w:p>
    <w:p w:rsidR="00000000" w:rsidDel="00000000" w:rsidP="00000000" w:rsidRDefault="00000000" w:rsidRPr="00000000" w14:paraId="0000000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the public liability policy contains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D">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r w:rsidDel="00000000" w:rsidR="00000000" w:rsidRPr="00000000">
        <w:rPr>
          <w:b w:val="1"/>
          <w:rtl w:val="0"/>
        </w:rPr>
        <w:t xml:space="preserve">How to manage the insurance</w:t>
      </w:r>
    </w:p>
    <w:p w:rsidR="00000000" w:rsidDel="00000000" w:rsidP="00000000" w:rsidRDefault="00000000" w:rsidRPr="00000000" w14:paraId="0000000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Without limiting the other provisions of the Contract, the Supplier shall:</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2">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r w:rsidDel="00000000" w:rsidR="00000000" w:rsidRPr="00000000">
        <w:rPr>
          <w:b w:val="1"/>
          <w:rtl w:val="0"/>
        </w:rPr>
        <w:t xml:space="preserve">What happens if you aren’t insured</w:t>
      </w:r>
    </w:p>
    <w:p w:rsidR="00000000" w:rsidDel="00000000" w:rsidP="00000000" w:rsidRDefault="00000000" w:rsidRPr="00000000" w14:paraId="00000013">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gjdgxs" w:id="1"/>
      <w:bookmarkEnd w:id="1"/>
      <w:r w:rsidDel="00000000" w:rsidR="00000000" w:rsidRPr="00000000">
        <w:rPr>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4">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5">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r w:rsidDel="00000000" w:rsidR="00000000" w:rsidRPr="00000000">
        <w:rPr>
          <w:b w:val="1"/>
          <w:rtl w:val="0"/>
        </w:rPr>
        <w:t xml:space="preserve">Evidence of insurance you must provide</w:t>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tabs>
          <w:tab w:val="left" w:leader="none" w:pos="1134"/>
        </w:tabs>
        <w:spacing w:after="120" w:before="120" w:lineRule="auto"/>
        <w:ind w:left="426" w:firstLine="0"/>
        <w:jc w:val="left"/>
        <w:rPr>
          <w:smallCaps w:val="1"/>
        </w:rPr>
      </w:pPr>
      <w:r w:rsidDel="00000000" w:rsidR="00000000" w:rsidRPr="00000000">
        <w:rPr>
          <w:rtl w:val="0"/>
        </w:rPr>
        <w:t xml:space="preserve">The Supplier shall upon the Effective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7">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bookmarkStart w:colFirst="0" w:colLast="0" w:name="_heading=h.3znysh7" w:id="2"/>
      <w:bookmarkEnd w:id="2"/>
      <w:r w:rsidDel="00000000" w:rsidR="00000000" w:rsidRPr="00000000">
        <w:rPr>
          <w:b w:val="1"/>
          <w:rtl w:val="0"/>
        </w:rPr>
        <w:t xml:space="preserve">Making sure you are insured to the required amount</w:t>
      </w:r>
    </w:p>
    <w:p w:rsidR="00000000" w:rsidDel="00000000" w:rsidP="00000000" w:rsidRDefault="00000000" w:rsidRPr="00000000" w14:paraId="00000018">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0j0zll" w:id="3"/>
      <w:bookmarkEnd w:id="3"/>
      <w:r w:rsidDel="00000000" w:rsidR="00000000" w:rsidRPr="00000000">
        <w:rPr>
          <w:rtl w:val="0"/>
        </w:rPr>
        <w:t xml:space="preserve">The Supplier shall ensure that any Insurances which are stated to have a minimum limit "in the aggregate" are maintained for the minimum limit of indemnity for the periods specified in this Schedule.</w:t>
      </w:r>
    </w:p>
    <w:p w:rsidR="00000000" w:rsidDel="00000000" w:rsidP="00000000" w:rsidRDefault="00000000" w:rsidRPr="00000000" w14:paraId="0000001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the Supplier intends to claim under any of the Insurances for any matters that are not related to the Deliverables and/or the Contract, the Supplier shall, where such claim is likely to result in the level of cover available under any of the Insurances being reduced below the minimum limit of indemnity specified in this Schedule, promptly notify the Relevant Authority and provide details of its proposed solution for maintaining the minimum limit of indemnity specified in this Schedule.</w:t>
      </w:r>
    </w:p>
    <w:p w:rsidR="00000000" w:rsidDel="00000000" w:rsidP="00000000" w:rsidRDefault="00000000" w:rsidRPr="00000000" w14:paraId="0000001A">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r w:rsidDel="00000000" w:rsidR="00000000" w:rsidRPr="00000000">
        <w:rPr>
          <w:b w:val="1"/>
          <w:rtl w:val="0"/>
        </w:rPr>
        <w:t xml:space="preserve">Cancelled Insurance</w:t>
      </w:r>
    </w:p>
    <w:p w:rsidR="00000000" w:rsidDel="00000000" w:rsidP="00000000" w:rsidRDefault="00000000" w:rsidRPr="00000000" w14:paraId="0000001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smallCaps w:val="1"/>
        </w:rPr>
      </w:pPr>
      <w:r w:rsidDel="00000000" w:rsidR="00000000" w:rsidRPr="00000000">
        <w:rPr>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smallCaps w:val="1"/>
        </w:rPr>
      </w:pPr>
      <w:r w:rsidDel="00000000" w:rsidR="00000000" w:rsidRPr="00000000">
        <w:rPr>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rPr>
      </w:pPr>
      <w:r w:rsidDel="00000000" w:rsidR="00000000" w:rsidRPr="00000000">
        <w:rPr>
          <w:b w:val="1"/>
          <w:rtl w:val="0"/>
        </w:rPr>
        <w:t xml:space="preserve">Insurance claims</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the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any Insurance requires payment of a premium, the Supplier shall be liable for and shall promptly pay such premium.</w:t>
      </w:r>
    </w:p>
    <w:p w:rsidR="00000000" w:rsidDel="00000000" w:rsidP="00000000" w:rsidRDefault="00000000" w:rsidRPr="00000000" w14:paraId="00000021">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the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Rule="auto"/>
        <w:ind w:left="648" w:hanging="576"/>
        <w:jc w:val="center"/>
        <w:rPr>
          <w:b w:val="1"/>
        </w:rPr>
      </w:pPr>
      <w:r w:rsidDel="00000000" w:rsidR="00000000" w:rsidRPr="00000000">
        <w:rPr>
          <w:b w:val="1"/>
          <w:rtl w:val="0"/>
        </w:rPr>
        <w:t xml:space="preserve">ANNEX: REQUIRED INSURANCES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709"/>
        </w:tabs>
        <w:spacing w:after="120" w:before="120" w:lineRule="auto"/>
        <w:ind w:left="709" w:hanging="709"/>
        <w:jc w:val="left"/>
        <w:rPr>
          <w:b w:val="1"/>
        </w:rPr>
      </w:pPr>
      <w:r w:rsidDel="00000000" w:rsidR="00000000" w:rsidRPr="00000000">
        <w:rPr>
          <w:rtl w:val="0"/>
        </w:rPr>
        <w:t xml:space="preserve">The Supplier shall hold the following standard insurance cover from the Effective Date in accordance with this Schedule:</w:t>
      </w: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professional indemnity insurance with cover (for a single event or a series of related events and in the aggregate) of not less than one million pounds (£1,000,000);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public liability insurance with cover (for a single event or a series of related events and in the aggregate) of not less than one million pounds (£1,000,000); and</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employers’ liability insurance with cover (for a single event or a series of related events and in the aggregate) of not less than one million pounds (£1,000,000). </w:t>
      </w:r>
    </w:p>
    <w:p w:rsidR="00000000" w:rsidDel="00000000" w:rsidP="00000000" w:rsidRDefault="00000000" w:rsidRPr="00000000" w14:paraId="00000027">
      <w:pPr>
        <w:spacing w:after="120" w:before="120" w:lineRule="auto"/>
        <w:ind w:left="720" w:firstLine="0"/>
        <w:jc w:val="left"/>
        <w:rPr/>
      </w:pPr>
      <w:r w:rsidDel="00000000" w:rsidR="00000000" w:rsidRPr="00000000">
        <w:rPr>
          <w:rtl w:val="0"/>
        </w:rPr>
      </w:r>
    </w:p>
    <w:p w:rsidR="00000000" w:rsidDel="00000000" w:rsidP="00000000" w:rsidRDefault="00000000" w:rsidRPr="00000000" w14:paraId="00000028">
      <w:pPr>
        <w:numPr>
          <w:ilvl w:val="0"/>
          <w:numId w:val="1"/>
        </w:numPr>
        <w:tabs>
          <w:tab w:val="left" w:leader="none" w:pos="709"/>
        </w:tabs>
        <w:spacing w:after="120" w:before="120" w:lineRule="auto"/>
        <w:ind w:left="709" w:hanging="360"/>
        <w:jc w:val="left"/>
        <w:rPr/>
      </w:pPr>
      <w:r w:rsidDel="00000000" w:rsidR="00000000" w:rsidRPr="00000000">
        <w:rPr>
          <w:b w:val="1"/>
          <w:rtl w:val="0"/>
        </w:rPr>
        <w:t xml:space="preserve">LOT 7a ONLY - </w:t>
      </w:r>
      <w:r w:rsidDel="00000000" w:rsidR="00000000" w:rsidRPr="00000000">
        <w:rPr>
          <w:rtl w:val="0"/>
        </w:rPr>
        <w:t xml:space="preserve">The Supplier shall hold the following standard insurance cover from the Effective Date in accordance with this Schedule:</w:t>
      </w:r>
    </w:p>
    <w:p w:rsidR="00000000" w:rsidDel="00000000" w:rsidP="00000000" w:rsidRDefault="00000000" w:rsidRPr="00000000" w14:paraId="00000029">
      <w:pPr>
        <w:numPr>
          <w:ilvl w:val="1"/>
          <w:numId w:val="1"/>
        </w:numPr>
        <w:tabs>
          <w:tab w:val="left" w:leader="none" w:pos="1418"/>
        </w:tabs>
        <w:spacing w:after="120" w:before="120" w:lineRule="auto"/>
        <w:ind w:left="1418" w:hanging="709"/>
        <w:jc w:val="left"/>
        <w:rPr/>
      </w:pPr>
      <w:r w:rsidDel="00000000" w:rsidR="00000000" w:rsidRPr="00000000">
        <w:rPr>
          <w:rtl w:val="0"/>
        </w:rPr>
        <w:t xml:space="preserve">professional indemnity insurance with cover (for a single event or a series of related events and in the aggregate) of not less than five million pounds (£5,000,000); </w:t>
      </w:r>
    </w:p>
    <w:p w:rsidR="00000000" w:rsidDel="00000000" w:rsidP="00000000" w:rsidRDefault="00000000" w:rsidRPr="00000000" w14:paraId="0000002A">
      <w:pPr>
        <w:numPr>
          <w:ilvl w:val="1"/>
          <w:numId w:val="1"/>
        </w:numPr>
        <w:tabs>
          <w:tab w:val="left" w:leader="none" w:pos="1418"/>
        </w:tabs>
        <w:spacing w:after="120" w:before="120" w:lineRule="auto"/>
        <w:ind w:left="1418" w:hanging="709"/>
        <w:jc w:val="left"/>
        <w:rPr/>
      </w:pPr>
      <w:r w:rsidDel="00000000" w:rsidR="00000000" w:rsidRPr="00000000">
        <w:rPr>
          <w:rtl w:val="0"/>
        </w:rPr>
        <w:t xml:space="preserve">public liability insurance with cover (for a single event or a series of related events and in the aggregate) of not less than five million pounds (£5,000,000); and</w:t>
      </w:r>
    </w:p>
    <w:p w:rsidR="00000000" w:rsidDel="00000000" w:rsidP="00000000" w:rsidRDefault="00000000" w:rsidRPr="00000000" w14:paraId="0000002B">
      <w:pPr>
        <w:numPr>
          <w:ilvl w:val="1"/>
          <w:numId w:val="1"/>
        </w:numPr>
        <w:tabs>
          <w:tab w:val="left" w:leader="none" w:pos="1418"/>
        </w:tabs>
        <w:spacing w:after="120" w:before="120" w:lineRule="auto"/>
        <w:ind w:left="1418" w:hanging="709"/>
        <w:jc w:val="left"/>
        <w:rPr/>
      </w:pPr>
      <w:r w:rsidDel="00000000" w:rsidR="00000000" w:rsidRPr="00000000">
        <w:rPr>
          <w:rtl w:val="0"/>
        </w:rPr>
        <w:t xml:space="preserve">employers’ liability insurance with cover (for a single event or a series of related events and in the aggregate) of not less than five million pounds (£5,000,000). </w:t>
      </w:r>
    </w:p>
    <w:p w:rsidR="00000000" w:rsidDel="00000000" w:rsidP="00000000" w:rsidRDefault="00000000" w:rsidRPr="00000000" w14:paraId="0000002C">
      <w:pPr>
        <w:spacing w:after="120" w:before="120" w:lineRule="auto"/>
        <w:jc w:val="left"/>
        <w:rPr/>
      </w:pPr>
      <w:r w:rsidDel="00000000" w:rsidR="00000000" w:rsidRPr="00000000">
        <w:rPr>
          <w:rtl w:val="0"/>
        </w:rPr>
      </w:r>
    </w:p>
    <w:bookmarkStart w:colFirst="0" w:colLast="0" w:name="bookmark=id.3znysh7" w:id="4"/>
    <w:bookmarkEnd w:id="4"/>
    <w:p w:rsidR="00000000" w:rsidDel="00000000" w:rsidP="00000000" w:rsidRDefault="00000000" w:rsidRPr="00000000" w14:paraId="0000002D">
      <w:pPr>
        <w:spacing w:after="120" w:before="120" w:lineRule="auto"/>
        <w:rPr/>
      </w:pPr>
      <w:bookmarkStart w:colFirst="0" w:colLast="0" w:name="_heading=h.1fob9te" w:id="5"/>
      <w:bookmarkEnd w:id="5"/>
      <w:r w:rsidDel="00000000" w:rsidR="00000000" w:rsidRPr="00000000">
        <w:rPr>
          <w:rtl w:val="0"/>
        </w:rPr>
      </w:r>
    </w:p>
    <w:p w:rsidR="00000000" w:rsidDel="00000000" w:rsidP="00000000" w:rsidRDefault="00000000" w:rsidRPr="00000000" w14:paraId="0000002E">
      <w:pPr>
        <w:spacing w:after="120" w:before="120" w:lineRule="auto"/>
        <w:rPr/>
      </w:pPr>
      <w:r w:rsidDel="00000000" w:rsidR="00000000" w:rsidRPr="00000000">
        <w:rPr>
          <w:rtl w:val="0"/>
        </w:rPr>
      </w:r>
    </w:p>
    <w:p w:rsidR="00000000" w:rsidDel="00000000" w:rsidP="00000000" w:rsidRDefault="00000000" w:rsidRPr="00000000" w14:paraId="0000002F">
      <w:pPr>
        <w:spacing w:after="120" w:before="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34">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sz w:val="20"/>
        <w:szCs w:val="20"/>
        <w:rtl w:val="0"/>
      </w:rPr>
      <w:t xml:space="preserve">Model Version: v1.0 PA</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2"/>
        <w:szCs w:val="22"/>
      </w:rPr>
    </w:pPr>
    <w:r w:rsidDel="00000000" w:rsidR="00000000" w:rsidRPr="00000000">
      <w:rPr>
        <w:b w:val="1"/>
        <w:color w:val="000000"/>
        <w:sz w:val="22"/>
        <w:szCs w:val="22"/>
        <w:rtl w:val="0"/>
      </w:rPr>
      <w:t xml:space="preserve">Joint Schedule 3 (Insurance Requirements)</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2025</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character" w:styleId="Hyperlink">
    <w:name w:val="Hyperlink"/>
    <w:basedOn w:val="DefaultParagraphFont"/>
    <w:uiPriority w:val="99"/>
    <w:unhideWhenUsed w:val="1"/>
    <w:rsid w:val="007172FD"/>
    <w:rPr>
      <w:color w:val="0000ff" w:themeColor="hyperlink"/>
      <w:u w:val="single"/>
    </w:rPr>
  </w:style>
  <w:style w:type="paragraph" w:styleId="11table" w:customStyle="1">
    <w:name w:val="1.1 table"/>
    <w:basedOn w:val="Normal"/>
    <w:qFormat w:val="1"/>
    <w:pPr>
      <w:numPr>
        <w:numId w:val="3"/>
      </w:numPr>
      <w:overflowPunct w:val="1"/>
      <w:autoSpaceDE w:val="1"/>
      <w:adjustRightInd w:val="1"/>
      <w:spacing w:after="0"/>
      <w:jc w:val="left"/>
      <w:textAlignment w:val="auto"/>
    </w:pPr>
    <w:rPr>
      <w:rFonts w:cs="Times New Roman" w:eastAsia="STZhongsong"/>
      <w:b w:val="1"/>
      <w:lang w:eastAsia="zh-CN"/>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AnnextoPart" w:customStyle="1">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val="1"/>
    <w:rPr>
      <w:sz w:val="16"/>
      <w:szCs w:val="16"/>
    </w:rPr>
  </w:style>
  <w:style w:type="character" w:styleId="Emphasis">
    <w:name w:val="Emphasis"/>
    <w:basedOn w:val="DefaultParagraphFont"/>
    <w:rPr>
      <w:i w:val="1"/>
      <w:iCs w:val="1"/>
    </w:rPr>
  </w:style>
  <w:style w:type="paragraph" w:styleId="AppendixText6" w:customStyle="1">
    <w:name w:val="Appendix Text 6"/>
    <w:basedOn w:val="AppendixText5"/>
    <w:rsid w:val="000A68B8"/>
    <w:pPr>
      <w:numPr>
        <w:ilvl w:val="5"/>
      </w:numPr>
    </w:p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ind w:left="540" w:hanging="360"/>
      <w:textAlignment w:val="auto"/>
      <w:outlineLvl w:val="1"/>
    </w:pPr>
    <w:rPr>
      <w:rFonts w:eastAsia="STZhongsong"/>
      <w:b w:val="1"/>
      <w:caps w:val="1"/>
      <w:lang w:eastAsia="zh-CN"/>
    </w:rPr>
  </w:style>
  <w:style w:type="paragraph" w:styleId="ScheduleText4" w:customStyle="1">
    <w:name w:val="Schedule Text 4"/>
    <w:basedOn w:val="Normal"/>
    <w:next w:val="Normal"/>
    <w:rsid w:val="00FF2902"/>
    <w:pPr>
      <w:tabs>
        <w:tab w:val="left" w:pos="720"/>
        <w:tab w:val="left" w:pos="1803"/>
        <w:tab w:val="num" w:pos="2880"/>
      </w:tabs>
      <w:overflowPunct w:val="1"/>
      <w:autoSpaceDE w:val="1"/>
      <w:autoSpaceDN w:val="1"/>
      <w:adjustRightInd w:val="1"/>
      <w:spacing w:after="200" w:before="100"/>
      <w:ind w:left="2880" w:hanging="720"/>
      <w:jc w:val="left"/>
      <w:textAlignment w:val="auto"/>
    </w:pPr>
    <w:rPr>
      <w:rFonts w:cs="Times New Roma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Revision">
    <w:name w:val="Revision"/>
    <w:hidden w:val="1"/>
    <w:uiPriority w:val="99"/>
    <w:semiHidden w:val="1"/>
    <w:pPr>
      <w:spacing w:after="0"/>
    </w:pPr>
    <w:rPr>
      <w:rFonts w:eastAsia="Times New Roman"/>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paragraph" w:styleId="AnnexHeading" w:customStyle="1">
    <w:name w:val="Annex Heading"/>
    <w:basedOn w:val="Normal"/>
    <w:next w:val="Normal"/>
    <w:rsid w:val="000A68B8"/>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UnresolvedMention1" w:customStyle="1">
    <w:name w:val="Unresolved Mention1"/>
    <w:basedOn w:val="DefaultParagraphFont"/>
    <w:uiPriority w:val="99"/>
    <w:semiHidden w:val="1"/>
    <w:unhideWhenUsed w:val="1"/>
    <w:rsid w:val="007172FD"/>
    <w:rPr>
      <w:color w:val="605e5c"/>
      <w:shd w:color="auto" w:fill="e1dfdd" w:val="clear"/>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ScheduleText7" w:customStyle="1">
    <w:name w:val="Schedule Text 7"/>
    <w:basedOn w:val="ScheduleText6"/>
    <w:rsid w:val="00FF2902"/>
    <w:pPr>
      <w:numPr>
        <w:ilvl w:val="6"/>
      </w:numPr>
      <w:tabs>
        <w:tab w:val="num" w:pos="3600"/>
      </w:tabs>
      <w:ind w:left="3600" w:hanging="720"/>
    </w:p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numbering" w:styleId="LFO9" w:customStyle="1">
    <w:name w:val="LFO9"/>
    <w:basedOn w:val="NoList"/>
  </w:style>
  <w:style w:type="paragraph" w:styleId="AppendixText1" w:customStyle="1">
    <w:name w:val="Appendix Text 1"/>
    <w:basedOn w:val="Normal"/>
    <w:next w:val="Normal"/>
    <w:rsid w:val="000A68B8"/>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AppendixText2" w:customStyle="1">
    <w:name w:val="Appendix Text 2"/>
    <w:basedOn w:val="AppendixText1"/>
    <w:next w:val="Normal"/>
    <w:rsid w:val="000A68B8"/>
    <w:pPr>
      <w:numPr>
        <w:ilvl w:val="1"/>
      </w:numPr>
      <w:tabs>
        <w:tab w:val="num" w:pos="720"/>
      </w:tabs>
      <w:ind w:left="720" w:hanging="720"/>
    </w:pPr>
    <w:rPr>
      <w:b w:val="0"/>
    </w:rPr>
  </w:style>
  <w:style w:type="paragraph" w:styleId="AppendixText3" w:customStyle="1">
    <w:name w:val="Appendix Text 3"/>
    <w:basedOn w:val="Normal"/>
    <w:next w:val="Normal"/>
    <w:rsid w:val="000A68B8"/>
    <w:pPr>
      <w:numPr>
        <w:ilvl w:val="2"/>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4" w:customStyle="1">
    <w:name w:val="Appendix Text 4"/>
    <w:basedOn w:val="Normal"/>
    <w:next w:val="Normal"/>
    <w:rsid w:val="000A68B8"/>
    <w:pPr>
      <w:numPr>
        <w:ilvl w:val="3"/>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5" w:customStyle="1">
    <w:name w:val="Appendix Text 5"/>
    <w:basedOn w:val="Normal"/>
    <w:next w:val="Normal"/>
    <w:rsid w:val="000A68B8"/>
    <w:pPr>
      <w:numPr>
        <w:ilvl w:val="4"/>
        <w:numId w:val="4"/>
      </w:numPr>
      <w:tabs>
        <w:tab w:val="left" w:pos="720"/>
        <w:tab w:val="left" w:pos="2523"/>
      </w:tabs>
      <w:overflowPunct w:val="1"/>
      <w:autoSpaceDE w:val="1"/>
      <w:autoSpaceDN w:val="1"/>
      <w:adjustRightInd w:val="1"/>
      <w:spacing w:after="200" w:before="100"/>
      <w:jc w:val="left"/>
      <w:textAlignment w:val="auto"/>
    </w:pPr>
    <w:rPr>
      <w:rFonts w:cs="Times New Roman"/>
    </w:rPr>
  </w:style>
  <w:style w:type="paragraph" w:styleId="PartHeading" w:customStyle="1">
    <w:name w:val="Part Heading"/>
    <w:basedOn w:val="Normal"/>
    <w:next w:val="Normal"/>
    <w:rsid w:val="000A68B8"/>
    <w:pPr>
      <w:tabs>
        <w:tab w:val="num" w:pos="720"/>
      </w:tabs>
      <w:overflowPunct w:val="1"/>
      <w:autoSpaceDE w:val="1"/>
      <w:autoSpaceDN w:val="1"/>
      <w:adjustRightInd w:val="1"/>
      <w:spacing w:after="200" w:before="100"/>
      <w:ind w:left="720" w:hanging="720"/>
      <w:jc w:val="center"/>
      <w:textAlignment w:val="auto"/>
    </w:pPr>
    <w:rPr>
      <w:rFonts w:ascii="Arial Bold" w:cs="Times New Roman" w:hAnsi="Arial Bold"/>
      <w:b w:val="1"/>
      <w:caps w:val="1"/>
    </w:rPr>
  </w:style>
  <w:style w:type="table" w:styleId="TableGrid1" w:customStyle="1">
    <w:name w:val="Table Grid1"/>
    <w:basedOn w:val="TableNormal"/>
    <w:next w:val="TableGrid"/>
    <w:uiPriority w:val="59"/>
    <w:rsid w:val="000A68B8"/>
    <w:pPr>
      <w:spacing w:after="0"/>
      <w:jc w:val="left"/>
    </w:pPr>
    <w:rPr>
      <w:rFonts w:cs="Times New Roman" w:eastAsia="Times New Roman"/>
      <w:sz w:val="20"/>
      <w:szCs w:val="20"/>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231BD"/>
    <w:pPr>
      <w:ind w:left="720"/>
      <w:contextualSpacing w:val="1"/>
    </w:pPr>
  </w:style>
  <w:style w:type="table" w:styleId="a" w:customStyle="1">
    <w:basedOn w:val="TableNormal"/>
    <w:pPr>
      <w:spacing w:after="0"/>
      <w:jc w:val="left"/>
    </w:pPr>
    <w:rPr>
      <w:sz w:val="20"/>
      <w:szCs w:val="20"/>
    </w:rPr>
    <w:tblPr>
      <w:tblStyleRowBandSize w:val="1"/>
      <w:tblStyleColBandSize w:val="1"/>
    </w:tblPr>
  </w:style>
  <w:style w:type="paragraph" w:styleId="ScheduleText1" w:customStyle="1">
    <w:name w:val="Schedule Text 1"/>
    <w:basedOn w:val="Normal"/>
    <w:next w:val="Normal"/>
    <w:rsid w:val="00FF2902"/>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ScheduleText2" w:customStyle="1">
    <w:name w:val="Schedule Text 2"/>
    <w:basedOn w:val="ScheduleText1"/>
    <w:next w:val="Normal"/>
    <w:rsid w:val="00FF2902"/>
    <w:pPr>
      <w:numPr>
        <w:ilvl w:val="1"/>
      </w:numPr>
      <w:tabs>
        <w:tab w:val="num" w:pos="720"/>
      </w:tabs>
      <w:ind w:left="720" w:hanging="720"/>
    </w:pPr>
    <w:rPr>
      <w:b w:val="0"/>
    </w:rPr>
  </w:style>
  <w:style w:type="paragraph" w:styleId="ScheduleText3" w:customStyle="1">
    <w:name w:val="Schedule Text 3"/>
    <w:basedOn w:val="Normal"/>
    <w:next w:val="Normal"/>
    <w:rsid w:val="00FF2902"/>
    <w:pPr>
      <w:tabs>
        <w:tab w:val="left" w:pos="720"/>
        <w:tab w:val="left" w:pos="1803"/>
        <w:tab w:val="num" w:pos="2160"/>
      </w:tabs>
      <w:overflowPunct w:val="1"/>
      <w:autoSpaceDE w:val="1"/>
      <w:autoSpaceDN w:val="1"/>
      <w:adjustRightInd w:val="1"/>
      <w:spacing w:after="200" w:before="100"/>
      <w:ind w:left="2160" w:hanging="720"/>
      <w:jc w:val="left"/>
      <w:textAlignment w:val="auto"/>
    </w:pPr>
    <w:rPr>
      <w:rFonts w:cs="Times New Roman"/>
    </w:rPr>
  </w:style>
  <w:style w:type="paragraph" w:styleId="ScheduleText5" w:customStyle="1">
    <w:name w:val="Schedule Text 5"/>
    <w:basedOn w:val="Normal"/>
    <w:next w:val="Normal"/>
    <w:rsid w:val="00FF2902"/>
    <w:pPr>
      <w:tabs>
        <w:tab w:val="left" w:pos="720"/>
        <w:tab w:val="left" w:pos="2523"/>
        <w:tab w:val="num" w:pos="3600"/>
      </w:tabs>
      <w:overflowPunct w:val="1"/>
      <w:autoSpaceDE w:val="1"/>
      <w:autoSpaceDN w:val="1"/>
      <w:adjustRightInd w:val="1"/>
      <w:spacing w:after="200" w:before="100"/>
      <w:ind w:left="3600" w:hanging="720"/>
      <w:jc w:val="left"/>
      <w:textAlignment w:val="auto"/>
    </w:pPr>
    <w:rPr>
      <w:rFonts w:cs="Times New Roman"/>
    </w:rPr>
  </w:style>
  <w:style w:type="paragraph" w:styleId="ScheduleText6" w:customStyle="1">
    <w:name w:val="Schedule Text 6"/>
    <w:basedOn w:val="ScheduleText5"/>
    <w:rsid w:val="00FF2902"/>
    <w:pPr>
      <w:numPr>
        <w:ilvl w:val="5"/>
      </w:numPr>
      <w:tabs>
        <w:tab w:val="num" w:pos="3600"/>
      </w:tabs>
      <w:ind w:left="3600" w:hanging="72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AsTk1gBBQRc36yATeIY80NWxQ==">CgMxLjAyDmguNjZmYzd2ajN5OGxkMghoLmdqZGd4czIJaC4zem55c2g3MgloLjMwajB6bGwyCmlkLjN6bnlzaDcyCWguMWZvYjl0ZTgAaikKFHN1Z2dlc3QuZDdlcjBvbGJieXZ5EhFBbGxhbiBSaWNoYXJkc29uMWopChRzdWdnZXN0LjI4OWRma2FrOTdzaBIRQWxsYW4gUmljaGFyZHNvbjFyITFjaFZKSmVTejFHelRJZ1BJQWRKc0l2YV9vNlc4a2phTA==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