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120" w:before="120" w:lineRule="auto"/>
        <w:jc w:val="left"/>
        <w:rPr>
          <w:b w:val="1"/>
          <w:sz w:val="36"/>
          <w:szCs w:val="36"/>
        </w:rPr>
      </w:pPr>
      <w:r w:rsidDel="00000000" w:rsidR="00000000" w:rsidRPr="00000000">
        <w:rPr>
          <w:b w:val="1"/>
          <w:sz w:val="36"/>
          <w:szCs w:val="36"/>
          <w:rtl w:val="0"/>
        </w:rPr>
        <w:t xml:space="preserve">Joint Schedule 7 (Financial Difficulties)</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1985"/>
        </w:tabs>
        <w:spacing w:after="120" w:before="120" w:lineRule="auto"/>
        <w:jc w:val="left"/>
        <w:rPr>
          <w:highlight w:val="yellow"/>
        </w:rPr>
      </w:pPr>
      <w:bookmarkStart w:colFirst="0" w:colLast="0" w:name="_heading=h.ilx2y8r7v20c" w:id="0"/>
      <w:bookmarkEnd w:id="0"/>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1985"/>
        </w:tabs>
        <w:spacing w:after="120" w:before="120" w:lineRule="auto"/>
        <w:jc w:val="left"/>
        <w:rPr>
          <w:b w:val="1"/>
          <w:i w:val="1"/>
          <w:sz w:val="36"/>
          <w:szCs w:val="36"/>
        </w:rPr>
      </w:pPr>
      <w:r w:rsidDel="00000000" w:rsidR="00000000" w:rsidRPr="00000000">
        <w:rPr>
          <w:b w:val="1"/>
          <w:i w:val="1"/>
          <w:highlight w:val="yellow"/>
          <w:rtl w:val="0"/>
        </w:rPr>
        <w:t xml:space="preserve">[Guidance: This Schedule provides CCS and the Buyer with the option of using Credit Ratings and/or Financial Indicators for the purposes of the Financial Distress Provisions. Buyers may use any combination of these indicators to suit their own requirements subject to the guidance below.]</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left" w:leader="none" w:pos="1985"/>
        </w:tabs>
        <w:spacing w:after="120" w:before="120" w:lineRule="auto"/>
        <w:jc w:val="left"/>
        <w:rPr/>
      </w:pPr>
      <w:r w:rsidDel="00000000" w:rsidR="00000000" w:rsidRPr="00000000">
        <w:rPr>
          <w:rtl w:val="0"/>
        </w:rPr>
      </w:r>
    </w:p>
    <w:p w:rsidR="00000000" w:rsidDel="00000000" w:rsidP="00000000" w:rsidRDefault="00000000" w:rsidRPr="00000000" w14:paraId="00000005">
      <w:pPr>
        <w:keepNext w:val="1"/>
        <w:numPr>
          <w:ilvl w:val="0"/>
          <w:numId w:val="2"/>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r w:rsidDel="00000000" w:rsidR="00000000" w:rsidRPr="00000000">
        <w:rPr>
          <w:b w:val="1"/>
          <w:rtl w:val="0"/>
        </w:rPr>
        <w:t xml:space="preserve">Definitions</w:t>
      </w:r>
    </w:p>
    <w:p w:rsidR="00000000" w:rsidDel="00000000" w:rsidP="00000000" w:rsidRDefault="00000000" w:rsidRPr="00000000" w14:paraId="00000006">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In this Schedule, the following definitions shall apply:</w:t>
      </w:r>
    </w:p>
    <w:tbl>
      <w:tblPr>
        <w:tblStyle w:val="Table1"/>
        <w:tblW w:w="8080.0" w:type="dxa"/>
        <w:jc w:val="left"/>
        <w:tblInd w:w="1134.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261"/>
        <w:gridCol w:w="4819"/>
        <w:tblGridChange w:id="0">
          <w:tblGrid>
            <w:gridCol w:w="3261"/>
            <w:gridCol w:w="4819"/>
          </w:tblGrid>
        </w:tblGridChange>
      </w:tblGrid>
      <w:tr>
        <w:trPr>
          <w:cantSplit w:val="0"/>
          <w:tblHeader w:val="0"/>
        </w:trPr>
        <w:tc>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1134"/>
              </w:tabs>
              <w:spacing w:after="120" w:before="120" w:lineRule="auto"/>
              <w:jc w:val="left"/>
              <w:rPr>
                <w:b w:val="1"/>
                <w:sz w:val="24"/>
                <w:szCs w:val="24"/>
              </w:rPr>
            </w:pPr>
            <w:r w:rsidDel="00000000" w:rsidR="00000000" w:rsidRPr="00000000">
              <w:rPr>
                <w:b w:val="1"/>
                <w:sz w:val="24"/>
                <w:szCs w:val="24"/>
                <w:rtl w:val="0"/>
              </w:rPr>
              <w:t xml:space="preserve">“Applicable Financial Indicators”</w:t>
            </w:r>
          </w:p>
        </w:tc>
        <w:tc>
          <w:tcPr/>
          <w:p w:rsidR="00000000" w:rsidDel="00000000" w:rsidP="00000000" w:rsidRDefault="00000000" w:rsidRPr="00000000" w14:paraId="00000008">
            <w:pPr>
              <w:keepNext w:val="1"/>
              <w:pBdr>
                <w:top w:space="0" w:sz="0" w:val="nil"/>
                <w:left w:space="0" w:sz="0" w:val="nil"/>
                <w:bottom w:space="0" w:sz="0" w:val="nil"/>
                <w:right w:space="0" w:sz="0" w:val="nil"/>
                <w:between w:space="0" w:sz="0" w:val="nil"/>
              </w:pBdr>
              <w:spacing w:after="120" w:before="120" w:lineRule="auto"/>
              <w:jc w:val="left"/>
              <w:rPr>
                <w:smallCaps w:val="1"/>
                <w:sz w:val="24"/>
                <w:szCs w:val="24"/>
              </w:rPr>
            </w:pPr>
            <w:r w:rsidDel="00000000" w:rsidR="00000000" w:rsidRPr="00000000">
              <w:rPr>
                <w:sz w:val="24"/>
                <w:szCs w:val="24"/>
                <w:rtl w:val="0"/>
              </w:rPr>
              <w:t xml:space="preserve">the financial indicators from Paragraph 5.1</w:t>
            </w:r>
            <w:r w:rsidDel="00000000" w:rsidR="00000000" w:rsidRPr="00000000">
              <w:rPr>
                <w:smallCaps w:val="1"/>
                <w:sz w:val="24"/>
                <w:szCs w:val="24"/>
                <w:rtl w:val="0"/>
              </w:rPr>
              <w:t xml:space="preserve"> </w:t>
            </w:r>
            <w:r w:rsidDel="00000000" w:rsidR="00000000" w:rsidRPr="00000000">
              <w:rPr>
                <w:sz w:val="24"/>
                <w:szCs w:val="24"/>
                <w:rtl w:val="0"/>
              </w:rPr>
              <w:t xml:space="preserve">of this Schedule which are to apply to the Monitored Suppliers as set out in Paragraph 5.2 of this Schedule;</w:t>
            </w:r>
            <w:r w:rsidDel="00000000" w:rsidR="00000000" w:rsidRPr="00000000">
              <w:rPr>
                <w:rtl w:val="0"/>
              </w:rPr>
            </w:r>
          </w:p>
        </w:tc>
      </w:tr>
      <w:tr>
        <w:trPr>
          <w:cantSplit w:val="0"/>
          <w:tblHeader w:val="0"/>
        </w:trPr>
        <w:tc>
          <w:tcPr/>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left" w:leader="none" w:pos="1134"/>
              </w:tabs>
              <w:spacing w:after="120" w:before="120" w:lineRule="auto"/>
              <w:jc w:val="left"/>
              <w:rPr>
                <w:b w:val="1"/>
                <w:sz w:val="24"/>
                <w:szCs w:val="24"/>
              </w:rPr>
            </w:pPr>
            <w:r w:rsidDel="00000000" w:rsidR="00000000" w:rsidRPr="00000000">
              <w:rPr>
                <w:b w:val="1"/>
                <w:sz w:val="24"/>
                <w:szCs w:val="24"/>
                <w:rtl w:val="0"/>
              </w:rPr>
              <w:t xml:space="preserve">“Authorised Financial Representative”</w:t>
            </w:r>
          </w:p>
        </w:tc>
        <w:tc>
          <w:tcPr/>
          <w:p w:rsidR="00000000" w:rsidDel="00000000" w:rsidP="00000000" w:rsidRDefault="00000000" w:rsidRPr="00000000" w14:paraId="0000000A">
            <w:pPr>
              <w:keepNext w:val="1"/>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a statutory director of the Supplier or a sufficiently senior member of the Supplier’s management team who has the authority to act on behalf of the Supplier in relation to financial matters;</w:t>
            </w:r>
          </w:p>
        </w:tc>
      </w:tr>
      <w:tr>
        <w:trPr>
          <w:cantSplit w:val="0"/>
          <w:tblHeader w:val="0"/>
        </w:trPr>
        <w:tc>
          <w:tcPr/>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left" w:leader="none" w:pos="1134"/>
              </w:tabs>
              <w:spacing w:after="120" w:before="120" w:lineRule="auto"/>
              <w:ind w:left="644" w:hanging="644"/>
              <w:jc w:val="left"/>
              <w:rPr>
                <w:b w:val="1"/>
                <w:sz w:val="24"/>
                <w:szCs w:val="24"/>
              </w:rPr>
            </w:pPr>
            <w:r w:rsidDel="00000000" w:rsidR="00000000" w:rsidRPr="00000000">
              <w:rPr>
                <w:b w:val="1"/>
                <w:sz w:val="24"/>
                <w:szCs w:val="24"/>
                <w:rtl w:val="0"/>
              </w:rPr>
              <w:t xml:space="preserve">“Board”</w:t>
            </w:r>
          </w:p>
        </w:tc>
        <w:tc>
          <w:tcPr/>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left" w:leader="none" w:pos="1134"/>
              </w:tabs>
              <w:spacing w:after="120" w:before="120" w:lineRule="auto"/>
              <w:jc w:val="left"/>
              <w:rPr>
                <w:sz w:val="24"/>
                <w:szCs w:val="24"/>
              </w:rPr>
            </w:pPr>
            <w:r w:rsidDel="00000000" w:rsidR="00000000" w:rsidRPr="00000000">
              <w:rPr>
                <w:sz w:val="24"/>
                <w:szCs w:val="24"/>
                <w:rtl w:val="0"/>
              </w:rPr>
              <w:t xml:space="preserve">the Supplier’s board of directors;</w:t>
            </w:r>
          </w:p>
        </w:tc>
      </w:tr>
      <w:tr>
        <w:trPr>
          <w:cantSplit w:val="0"/>
          <w:tblHeader w:val="0"/>
        </w:trPr>
        <w:tc>
          <w:tcPr/>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left" w:leader="none" w:pos="1134"/>
              </w:tabs>
              <w:spacing w:after="120" w:before="120" w:lineRule="auto"/>
              <w:jc w:val="left"/>
              <w:rPr>
                <w:b w:val="1"/>
                <w:sz w:val="24"/>
                <w:szCs w:val="24"/>
              </w:rPr>
            </w:pPr>
            <w:r w:rsidDel="00000000" w:rsidR="00000000" w:rsidRPr="00000000">
              <w:rPr>
                <w:b w:val="1"/>
                <w:sz w:val="24"/>
                <w:szCs w:val="24"/>
                <w:rtl w:val="0"/>
              </w:rPr>
              <w:t xml:space="preserve">“Board Confirmation”</w:t>
            </w:r>
          </w:p>
        </w:tc>
        <w:tc>
          <w:tcPr/>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left" w:leader="none" w:pos="1134"/>
              </w:tabs>
              <w:spacing w:after="120" w:before="120" w:lineRule="auto"/>
              <w:jc w:val="left"/>
              <w:rPr>
                <w:sz w:val="24"/>
                <w:szCs w:val="24"/>
              </w:rPr>
            </w:pPr>
            <w:r w:rsidDel="00000000" w:rsidR="00000000" w:rsidRPr="00000000">
              <w:rPr>
                <w:sz w:val="24"/>
                <w:szCs w:val="24"/>
                <w:rtl w:val="0"/>
              </w:rPr>
              <w:t xml:space="preserve">written confirmation from the Board in accordance with Paragraph 8 of this Schedule;</w:t>
            </w:r>
          </w:p>
        </w:tc>
      </w:tr>
      <w:tr>
        <w:trPr>
          <w:cantSplit w:val="0"/>
          <w:tblHeader w:val="0"/>
        </w:trPr>
        <w:tc>
          <w:tcPr/>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1134"/>
              </w:tabs>
              <w:spacing w:after="120" w:before="120" w:lineRule="auto"/>
              <w:jc w:val="left"/>
              <w:rPr>
                <w:b w:val="1"/>
                <w:sz w:val="24"/>
                <w:szCs w:val="24"/>
              </w:rPr>
            </w:pPr>
            <w:r w:rsidDel="00000000" w:rsidR="00000000" w:rsidRPr="00000000">
              <w:rPr>
                <w:b w:val="1"/>
                <w:sz w:val="24"/>
                <w:szCs w:val="24"/>
                <w:rtl w:val="0"/>
              </w:rPr>
              <w:t xml:space="preserve">“Cabinet Office Markets and Suppliers Team”</w:t>
            </w:r>
          </w:p>
        </w:tc>
        <w:tc>
          <w:tcPr/>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left" w:leader="none" w:pos="1134"/>
              </w:tabs>
              <w:spacing w:after="120" w:before="120" w:lineRule="auto"/>
              <w:jc w:val="left"/>
              <w:rPr>
                <w:sz w:val="24"/>
                <w:szCs w:val="24"/>
              </w:rPr>
            </w:pPr>
            <w:r w:rsidDel="00000000" w:rsidR="00000000" w:rsidRPr="00000000">
              <w:rPr>
                <w:sz w:val="24"/>
                <w:szCs w:val="24"/>
                <w:rtl w:val="0"/>
              </w:rPr>
              <w:t xml:space="preserve">the UK Government’s team responsible for managing the relationship between government and its Strategic Suppliers, or any replacement or successor body carrying out the same function;</w:t>
            </w:r>
          </w:p>
        </w:tc>
      </w:tr>
      <w:tr>
        <w:trPr>
          <w:cantSplit w:val="0"/>
          <w:tblHeader w:val="0"/>
        </w:trPr>
        <w:tc>
          <w:tcPr/>
          <w:p w:rsidR="00000000" w:rsidDel="00000000" w:rsidP="00000000" w:rsidRDefault="00000000" w:rsidRPr="00000000" w14:paraId="00000011">
            <w:pPr>
              <w:pBdr>
                <w:top w:space="0" w:sz="0" w:val="nil"/>
                <w:left w:space="0" w:sz="0" w:val="nil"/>
                <w:bottom w:space="0" w:sz="0" w:val="nil"/>
                <w:right w:space="0" w:sz="0" w:val="nil"/>
                <w:between w:space="0" w:sz="0" w:val="nil"/>
              </w:pBdr>
              <w:tabs>
                <w:tab w:val="left" w:leader="none" w:pos="1134"/>
              </w:tabs>
              <w:spacing w:after="120" w:before="120" w:lineRule="auto"/>
              <w:jc w:val="left"/>
              <w:rPr>
                <w:b w:val="1"/>
                <w:sz w:val="24"/>
                <w:szCs w:val="24"/>
              </w:rPr>
            </w:pPr>
            <w:r w:rsidDel="00000000" w:rsidR="00000000" w:rsidRPr="00000000">
              <w:rPr>
                <w:b w:val="1"/>
                <w:sz w:val="24"/>
                <w:szCs w:val="24"/>
                <w:rtl w:val="0"/>
              </w:rPr>
              <w:t xml:space="preserve">“Credit Rating Threshold”</w:t>
            </w:r>
          </w:p>
        </w:tc>
        <w:tc>
          <w:tcPr/>
          <w:p w:rsidR="00000000" w:rsidDel="00000000" w:rsidP="00000000" w:rsidRDefault="00000000" w:rsidRPr="00000000" w14:paraId="00000012">
            <w:pPr>
              <w:pBdr>
                <w:top w:space="0" w:sz="0" w:val="nil"/>
                <w:left w:space="0" w:sz="0" w:val="nil"/>
                <w:bottom w:space="0" w:sz="0" w:val="nil"/>
                <w:right w:space="0" w:sz="0" w:val="nil"/>
                <w:between w:space="0" w:sz="0" w:val="nil"/>
              </w:pBdr>
              <w:tabs>
                <w:tab w:val="left" w:leader="none" w:pos="1134"/>
              </w:tabs>
              <w:spacing w:after="120" w:before="120" w:lineRule="auto"/>
              <w:jc w:val="left"/>
              <w:rPr>
                <w:sz w:val="24"/>
                <w:szCs w:val="24"/>
              </w:rPr>
            </w:pPr>
            <w:r w:rsidDel="00000000" w:rsidR="00000000" w:rsidRPr="00000000">
              <w:rPr>
                <w:sz w:val="24"/>
                <w:szCs w:val="24"/>
                <w:rtl w:val="0"/>
              </w:rPr>
              <w:t xml:space="preserve">the minimum credit rating level for each entity in the FDE Group as set out in Annex 1 to this Schedule;</w:t>
            </w:r>
          </w:p>
        </w:tc>
      </w:tr>
      <w:tr>
        <w:trPr>
          <w:cantSplit w:val="0"/>
          <w:tblHeader w:val="0"/>
        </w:trPr>
        <w:tc>
          <w:tcPr/>
          <w:p w:rsidR="00000000" w:rsidDel="00000000" w:rsidP="00000000" w:rsidRDefault="00000000" w:rsidRPr="00000000" w14:paraId="00000013">
            <w:pPr>
              <w:pBdr>
                <w:top w:space="0" w:sz="0" w:val="nil"/>
                <w:left w:space="0" w:sz="0" w:val="nil"/>
                <w:bottom w:space="0" w:sz="0" w:val="nil"/>
                <w:right w:space="0" w:sz="0" w:val="nil"/>
                <w:between w:space="0" w:sz="0" w:val="nil"/>
              </w:pBdr>
              <w:tabs>
                <w:tab w:val="left" w:leader="none" w:pos="1134"/>
              </w:tabs>
              <w:spacing w:after="120" w:before="120" w:lineRule="auto"/>
              <w:ind w:left="644" w:hanging="644"/>
              <w:jc w:val="left"/>
              <w:rPr>
                <w:b w:val="1"/>
                <w:sz w:val="24"/>
                <w:szCs w:val="24"/>
              </w:rPr>
            </w:pPr>
            <w:r w:rsidDel="00000000" w:rsidR="00000000" w:rsidRPr="00000000">
              <w:rPr>
                <w:b w:val="1"/>
                <w:sz w:val="24"/>
                <w:szCs w:val="24"/>
                <w:rtl w:val="0"/>
              </w:rPr>
              <w:t xml:space="preserve">“FDE Group”</w:t>
            </w:r>
          </w:p>
        </w:tc>
        <w:tc>
          <w:tcPr/>
          <w:p w:rsidR="00000000" w:rsidDel="00000000" w:rsidP="00000000" w:rsidRDefault="00000000" w:rsidRPr="00000000" w14:paraId="00000014">
            <w:pPr>
              <w:pBdr>
                <w:top w:space="0" w:sz="0" w:val="nil"/>
                <w:left w:space="0" w:sz="0" w:val="nil"/>
                <w:bottom w:space="0" w:sz="0" w:val="nil"/>
                <w:right w:space="0" w:sz="0" w:val="nil"/>
                <w:between w:space="0" w:sz="0" w:val="nil"/>
              </w:pBdr>
              <w:tabs>
                <w:tab w:val="left" w:leader="none" w:pos="1134"/>
              </w:tabs>
              <w:spacing w:after="120" w:before="120" w:lineRule="auto"/>
              <w:jc w:val="left"/>
              <w:rPr>
                <w:sz w:val="24"/>
                <w:szCs w:val="24"/>
              </w:rPr>
            </w:pPr>
            <w:r w:rsidDel="00000000" w:rsidR="00000000" w:rsidRPr="00000000">
              <w:rPr>
                <w:sz w:val="24"/>
                <w:szCs w:val="24"/>
                <w:rtl w:val="0"/>
              </w:rPr>
              <w:t xml:space="preserve">the </w:t>
            </w:r>
            <w:r w:rsidDel="00000000" w:rsidR="00000000" w:rsidRPr="00000000">
              <w:rPr>
                <w:sz w:val="24"/>
                <w:szCs w:val="24"/>
                <w:highlight w:val="yellow"/>
                <w:rtl w:val="0"/>
              </w:rPr>
              <w:t xml:space="preserve">[Supplier, Key Sub-contractors, [the Guarantor] and the [Monitored Suppliers]];</w:t>
            </w:r>
            <w:r w:rsidDel="00000000" w:rsidR="00000000" w:rsidRPr="00000000">
              <w:rPr>
                <w:rtl w:val="0"/>
              </w:rPr>
            </w:r>
          </w:p>
        </w:tc>
      </w:tr>
      <w:tr>
        <w:trPr>
          <w:cantSplit w:val="0"/>
          <w:tblHeader w:val="0"/>
        </w:trPr>
        <w:tc>
          <w:tcPr/>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left" w:leader="none" w:pos="1134"/>
              </w:tabs>
              <w:spacing w:after="120" w:before="120" w:lineRule="auto"/>
              <w:jc w:val="left"/>
              <w:rPr>
                <w:b w:val="1"/>
                <w:sz w:val="24"/>
                <w:szCs w:val="24"/>
              </w:rPr>
            </w:pPr>
            <w:r w:rsidDel="00000000" w:rsidR="00000000" w:rsidRPr="00000000">
              <w:rPr>
                <w:b w:val="1"/>
                <w:sz w:val="24"/>
                <w:szCs w:val="24"/>
                <w:rtl w:val="0"/>
              </w:rPr>
              <w:t xml:space="preserve">“Financial Distress Event”</w:t>
            </w:r>
          </w:p>
        </w:tc>
        <w:tc>
          <w:tcPr/>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left" w:leader="none" w:pos="1134"/>
              </w:tabs>
              <w:spacing w:after="120" w:before="120" w:lineRule="auto"/>
              <w:jc w:val="left"/>
              <w:rPr>
                <w:sz w:val="24"/>
                <w:szCs w:val="24"/>
              </w:rPr>
            </w:pPr>
            <w:r w:rsidDel="00000000" w:rsidR="00000000" w:rsidRPr="00000000">
              <w:rPr>
                <w:sz w:val="24"/>
                <w:szCs w:val="24"/>
                <w:rtl w:val="0"/>
              </w:rPr>
              <w:t xml:space="preserve">any of the events listed in Paragraph 3.1 of this Schedule;</w:t>
            </w:r>
          </w:p>
        </w:tc>
      </w:tr>
      <w:tr>
        <w:trPr>
          <w:cantSplit w:val="0"/>
          <w:tblHeader w:val="0"/>
        </w:trPr>
        <w:tc>
          <w:tcPr/>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left" w:leader="none" w:pos="1134"/>
              </w:tabs>
              <w:spacing w:after="120" w:before="120" w:lineRule="auto"/>
              <w:jc w:val="left"/>
              <w:rPr>
                <w:b w:val="1"/>
                <w:sz w:val="24"/>
                <w:szCs w:val="24"/>
              </w:rPr>
            </w:pPr>
            <w:r w:rsidDel="00000000" w:rsidR="00000000" w:rsidRPr="00000000">
              <w:rPr>
                <w:b w:val="1"/>
                <w:sz w:val="24"/>
                <w:szCs w:val="24"/>
                <w:rtl w:val="0"/>
              </w:rPr>
              <w:t xml:space="preserve">“Financial Distress Remediation Plan”</w:t>
            </w:r>
          </w:p>
        </w:tc>
        <w:tc>
          <w:tcPr/>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left" w:leader="none" w:pos="1134"/>
              </w:tabs>
              <w:spacing w:after="120" w:before="120" w:lineRule="auto"/>
              <w:jc w:val="left"/>
              <w:rPr>
                <w:sz w:val="24"/>
                <w:szCs w:val="24"/>
              </w:rPr>
            </w:pPr>
            <w:r w:rsidDel="00000000" w:rsidR="00000000" w:rsidRPr="00000000">
              <w:rPr>
                <w:sz w:val="24"/>
                <w:szCs w:val="24"/>
                <w:rtl w:val="0"/>
              </w:rPr>
              <w:t xml:space="preserve">a plan setting out how the Supplier will ensure the continued performance and delivery of the Deliverables in accordance with the Contract in the event that a Financial Distress Event occurs;</w:t>
            </w:r>
          </w:p>
        </w:tc>
      </w:tr>
      <w:tr>
        <w:trPr>
          <w:cantSplit w:val="0"/>
          <w:tblHeader w:val="0"/>
        </w:trPr>
        <w:tc>
          <w:tcPr/>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left" w:leader="none" w:pos="1134"/>
              </w:tabs>
              <w:spacing w:after="120" w:before="120" w:lineRule="auto"/>
              <w:jc w:val="left"/>
              <w:rPr>
                <w:b w:val="1"/>
                <w:sz w:val="24"/>
                <w:szCs w:val="24"/>
              </w:rPr>
            </w:pPr>
            <w:bookmarkStart w:colFirst="0" w:colLast="0" w:name="_heading=h.3dy6vkm" w:id="1"/>
            <w:bookmarkEnd w:id="1"/>
            <w:r w:rsidDel="00000000" w:rsidR="00000000" w:rsidRPr="00000000">
              <w:rPr>
                <w:b w:val="1"/>
                <w:sz w:val="24"/>
                <w:szCs w:val="24"/>
                <w:rtl w:val="0"/>
              </w:rPr>
              <w:t xml:space="preserve">“Financial Indicators”</w:t>
            </w:r>
          </w:p>
        </w:tc>
        <w:tc>
          <w:tcPr/>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left" w:leader="none" w:pos="1134"/>
              </w:tabs>
              <w:spacing w:after="120" w:before="120" w:lineRule="auto"/>
              <w:jc w:val="left"/>
              <w:rPr>
                <w:sz w:val="24"/>
                <w:szCs w:val="24"/>
              </w:rPr>
            </w:pPr>
            <w:r w:rsidDel="00000000" w:rsidR="00000000" w:rsidRPr="00000000">
              <w:rPr>
                <w:sz w:val="24"/>
                <w:szCs w:val="24"/>
                <w:rtl w:val="0"/>
              </w:rPr>
              <w:t xml:space="preserve">in respect of the Supplier, Key Sub-contractors and the Guarantor, means each of the financial indicators set out at Paragraph 5.1 of this Schedule and in respect of each Monitored Supplier, means those Applicable Financial Indicators;</w:t>
            </w:r>
          </w:p>
        </w:tc>
      </w:tr>
      <w:tr>
        <w:trPr>
          <w:cantSplit w:val="0"/>
          <w:tblHeader w:val="0"/>
        </w:trPr>
        <w:tc>
          <w:tcPr/>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left" w:leader="none" w:pos="1134"/>
              </w:tabs>
              <w:spacing w:after="120" w:before="120" w:lineRule="auto"/>
              <w:jc w:val="left"/>
              <w:rPr>
                <w:b w:val="1"/>
                <w:sz w:val="24"/>
                <w:szCs w:val="24"/>
              </w:rPr>
            </w:pPr>
            <w:r w:rsidDel="00000000" w:rsidR="00000000" w:rsidRPr="00000000">
              <w:rPr>
                <w:b w:val="1"/>
                <w:sz w:val="24"/>
                <w:szCs w:val="24"/>
                <w:rtl w:val="0"/>
              </w:rPr>
              <w:t xml:space="preserve">“Financial Target Thresholds”</w:t>
            </w:r>
          </w:p>
        </w:tc>
        <w:tc>
          <w:tcPr/>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left" w:leader="none" w:pos="1134"/>
              </w:tabs>
              <w:spacing w:after="120" w:before="120" w:lineRule="auto"/>
              <w:jc w:val="left"/>
              <w:rPr>
                <w:sz w:val="24"/>
                <w:szCs w:val="24"/>
              </w:rPr>
            </w:pPr>
            <w:r w:rsidDel="00000000" w:rsidR="00000000" w:rsidRPr="00000000">
              <w:rPr>
                <w:sz w:val="24"/>
                <w:szCs w:val="24"/>
                <w:rtl w:val="0"/>
              </w:rPr>
              <w:t xml:space="preserve">the target thresholds for each of the Financial Indicators set out at Paragraph 5.1 of this Schedule;</w:t>
            </w:r>
          </w:p>
        </w:tc>
      </w:tr>
      <w:tr>
        <w:trPr>
          <w:cantSplit w:val="0"/>
          <w:tblHeader w:val="0"/>
        </w:trPr>
        <w:tc>
          <w:tcPr/>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left" w:leader="none" w:pos="1134"/>
              </w:tabs>
              <w:spacing w:after="120" w:before="120" w:lineRule="auto"/>
              <w:jc w:val="left"/>
              <w:rPr>
                <w:b w:val="1"/>
                <w:sz w:val="24"/>
                <w:szCs w:val="24"/>
              </w:rPr>
            </w:pPr>
            <w:r w:rsidDel="00000000" w:rsidR="00000000" w:rsidRPr="00000000">
              <w:rPr>
                <w:b w:val="1"/>
                <w:sz w:val="24"/>
                <w:szCs w:val="24"/>
                <w:rtl w:val="0"/>
              </w:rPr>
              <w:t xml:space="preserve">“Monitored Suppliers”</w:t>
            </w:r>
          </w:p>
        </w:tc>
        <w:tc>
          <w:tcPr/>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left" w:leader="none" w:pos="1134"/>
              </w:tabs>
              <w:spacing w:after="120" w:before="120" w:lineRule="auto"/>
              <w:jc w:val="left"/>
              <w:rPr>
                <w:sz w:val="24"/>
                <w:szCs w:val="24"/>
              </w:rPr>
            </w:pPr>
            <w:r w:rsidDel="00000000" w:rsidR="00000000" w:rsidRPr="00000000">
              <w:rPr>
                <w:sz w:val="24"/>
                <w:szCs w:val="24"/>
                <w:rtl w:val="0"/>
              </w:rPr>
              <w:t xml:space="preserve">those entities specified at Paragraph 5.2 of this Schedule;</w:t>
            </w:r>
          </w:p>
        </w:tc>
      </w:tr>
      <w:tr>
        <w:trPr>
          <w:cantSplit w:val="0"/>
          <w:tblHeader w:val="0"/>
        </w:trPr>
        <w:tc>
          <w:tcPr/>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left" w:leader="none" w:pos="1134"/>
              </w:tabs>
              <w:spacing w:after="120" w:before="120" w:lineRule="auto"/>
              <w:ind w:left="644" w:hanging="644"/>
              <w:jc w:val="left"/>
              <w:rPr>
                <w:b w:val="1"/>
                <w:sz w:val="24"/>
                <w:szCs w:val="24"/>
              </w:rPr>
            </w:pPr>
            <w:r w:rsidDel="00000000" w:rsidR="00000000" w:rsidRPr="00000000">
              <w:rPr>
                <w:b w:val="1"/>
                <w:sz w:val="24"/>
                <w:szCs w:val="24"/>
                <w:rtl w:val="0"/>
              </w:rPr>
              <w:t xml:space="preserve">“Rating Agencies”</w:t>
            </w:r>
          </w:p>
        </w:tc>
        <w:tc>
          <w:tcPr/>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left" w:leader="none" w:pos="1134"/>
              </w:tabs>
              <w:spacing w:after="120" w:before="120" w:lineRule="auto"/>
              <w:jc w:val="left"/>
              <w:rPr>
                <w:sz w:val="24"/>
                <w:szCs w:val="24"/>
              </w:rPr>
            </w:pPr>
            <w:r w:rsidDel="00000000" w:rsidR="00000000" w:rsidRPr="00000000">
              <w:rPr>
                <w:sz w:val="24"/>
                <w:szCs w:val="24"/>
                <w:rtl w:val="0"/>
              </w:rPr>
              <w:t xml:space="preserve">the rating agencies listed in Annex 1 of this Schedule; and</w:t>
            </w:r>
          </w:p>
        </w:tc>
      </w:tr>
      <w:tr>
        <w:trPr>
          <w:cantSplit w:val="0"/>
          <w:tblHeader w:val="0"/>
        </w:trPr>
        <w:tc>
          <w:tcPr/>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left" w:leader="none" w:pos="1134"/>
              </w:tabs>
              <w:spacing w:after="120" w:before="120" w:lineRule="auto"/>
              <w:ind w:left="644" w:hanging="644"/>
              <w:jc w:val="left"/>
              <w:rPr>
                <w:b w:val="1"/>
                <w:sz w:val="24"/>
                <w:szCs w:val="24"/>
              </w:rPr>
            </w:pPr>
            <w:r w:rsidDel="00000000" w:rsidR="00000000" w:rsidRPr="00000000">
              <w:rPr>
                <w:b w:val="1"/>
                <w:sz w:val="24"/>
                <w:szCs w:val="24"/>
                <w:rtl w:val="0"/>
              </w:rPr>
              <w:t xml:space="preserve">“Strategic Supplier”</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1134"/>
              </w:tabs>
              <w:spacing w:after="120" w:before="120" w:lineRule="auto"/>
              <w:jc w:val="left"/>
              <w:rPr>
                <w:sz w:val="24"/>
                <w:szCs w:val="24"/>
              </w:rPr>
            </w:pPr>
            <w:r w:rsidDel="00000000" w:rsidR="00000000" w:rsidRPr="00000000">
              <w:rPr>
                <w:sz w:val="24"/>
                <w:szCs w:val="24"/>
                <w:rtl w:val="0"/>
              </w:rPr>
              <w:t xml:space="preserve">those suppliers to government listed at </w:t>
            </w:r>
            <w:hyperlink r:id="rId7">
              <w:r w:rsidDel="00000000" w:rsidR="00000000" w:rsidRPr="00000000">
                <w:rPr>
                  <w:sz w:val="24"/>
                  <w:szCs w:val="24"/>
                  <w:rtl w:val="0"/>
                </w:rPr>
                <w:t xml:space="preserve">https://www.gov.uk/government/publications/strategic-suppliers</w:t>
              </w:r>
            </w:hyperlink>
            <w:r w:rsidDel="00000000" w:rsidR="00000000" w:rsidRPr="00000000">
              <w:rPr>
                <w:sz w:val="24"/>
                <w:szCs w:val="24"/>
                <w:rtl w:val="0"/>
              </w:rPr>
              <w:t xml:space="preserve">.</w:t>
            </w:r>
          </w:p>
        </w:tc>
      </w:tr>
    </w:tbl>
    <w:p w:rsidR="00000000" w:rsidDel="00000000" w:rsidP="00000000" w:rsidRDefault="00000000" w:rsidRPr="00000000" w14:paraId="00000023">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Parties shall comply with the provisions of this Schedule in relation to the assessment of the financial standing of the FDE Group and the consequences of a change to that financial standing.</w:t>
      </w:r>
    </w:p>
    <w:p w:rsidR="00000000" w:rsidDel="00000000" w:rsidP="00000000" w:rsidRDefault="00000000" w:rsidRPr="00000000" w14:paraId="00000024">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terms of this Schedule shall survive: </w:t>
      </w:r>
    </w:p>
    <w:p w:rsidR="00000000" w:rsidDel="00000000" w:rsidP="00000000" w:rsidRDefault="00000000" w:rsidRPr="00000000" w14:paraId="00000025">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rsidR="00000000" w:rsidDel="00000000" w:rsidP="00000000" w:rsidRDefault="00000000" w:rsidRPr="00000000" w14:paraId="00000026">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under the Call-Off Contract until the termination or expiry of the Call-Off Contract.</w:t>
      </w:r>
    </w:p>
    <w:p w:rsidR="00000000" w:rsidDel="00000000" w:rsidP="00000000" w:rsidRDefault="00000000" w:rsidRPr="00000000" w14:paraId="00000027">
      <w:pPr>
        <w:keepNext w:val="1"/>
        <w:numPr>
          <w:ilvl w:val="0"/>
          <w:numId w:val="2"/>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bookmarkStart w:colFirst="0" w:colLast="0" w:name="_heading=h.p8fdkvj8ou88" w:id="2"/>
      <w:bookmarkEnd w:id="2"/>
      <w:r w:rsidDel="00000000" w:rsidR="00000000" w:rsidRPr="00000000">
        <w:rPr>
          <w:b w:val="1"/>
          <w:rtl w:val="0"/>
        </w:rPr>
        <w:t xml:space="preserve">Warranties and duty to notify</w:t>
      </w:r>
    </w:p>
    <w:p w:rsidR="00000000" w:rsidDel="00000000" w:rsidP="00000000" w:rsidRDefault="00000000" w:rsidRPr="00000000" w14:paraId="00000028">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warrants and represents to the Relevant Authority for the benefit of the Relevant Authority that as at the Effective Date:</w:t>
      </w:r>
    </w:p>
    <w:p w:rsidR="00000000" w:rsidDel="00000000" w:rsidP="00000000" w:rsidRDefault="00000000" w:rsidRPr="00000000" w14:paraId="00000029">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the long term credit ratings issued for each entity in the FDE Group by each of the Rating Agencies are as set out in Annex 2 to this Schedule; and</w:t>
      </w:r>
    </w:p>
    <w:p w:rsidR="00000000" w:rsidDel="00000000" w:rsidP="00000000" w:rsidRDefault="00000000" w:rsidRPr="00000000" w14:paraId="0000002A">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the financial position or, as appropriate, the financial performance of each of the Supplier, Guarantor and Key Sub-contractors satisfies the Financial Target Thresholds.</w:t>
      </w:r>
    </w:p>
    <w:p w:rsidR="00000000" w:rsidDel="00000000" w:rsidP="00000000" w:rsidRDefault="00000000" w:rsidRPr="00000000" w14:paraId="0000002B">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rsidR="00000000" w:rsidDel="00000000" w:rsidP="00000000" w:rsidRDefault="00000000" w:rsidRPr="00000000" w14:paraId="0000002C">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w:t>
      </w:r>
    </w:p>
    <w:p w:rsidR="00000000" w:rsidDel="00000000" w:rsidP="00000000" w:rsidRDefault="00000000" w:rsidRPr="00000000" w14:paraId="0000002D">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regularly monitor the credit ratings of each entity in the FDE Group with the Rating Agencies;</w:t>
      </w:r>
    </w:p>
    <w:p w:rsidR="00000000" w:rsidDel="00000000" w:rsidP="00000000" w:rsidRDefault="00000000" w:rsidRPr="00000000" w14:paraId="0000002E">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bookmarkStart w:colFirst="0" w:colLast="0" w:name="_heading=h.s5bbvamwttk3" w:id="3"/>
      <w:bookmarkEnd w:id="3"/>
      <w:r w:rsidDel="00000000" w:rsidR="00000000" w:rsidRPr="00000000">
        <w:rPr>
          <w:rtl w:val="0"/>
        </w:rPr>
        <w:t xml:space="preserve">monitor and report on the Financial Indicators for each entity in the FDE Group against the Financial Target Thresholds at least at the frequency set out for each at Paragraph 5.1 (where specified) and in any event, on a regular basis and no less than once a year within one hundred and twenty (120) days after the Accounting Reference Date; and</w:t>
      </w:r>
    </w:p>
    <w:p w:rsidR="00000000" w:rsidDel="00000000" w:rsidP="00000000" w:rsidRDefault="00000000" w:rsidRPr="00000000" w14:paraId="0000002F">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bookmarkStart w:colFirst="0" w:colLast="0" w:name="_heading=h.yn1vwnhrjp7t" w:id="4"/>
      <w:bookmarkEnd w:id="4"/>
      <w:r w:rsidDel="00000000" w:rsidR="00000000" w:rsidRPr="00000000">
        <w:rPr>
          <w:rtl w:val="0"/>
        </w:rPr>
        <w:t xml:space="preserve">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rsidR="00000000" w:rsidDel="00000000" w:rsidP="00000000" w:rsidRDefault="00000000" w:rsidRPr="00000000" w14:paraId="00000030">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For the purposes of determining whether a Financial Distress Event has occurred pursuant to the provisions of Paragraph 3.1.1, and for the purposes of determining relief under Paragraph 7.1, the credit rating of an FDE Group entity shall be deemed to have dropped below the applicable Credit Rating Threshold if:</w:t>
      </w:r>
    </w:p>
    <w:p w:rsidR="00000000" w:rsidDel="00000000" w:rsidP="00000000" w:rsidRDefault="00000000" w:rsidRPr="00000000" w14:paraId="00000031">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color w:val="000000"/>
        </w:rPr>
      </w:pPr>
      <w:r w:rsidDel="00000000" w:rsidR="00000000" w:rsidRPr="00000000">
        <w:rPr>
          <w:color w:val="000000"/>
          <w:rtl w:val="0"/>
        </w:rPr>
        <w:t xml:space="preserve">any of the Rating Agencies have rated that entity at or below the applicable Credit Rating Threshold; or</w:t>
      </w:r>
    </w:p>
    <w:p w:rsidR="00000000" w:rsidDel="00000000" w:rsidP="00000000" w:rsidRDefault="00000000" w:rsidRPr="00000000" w14:paraId="00000032">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color w:val="000000"/>
        </w:rPr>
      </w:pPr>
      <w:r w:rsidDel="00000000" w:rsidR="00000000" w:rsidRPr="00000000">
        <w:rPr>
          <w:color w:val="000000"/>
          <w:rtl w:val="0"/>
        </w:rPr>
        <w:t xml:space="preserve">a Rating Agency that is specified as holding a Credit Rating for an entity as set out at Annex 2 of this Schedule ceases to hold a Credit Rating for that entity.</w:t>
      </w:r>
    </w:p>
    <w:p w:rsidR="00000000" w:rsidDel="00000000" w:rsidP="00000000" w:rsidRDefault="00000000" w:rsidRPr="00000000" w14:paraId="00000033">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Each report submitted by the Supplier pursuant to Paragraph 2.3.2 shall:</w:t>
      </w:r>
    </w:p>
    <w:p w:rsidR="00000000" w:rsidDel="00000000" w:rsidP="00000000" w:rsidRDefault="00000000" w:rsidRPr="00000000" w14:paraId="00000034">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be a single report with separate sections for each of the FDE Group entities;</w:t>
      </w:r>
    </w:p>
    <w:p w:rsidR="00000000" w:rsidDel="00000000" w:rsidP="00000000" w:rsidRDefault="00000000" w:rsidRPr="00000000" w14:paraId="00000035">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contain a sufficient level of information to enable the Relevant Authority to verify the calculations that have been made in respect of the Financial Indicators;</w:t>
      </w:r>
    </w:p>
    <w:p w:rsidR="00000000" w:rsidDel="00000000" w:rsidP="00000000" w:rsidRDefault="00000000" w:rsidRPr="00000000" w14:paraId="00000036">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include key financial and other supporting information (including any accounts data that has been relied on) as separate annexes;</w:t>
      </w:r>
    </w:p>
    <w:p w:rsidR="00000000" w:rsidDel="00000000" w:rsidP="00000000" w:rsidRDefault="00000000" w:rsidRPr="00000000" w14:paraId="00000037">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rsidR="00000000" w:rsidDel="00000000" w:rsidP="00000000" w:rsidRDefault="00000000" w:rsidRPr="00000000" w14:paraId="00000038">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include a history of the Financial Indicators reported by the Supplier in graph form to enable the Relevant Authority to easily analyse and assess the trends in financial performance.</w:t>
      </w:r>
    </w:p>
    <w:p w:rsidR="00000000" w:rsidDel="00000000" w:rsidP="00000000" w:rsidRDefault="00000000" w:rsidRPr="00000000" w14:paraId="00000039">
      <w:pPr>
        <w:keepNext w:val="1"/>
        <w:numPr>
          <w:ilvl w:val="0"/>
          <w:numId w:val="2"/>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r w:rsidDel="00000000" w:rsidR="00000000" w:rsidRPr="00000000">
        <w:rPr>
          <w:b w:val="1"/>
          <w:rtl w:val="0"/>
        </w:rPr>
        <w:t xml:space="preserve">Financial Distress events</w:t>
      </w:r>
    </w:p>
    <w:p w:rsidR="00000000" w:rsidDel="00000000" w:rsidP="00000000" w:rsidRDefault="00000000" w:rsidRPr="00000000" w14:paraId="0000003A">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6h7sm4oqrixw" w:id="5"/>
      <w:bookmarkEnd w:id="5"/>
      <w:r w:rsidDel="00000000" w:rsidR="00000000" w:rsidRPr="00000000">
        <w:rPr>
          <w:rtl w:val="0"/>
        </w:rPr>
        <w:t xml:space="preserve">The following shall be Financial Distress Events:</w:t>
      </w:r>
    </w:p>
    <w:p w:rsidR="00000000" w:rsidDel="00000000" w:rsidP="00000000" w:rsidRDefault="00000000" w:rsidRPr="00000000" w14:paraId="0000003B">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bookmarkStart w:colFirst="0" w:colLast="0" w:name="_heading=h.hte58lrmsqzv" w:id="6"/>
      <w:bookmarkEnd w:id="6"/>
      <w:r w:rsidDel="00000000" w:rsidR="00000000" w:rsidRPr="00000000">
        <w:rPr>
          <w:rtl w:val="0"/>
        </w:rPr>
        <w:t xml:space="preserve">the credit rating of an FDE Group entity dropping below the applicable Credit Rating Threshold;</w:t>
      </w:r>
    </w:p>
    <w:p w:rsidR="00000000" w:rsidDel="00000000" w:rsidP="00000000" w:rsidRDefault="00000000" w:rsidRPr="00000000" w14:paraId="0000003C">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bookmarkStart w:colFirst="0" w:colLast="0" w:name="_heading=h.31bs59onwhrf" w:id="7"/>
      <w:bookmarkEnd w:id="7"/>
      <w:r w:rsidDel="00000000" w:rsidR="00000000" w:rsidRPr="00000000">
        <w:rPr>
          <w:rtl w:val="0"/>
        </w:rPr>
        <w:t xml:space="preserve">an FDE Group entity issuing a profits warning to a stock exchange or making any other public announcement, in each case about a material deterioration in its financial position or prospects;</w:t>
      </w:r>
    </w:p>
    <w:p w:rsidR="00000000" w:rsidDel="00000000" w:rsidP="00000000" w:rsidRDefault="00000000" w:rsidRPr="00000000" w14:paraId="0000003D">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there being a public investigation into improper financial accounting and reporting, suspected fraud or any other impropriety of an FDE Group entity;</w:t>
      </w:r>
    </w:p>
    <w:p w:rsidR="00000000" w:rsidDel="00000000" w:rsidP="00000000" w:rsidRDefault="00000000" w:rsidRPr="00000000" w14:paraId="0000003E">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an FDE Group entity committing a material breach of covenant to its lenders;</w:t>
      </w:r>
    </w:p>
    <w:p w:rsidR="00000000" w:rsidDel="00000000" w:rsidP="00000000" w:rsidRDefault="00000000" w:rsidRPr="00000000" w14:paraId="0000003F">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bookmarkStart w:colFirst="0" w:colLast="0" w:name="_heading=h.27bf62hec55v" w:id="8"/>
      <w:bookmarkEnd w:id="8"/>
      <w:r w:rsidDel="00000000" w:rsidR="00000000" w:rsidRPr="00000000">
        <w:rPr>
          <w:rtl w:val="0"/>
        </w:rPr>
        <w:t xml:space="preserve">a Key Sub-contractor notifying CCS or the Buyer that the Supplier has not satisfied any material sums properly due under a specified invoice and not subject to a genuine dispute;</w:t>
      </w:r>
    </w:p>
    <w:p w:rsidR="00000000" w:rsidDel="00000000" w:rsidP="00000000" w:rsidRDefault="00000000" w:rsidRPr="00000000" w14:paraId="00000040">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any FDE Group entity extends the filing period for filing its accounts with the Registrar of Companies so that the filing period ends more than 9 months after its accounting reference date without an explanation to the Authority which the Authority (acting reasonably) considers to be adequate;</w:t>
      </w:r>
    </w:p>
    <w:p w:rsidR="00000000" w:rsidDel="00000000" w:rsidP="00000000" w:rsidRDefault="00000000" w:rsidRPr="00000000" w14:paraId="00000041">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bookmarkStart w:colFirst="0" w:colLast="0" w:name="_heading=h.ca55dk6p3yii" w:id="9"/>
      <w:bookmarkEnd w:id="9"/>
      <w:r w:rsidDel="00000000" w:rsidR="00000000" w:rsidRPr="00000000">
        <w:rPr>
          <w:rtl w:val="0"/>
        </w:rPr>
        <w:t xml:space="preserve">any FDE Group entity is late to file its annual accounts without a public notification or an explanation to the Authority which the Authority, acting reasonably, considers to be adequate;</w:t>
      </w:r>
    </w:p>
    <w:p w:rsidR="00000000" w:rsidDel="00000000" w:rsidP="00000000" w:rsidRDefault="00000000" w:rsidRPr="00000000" w14:paraId="00000042">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the directors and/or external auditors of any FDE Group entity conclude that a material uncertainty exists in relation to that FDE Group entity’s going concern in the annual report including in a reasonable but plausible downside scenario. This includes, but is not limited to, commentary about liquidity and trading prospects in the reports from directors or external auditors;</w:t>
      </w:r>
    </w:p>
    <w:p w:rsidR="00000000" w:rsidDel="00000000" w:rsidP="00000000" w:rsidRDefault="00000000" w:rsidRPr="00000000" w14:paraId="00000043">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any of the following:</w:t>
      </w:r>
    </w:p>
    <w:p w:rsidR="00000000" w:rsidDel="00000000" w:rsidP="00000000" w:rsidRDefault="00000000" w:rsidRPr="00000000" w14:paraId="00000044">
      <w:pPr>
        <w:numPr>
          <w:ilvl w:val="3"/>
          <w:numId w:val="2"/>
        </w:numPr>
        <w:pBdr>
          <w:top w:space="0" w:sz="0" w:val="nil"/>
          <w:left w:space="0" w:sz="0" w:val="nil"/>
          <w:bottom w:space="0" w:sz="0" w:val="nil"/>
          <w:right w:space="0" w:sz="0" w:val="nil"/>
          <w:between w:space="0" w:sz="0" w:val="nil"/>
        </w:pBdr>
        <w:tabs>
          <w:tab w:val="left" w:leader="none" w:pos="1985"/>
        </w:tabs>
        <w:spacing w:after="120" w:before="120" w:lineRule="auto"/>
        <w:ind w:left="2847" w:hanging="861"/>
        <w:rPr>
          <w:color w:val="000000"/>
        </w:rPr>
      </w:pPr>
      <w:r w:rsidDel="00000000" w:rsidR="00000000" w:rsidRPr="00000000">
        <w:rPr>
          <w:color w:val="000000"/>
          <w:rtl w:val="0"/>
        </w:rPr>
        <w:t xml:space="preserve">any FDE Group entity makes a public announcement which contains adverse commentary with regards to that FDE Group entity’s liquidity and trading and trading prospects, such as but not limited to, a profit warning or ability to trade as a going concern;</w:t>
      </w:r>
    </w:p>
    <w:p w:rsidR="00000000" w:rsidDel="00000000" w:rsidP="00000000" w:rsidRDefault="00000000" w:rsidRPr="00000000" w14:paraId="00000045">
      <w:pPr>
        <w:numPr>
          <w:ilvl w:val="3"/>
          <w:numId w:val="2"/>
        </w:numPr>
        <w:pBdr>
          <w:top w:space="0" w:sz="0" w:val="nil"/>
          <w:left w:space="0" w:sz="0" w:val="nil"/>
          <w:bottom w:space="0" w:sz="0" w:val="nil"/>
          <w:right w:space="0" w:sz="0" w:val="nil"/>
          <w:between w:space="0" w:sz="0" w:val="nil"/>
        </w:pBdr>
        <w:tabs>
          <w:tab w:val="left" w:leader="none" w:pos="1985"/>
        </w:tabs>
        <w:spacing w:after="120" w:before="120" w:lineRule="auto"/>
        <w:ind w:left="2847" w:hanging="861"/>
        <w:rPr/>
      </w:pPr>
      <w:r w:rsidDel="00000000" w:rsidR="00000000" w:rsidRPr="00000000">
        <w:rPr>
          <w:rtl w:val="0"/>
        </w:rPr>
        <w:t xml:space="preserve">commencement of any litigation against an FDE Group entity with respect to financial indebtedness greater than £5m or obligations under a service contract with a total contract value greater than £5m; </w:t>
      </w:r>
    </w:p>
    <w:p w:rsidR="00000000" w:rsidDel="00000000" w:rsidP="00000000" w:rsidRDefault="00000000" w:rsidRPr="00000000" w14:paraId="00000046">
      <w:pPr>
        <w:numPr>
          <w:ilvl w:val="3"/>
          <w:numId w:val="2"/>
        </w:numPr>
        <w:pBdr>
          <w:top w:space="0" w:sz="0" w:val="nil"/>
          <w:left w:space="0" w:sz="0" w:val="nil"/>
          <w:bottom w:space="0" w:sz="0" w:val="nil"/>
          <w:right w:space="0" w:sz="0" w:val="nil"/>
          <w:between w:space="0" w:sz="0" w:val="nil"/>
        </w:pBdr>
        <w:tabs>
          <w:tab w:val="left" w:leader="none" w:pos="1985"/>
        </w:tabs>
        <w:spacing w:after="120" w:before="120" w:lineRule="auto"/>
        <w:ind w:left="2847" w:hanging="861"/>
        <w:rPr/>
      </w:pPr>
      <w:r w:rsidDel="00000000" w:rsidR="00000000" w:rsidRPr="00000000">
        <w:rPr>
          <w:rtl w:val="0"/>
        </w:rPr>
        <w:t xml:space="preserve">non-payment by an FDE Group entity of any financial indebtedness;</w:t>
      </w:r>
    </w:p>
    <w:p w:rsidR="00000000" w:rsidDel="00000000" w:rsidP="00000000" w:rsidRDefault="00000000" w:rsidRPr="00000000" w14:paraId="00000047">
      <w:pPr>
        <w:numPr>
          <w:ilvl w:val="3"/>
          <w:numId w:val="2"/>
        </w:numPr>
        <w:pBdr>
          <w:top w:space="0" w:sz="0" w:val="nil"/>
          <w:left w:space="0" w:sz="0" w:val="nil"/>
          <w:bottom w:space="0" w:sz="0" w:val="nil"/>
          <w:right w:space="0" w:sz="0" w:val="nil"/>
          <w:between w:space="0" w:sz="0" w:val="nil"/>
        </w:pBdr>
        <w:tabs>
          <w:tab w:val="left" w:leader="none" w:pos="1985"/>
        </w:tabs>
        <w:spacing w:after="120" w:before="120" w:lineRule="auto"/>
        <w:ind w:left="2847" w:hanging="861"/>
        <w:rPr/>
      </w:pPr>
      <w:r w:rsidDel="00000000" w:rsidR="00000000" w:rsidRPr="00000000">
        <w:rPr>
          <w:rtl w:val="0"/>
        </w:rPr>
        <w:t xml:space="preserve">any financial indebtedness of an FDE Group entity becoming due as a result of an event of default;</w:t>
      </w:r>
    </w:p>
    <w:p w:rsidR="00000000" w:rsidDel="00000000" w:rsidP="00000000" w:rsidRDefault="00000000" w:rsidRPr="00000000" w14:paraId="00000048">
      <w:pPr>
        <w:numPr>
          <w:ilvl w:val="3"/>
          <w:numId w:val="2"/>
        </w:numPr>
        <w:pBdr>
          <w:top w:space="0" w:sz="0" w:val="nil"/>
          <w:left w:space="0" w:sz="0" w:val="nil"/>
          <w:bottom w:space="0" w:sz="0" w:val="nil"/>
          <w:right w:space="0" w:sz="0" w:val="nil"/>
          <w:between w:space="0" w:sz="0" w:val="nil"/>
        </w:pBdr>
        <w:tabs>
          <w:tab w:val="left" w:leader="none" w:pos="1985"/>
        </w:tabs>
        <w:spacing w:after="120" w:before="120" w:lineRule="auto"/>
        <w:ind w:left="2847" w:hanging="861"/>
        <w:rPr/>
      </w:pPr>
      <w:r w:rsidDel="00000000" w:rsidR="00000000" w:rsidRPr="00000000">
        <w:rPr>
          <w:rtl w:val="0"/>
        </w:rPr>
        <w:t xml:space="preserve">the cancellation or suspension of any financial indebtedness in respect of an FDE Group entity; or</w:t>
      </w:r>
    </w:p>
    <w:p w:rsidR="00000000" w:rsidDel="00000000" w:rsidP="00000000" w:rsidRDefault="00000000" w:rsidRPr="00000000" w14:paraId="00000049">
      <w:pPr>
        <w:numPr>
          <w:ilvl w:val="3"/>
          <w:numId w:val="2"/>
        </w:numPr>
        <w:pBdr>
          <w:top w:space="0" w:sz="0" w:val="nil"/>
          <w:left w:space="0" w:sz="0" w:val="nil"/>
          <w:bottom w:space="0" w:sz="0" w:val="nil"/>
          <w:right w:space="0" w:sz="0" w:val="nil"/>
          <w:between w:space="0" w:sz="0" w:val="nil"/>
        </w:pBdr>
        <w:tabs>
          <w:tab w:val="left" w:leader="none" w:pos="1985"/>
        </w:tabs>
        <w:spacing w:after="120" w:before="120" w:lineRule="auto"/>
        <w:ind w:left="2847" w:hanging="861"/>
        <w:rPr/>
      </w:pPr>
      <w:r w:rsidDel="00000000" w:rsidR="00000000" w:rsidRPr="00000000">
        <w:rPr>
          <w:rtl w:val="0"/>
        </w:rPr>
        <w:t xml:space="preserve">the external auditor of an FDE Group entity expressing a qualified opinion on, or including an emphasis of matter in, its opinion on the statutory accounts of that FDE entity;</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1985"/>
        </w:tabs>
        <w:spacing w:after="120" w:before="120" w:lineRule="auto"/>
        <w:ind w:left="1985" w:firstLine="0"/>
        <w:rPr/>
      </w:pPr>
      <w:r w:rsidDel="00000000" w:rsidR="00000000" w:rsidRPr="00000000">
        <w:rPr>
          <w:rtl w:val="0"/>
        </w:rPr>
        <w:t xml:space="preserve">in each case which the Relevant Authority reasonably believes (or would be likely reasonably to believe) could directly impact on the continued performance and delivery of the Deliverables in accordance with the Contract; and</w:t>
      </w:r>
    </w:p>
    <w:p w:rsidR="00000000" w:rsidDel="00000000" w:rsidP="00000000" w:rsidRDefault="00000000" w:rsidRPr="00000000" w14:paraId="0000004B">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b w:val="1"/>
        </w:rPr>
      </w:pPr>
      <w:r w:rsidDel="00000000" w:rsidR="00000000" w:rsidRPr="00000000">
        <w:rPr>
          <w:rtl w:val="0"/>
        </w:rPr>
        <w:t xml:space="preserve">any of the Financial Indicators set out at Paragraph 5 for any of the FDE Group entities failing to meet the required Financial Target Threshold.</w:t>
      </w:r>
      <w:r w:rsidDel="00000000" w:rsidR="00000000" w:rsidRPr="00000000">
        <w:rPr>
          <w:rtl w:val="0"/>
        </w:rPr>
      </w:r>
    </w:p>
    <w:p w:rsidR="00000000" w:rsidDel="00000000" w:rsidP="00000000" w:rsidRDefault="00000000" w:rsidRPr="00000000" w14:paraId="0000004C">
      <w:pPr>
        <w:keepNext w:val="1"/>
        <w:numPr>
          <w:ilvl w:val="0"/>
          <w:numId w:val="2"/>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smallCaps w:val="1"/>
        </w:rPr>
      </w:pPr>
      <w:r w:rsidDel="00000000" w:rsidR="00000000" w:rsidRPr="00000000">
        <w:rPr>
          <w:b w:val="1"/>
          <w:rtl w:val="0"/>
        </w:rPr>
        <w:t xml:space="preserve">Consequences of Financial Distress Events</w:t>
      </w:r>
      <w:r w:rsidDel="00000000" w:rsidR="00000000" w:rsidRPr="00000000">
        <w:rPr>
          <w:rtl w:val="0"/>
        </w:rPr>
      </w:r>
    </w:p>
    <w:p w:rsidR="00000000" w:rsidDel="00000000" w:rsidP="00000000" w:rsidRDefault="00000000" w:rsidRPr="00000000" w14:paraId="0000004D">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op9n9pcu5601" w:id="10"/>
      <w:bookmarkEnd w:id="10"/>
      <w:r w:rsidDel="00000000" w:rsidR="00000000" w:rsidRPr="00000000">
        <w:rPr>
          <w:rtl w:val="0"/>
        </w:rPr>
        <w:t xml:space="preserve">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rsidR="00000000" w:rsidDel="00000000" w:rsidP="00000000" w:rsidRDefault="00000000" w:rsidRPr="00000000" w14:paraId="0000004E">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In the event of a late or non-payment of a Key Sub-contractor pursuant to Paragraph 3.1.5, the Relevant Authority shall not exercise any of its rights or remedies under Paragraph 4.3 without first giving the Supplier 10 Working Days to:</w:t>
      </w:r>
    </w:p>
    <w:p w:rsidR="00000000" w:rsidDel="00000000" w:rsidP="00000000" w:rsidRDefault="00000000" w:rsidRPr="00000000" w14:paraId="0000004F">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rectify such late or non-payment; or</w:t>
      </w:r>
    </w:p>
    <w:p w:rsidR="00000000" w:rsidDel="00000000" w:rsidP="00000000" w:rsidRDefault="00000000" w:rsidRPr="00000000" w14:paraId="00000050">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demonstrate to the Relevant Authority’s reasonable satisfaction that there is a valid reason for late or non-payment.</w:t>
      </w:r>
    </w:p>
    <w:p w:rsidR="00000000" w:rsidDel="00000000" w:rsidP="00000000" w:rsidRDefault="00000000" w:rsidRPr="00000000" w14:paraId="00000051">
      <w:pPr>
        <w:numPr>
          <w:ilvl w:val="1"/>
          <w:numId w:val="2"/>
        </w:numPr>
        <w:pBdr>
          <w:top w:space="0" w:sz="0" w:val="nil"/>
          <w:left w:space="0" w:sz="0" w:val="nil"/>
          <w:bottom w:space="0" w:sz="0" w:val="nil"/>
          <w:right w:space="0" w:sz="0" w:val="nil"/>
          <w:between w:space="0" w:sz="0" w:val="nil"/>
        </w:pBdr>
        <w:tabs>
          <w:tab w:val="left" w:leader="none" w:pos="1276"/>
        </w:tabs>
        <w:spacing w:after="120" w:before="120" w:lineRule="auto"/>
        <w:ind w:left="1134" w:hanging="708"/>
        <w:jc w:val="left"/>
        <w:rPr/>
      </w:pPr>
      <w:bookmarkStart w:colFirst="0" w:colLast="0" w:name="_heading=h.o0h90rdyddpa" w:id="11"/>
      <w:bookmarkEnd w:id="11"/>
      <w:r w:rsidDel="00000000" w:rsidR="00000000" w:rsidRPr="00000000">
        <w:rPr>
          <w:rtl w:val="0"/>
        </w:rPr>
        <w:t xml:space="preserve">The Supplier shall (and shall procure that any Monitored Supplier, the Guarantor and/or any relevant Key Sub-contractor shall):</w:t>
      </w:r>
    </w:p>
    <w:p w:rsidR="00000000" w:rsidDel="00000000" w:rsidP="00000000" w:rsidRDefault="00000000" w:rsidRPr="00000000" w14:paraId="00000052">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bookmarkStart w:colFirst="0" w:colLast="0" w:name="_heading=h.e4llgs7iypnt" w:id="12"/>
      <w:bookmarkEnd w:id="12"/>
      <w:r w:rsidDel="00000000" w:rsidR="00000000" w:rsidRPr="00000000">
        <w:rPr>
          <w:rtl w:val="0"/>
        </w:rPr>
        <w:t xml:space="preserve">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rsidR="00000000" w:rsidDel="00000000" w:rsidP="00000000" w:rsidRDefault="00000000" w:rsidRPr="00000000" w14:paraId="00000053">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where the Relevant Authority reasonably believes (taking into account the discussions and any representations made under Paragraph 4.3.1) that the Financial Distress Event could impact on the continued performance and delivery of the Deliverables in accordance with the Contract:</w:t>
      </w:r>
    </w:p>
    <w:p w:rsidR="00000000" w:rsidDel="00000000" w:rsidP="00000000" w:rsidRDefault="00000000" w:rsidRPr="00000000" w14:paraId="00000054">
      <w:pPr>
        <w:numPr>
          <w:ilvl w:val="3"/>
          <w:numId w:val="2"/>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pPr>
      <w:r w:rsidDel="00000000" w:rsidR="00000000" w:rsidRPr="00000000">
        <w:rPr>
          <w:rtl w:val="0"/>
        </w:rPr>
        <w:t xml:space="preserve">submit to the Relevant Authority for its approval, a draft Financial Distress Remediation Plan as soon as reasonably practicable (and in any event, within 10 Working Days of the initial notification (or awareness) of the Financial Distress Event or such other period as the Relevant Authority may permit and notify to the Supplier in writing); and</w:t>
      </w:r>
    </w:p>
    <w:p w:rsidR="00000000" w:rsidDel="00000000" w:rsidP="00000000" w:rsidRDefault="00000000" w:rsidRPr="00000000" w14:paraId="00000055">
      <w:pPr>
        <w:numPr>
          <w:ilvl w:val="3"/>
          <w:numId w:val="2"/>
        </w:numPr>
        <w:pBdr>
          <w:top w:space="0" w:sz="0" w:val="nil"/>
          <w:left w:space="0" w:sz="0" w:val="nil"/>
          <w:bottom w:space="0" w:sz="0" w:val="nil"/>
          <w:right w:space="0" w:sz="0" w:val="nil"/>
          <w:between w:space="0" w:sz="0" w:val="nil"/>
        </w:pBdr>
        <w:tabs>
          <w:tab w:val="left" w:leader="none" w:pos="2835"/>
        </w:tabs>
        <w:spacing w:after="120" w:before="120" w:lineRule="auto"/>
        <w:ind w:left="2835" w:hanging="850"/>
        <w:rPr/>
      </w:pPr>
      <w:bookmarkStart w:colFirst="0" w:colLast="0" w:name="_heading=h.n4t85e4aolxf" w:id="13"/>
      <w:bookmarkEnd w:id="13"/>
      <w:r w:rsidDel="00000000" w:rsidR="00000000" w:rsidRPr="00000000">
        <w:rPr>
          <w:rtl w:val="0"/>
        </w:rPr>
        <w:t xml:space="preserve">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rsidR="00000000" w:rsidDel="00000000" w:rsidP="00000000" w:rsidRDefault="00000000" w:rsidRPr="00000000" w14:paraId="00000056">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seut8ox7t1la" w:id="14"/>
      <w:bookmarkEnd w:id="14"/>
      <w:r w:rsidDel="00000000" w:rsidR="00000000" w:rsidRPr="00000000">
        <w:rPr>
          <w:rtl w:val="0"/>
        </w:rPr>
        <w:t xml:space="preserve">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38 </w:t>
      </w:r>
      <w:r w:rsidDel="00000000" w:rsidR="00000000" w:rsidRPr="00000000">
        <w:rPr>
          <w:i w:val="1"/>
          <w:rtl w:val="0"/>
        </w:rPr>
        <w:t xml:space="preserve">(Resolving disputes)</w:t>
      </w:r>
      <w:r w:rsidDel="00000000" w:rsidR="00000000" w:rsidRPr="00000000">
        <w:rPr>
          <w:rtl w:val="0"/>
        </w:rPr>
        <w:t xml:space="preserve"> of the General Terms under Paragraph 4.5.</w:t>
      </w:r>
    </w:p>
    <w:p w:rsidR="00000000" w:rsidDel="00000000" w:rsidP="00000000" w:rsidRDefault="00000000" w:rsidRPr="00000000" w14:paraId="00000057">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1vmosevx6e1x" w:id="15"/>
      <w:bookmarkEnd w:id="15"/>
      <w:r w:rsidDel="00000000" w:rsidR="00000000" w:rsidRPr="00000000">
        <w:rPr>
          <w:rtl w:val="0"/>
        </w:rPr>
        <w:t xml:space="preserve">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38 </w:t>
      </w:r>
      <w:r w:rsidDel="00000000" w:rsidR="00000000" w:rsidRPr="00000000">
        <w:rPr>
          <w:i w:val="1"/>
          <w:rtl w:val="0"/>
        </w:rPr>
        <w:t xml:space="preserve">(Resolving disputes)</w:t>
      </w:r>
      <w:r w:rsidDel="00000000" w:rsidR="00000000" w:rsidRPr="00000000">
        <w:rPr>
          <w:rtl w:val="0"/>
        </w:rPr>
        <w:t xml:space="preserve"> of the General Terms.</w:t>
      </w:r>
    </w:p>
    <w:p w:rsidR="00000000" w:rsidDel="00000000" w:rsidP="00000000" w:rsidRDefault="00000000" w:rsidRPr="00000000" w14:paraId="00000058">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efor5nxbz4rr" w:id="16"/>
      <w:bookmarkEnd w:id="16"/>
      <w:r w:rsidDel="00000000" w:rsidR="00000000" w:rsidRPr="00000000">
        <w:rPr>
          <w:rtl w:val="0"/>
        </w:rPr>
        <w:t xml:space="preserve">Following approval of the Financial Distress Remediation Plan by the Relevant Authority, the Supplier shall:</w:t>
      </w:r>
    </w:p>
    <w:p w:rsidR="00000000" w:rsidDel="00000000" w:rsidP="00000000" w:rsidRDefault="00000000" w:rsidRPr="00000000" w14:paraId="00000059">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bookmarkStart w:colFirst="0" w:colLast="0" w:name="_heading=h.144samwaxwhf" w:id="17"/>
      <w:bookmarkEnd w:id="17"/>
      <w:r w:rsidDel="00000000" w:rsidR="00000000" w:rsidRPr="00000000">
        <w:rPr>
          <w:rtl w:val="0"/>
        </w:rPr>
        <w:t xml:space="preserve">on a regular basis (which shall not be less than fortnightly):</w:t>
      </w:r>
    </w:p>
    <w:p w:rsidR="00000000" w:rsidDel="00000000" w:rsidP="00000000" w:rsidRDefault="00000000" w:rsidRPr="00000000" w14:paraId="0000005A">
      <w:pPr>
        <w:numPr>
          <w:ilvl w:val="3"/>
          <w:numId w:val="2"/>
        </w:numPr>
        <w:pBdr>
          <w:top w:space="0" w:sz="0" w:val="nil"/>
          <w:left w:space="0" w:sz="0" w:val="nil"/>
          <w:bottom w:space="0" w:sz="0" w:val="nil"/>
          <w:right w:space="0" w:sz="0" w:val="nil"/>
          <w:between w:space="0" w:sz="0" w:val="nil"/>
        </w:pBdr>
        <w:tabs>
          <w:tab w:val="left" w:leader="none" w:pos="1985"/>
        </w:tabs>
        <w:spacing w:after="120" w:before="120" w:lineRule="auto"/>
        <w:ind w:left="2835" w:hanging="850"/>
        <w:rPr/>
      </w:pPr>
      <w:r w:rsidDel="00000000" w:rsidR="00000000" w:rsidRPr="00000000">
        <w:rPr>
          <w:rtl w:val="0"/>
        </w:rPr>
        <w:t xml:space="preserve">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the Contract; and</w:t>
      </w:r>
    </w:p>
    <w:p w:rsidR="00000000" w:rsidDel="00000000" w:rsidP="00000000" w:rsidRDefault="00000000" w:rsidRPr="00000000" w14:paraId="0000005B">
      <w:pPr>
        <w:numPr>
          <w:ilvl w:val="3"/>
          <w:numId w:val="2"/>
        </w:numPr>
        <w:pBdr>
          <w:top w:space="0" w:sz="0" w:val="nil"/>
          <w:left w:space="0" w:sz="0" w:val="nil"/>
          <w:bottom w:space="0" w:sz="0" w:val="nil"/>
          <w:right w:space="0" w:sz="0" w:val="nil"/>
          <w:between w:space="0" w:sz="0" w:val="nil"/>
        </w:pBdr>
        <w:tabs>
          <w:tab w:val="left" w:leader="none" w:pos="1985"/>
        </w:tabs>
        <w:spacing w:after="120" w:before="120" w:lineRule="auto"/>
        <w:ind w:left="2835" w:hanging="850"/>
        <w:rPr/>
      </w:pPr>
      <w:r w:rsidDel="00000000" w:rsidR="00000000" w:rsidRPr="00000000">
        <w:rPr>
          <w:rtl w:val="0"/>
        </w:rPr>
        <w:t xml:space="preserve">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w:t>
      </w:r>
    </w:p>
    <w:p w:rsidR="00000000" w:rsidDel="00000000" w:rsidP="00000000" w:rsidRDefault="00000000" w:rsidRPr="00000000" w14:paraId="0000005C">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where updates are made to the Financial Distress Remediation Plan in accordance with Paragraph 4.6.1, submit an updated Financial Distress Remediation Plan to the Relevant Authority for its approval, and the provisions of Paragraphs 4.4 and 4.5 shall apply to the review and approval process for the updated Financial Distress Remediation Plan; and</w:t>
      </w:r>
    </w:p>
    <w:p w:rsidR="00000000" w:rsidDel="00000000" w:rsidP="00000000" w:rsidRDefault="00000000" w:rsidRPr="00000000" w14:paraId="0000005D">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bookmarkStart w:colFirst="0" w:colLast="0" w:name="_heading=h.h3vyo5o8sxda" w:id="18"/>
      <w:bookmarkEnd w:id="18"/>
      <w:r w:rsidDel="00000000" w:rsidR="00000000" w:rsidRPr="00000000">
        <w:rPr>
          <w:rtl w:val="0"/>
        </w:rPr>
        <w:t xml:space="preserve">comply with the Financial Distress Remediation Plan (including any updated Financial Distress Remediation Plan) and ensure that it achieves the financial and performance requirements set out in the Financial Distress Remediation Plan.</w:t>
      </w:r>
    </w:p>
    <w:p w:rsidR="00000000" w:rsidDel="00000000" w:rsidP="00000000" w:rsidRDefault="00000000" w:rsidRPr="00000000" w14:paraId="0000005E">
      <w:pPr>
        <w:numPr>
          <w:ilvl w:val="1"/>
          <w:numId w:val="2"/>
        </w:numPr>
        <w:pBdr>
          <w:top w:space="0" w:sz="0" w:val="nil"/>
          <w:left w:space="0" w:sz="0" w:val="nil"/>
          <w:bottom w:space="0" w:sz="0" w:val="nil"/>
          <w:right w:space="0" w:sz="0" w:val="nil"/>
          <w:between w:space="0" w:sz="0" w:val="nil"/>
        </w:pBdr>
        <w:tabs>
          <w:tab w:val="left" w:leader="none" w:pos="1276"/>
        </w:tabs>
        <w:spacing w:after="120" w:before="120" w:lineRule="auto"/>
        <w:ind w:left="1134" w:hanging="708"/>
        <w:jc w:val="left"/>
        <w:rPr/>
      </w:pPr>
      <w:r w:rsidDel="00000000" w:rsidR="00000000" w:rsidRPr="00000000">
        <w:rPr>
          <w:rtl w:val="0"/>
        </w:rPr>
        <w:t xml:space="preserve">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rsidR="00000000" w:rsidDel="00000000" w:rsidP="00000000" w:rsidRDefault="00000000" w:rsidRPr="00000000" w14:paraId="0000005F">
      <w:pPr>
        <w:numPr>
          <w:ilvl w:val="1"/>
          <w:numId w:val="2"/>
        </w:numPr>
        <w:pBdr>
          <w:top w:space="0" w:sz="0" w:val="nil"/>
          <w:left w:space="0" w:sz="0" w:val="nil"/>
          <w:bottom w:space="0" w:sz="0" w:val="nil"/>
          <w:right w:space="0" w:sz="0" w:val="nil"/>
          <w:between w:space="0" w:sz="0" w:val="nil"/>
        </w:pBdr>
        <w:tabs>
          <w:tab w:val="left" w:leader="none" w:pos="1276"/>
        </w:tabs>
        <w:spacing w:after="120" w:before="120" w:lineRule="auto"/>
        <w:ind w:left="1134" w:hanging="708"/>
        <w:jc w:val="left"/>
        <w:rPr/>
      </w:pPr>
      <w:bookmarkStart w:colFirst="0" w:colLast="0" w:name="_heading=h.5gne7mkivayc" w:id="19"/>
      <w:bookmarkEnd w:id="19"/>
      <w:r w:rsidDel="00000000" w:rsidR="00000000" w:rsidRPr="00000000">
        <w:rPr>
          <w:rtl w:val="0"/>
        </w:rPr>
        <w:t xml:space="preserve">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rsidR="00000000" w:rsidDel="00000000" w:rsidP="00000000" w:rsidRDefault="00000000" w:rsidRPr="00000000" w14:paraId="00000060">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obtaining in advance written authority from Key Sub-contractors, the Guarantor and/or Monitored Suppliers authorising the disclosure of the information to the Buyer and/or entering into confidentiality agreements which permit disclosure;</w:t>
      </w:r>
    </w:p>
    <w:p w:rsidR="00000000" w:rsidDel="00000000" w:rsidP="00000000" w:rsidRDefault="00000000" w:rsidRPr="00000000" w14:paraId="00000061">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agreeing in advance with the Relevant Authority, Key Sub-contractors, the Guarantor and/or Monitored Suppliers a form of confidentiality agreement to be entered by the relevant parties to enable the disclosure of the information to the Relevant Authority;</w:t>
      </w:r>
    </w:p>
    <w:p w:rsidR="00000000" w:rsidDel="00000000" w:rsidP="00000000" w:rsidRDefault="00000000" w:rsidRPr="00000000" w14:paraId="00000062">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rsidR="00000000" w:rsidDel="00000000" w:rsidP="00000000" w:rsidRDefault="00000000" w:rsidRPr="00000000" w14:paraId="00000063">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disclosing the information to the fullest extent that it is lawfully entitled to do so, including through the use of redaction, anonymisation and any other techniques to permit disclosure of the information without breaching a duty of confidentiality.</w:t>
      </w:r>
    </w:p>
    <w:p w:rsidR="00000000" w:rsidDel="00000000" w:rsidP="00000000" w:rsidRDefault="00000000" w:rsidRPr="00000000" w14:paraId="00000064">
      <w:pPr>
        <w:keepNext w:val="1"/>
        <w:numPr>
          <w:ilvl w:val="0"/>
          <w:numId w:val="2"/>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bookmarkStart w:colFirst="0" w:colLast="0" w:name="_heading=h.lh3hds1dtmy2" w:id="20"/>
      <w:bookmarkEnd w:id="20"/>
      <w:r w:rsidDel="00000000" w:rsidR="00000000" w:rsidRPr="00000000">
        <w:rPr>
          <w:b w:val="1"/>
          <w:rtl w:val="0"/>
        </w:rPr>
        <w:t xml:space="preserve">Financial Indicators</w:t>
      </w:r>
    </w:p>
    <w:p w:rsidR="00000000" w:rsidDel="00000000" w:rsidP="00000000" w:rsidRDefault="00000000" w:rsidRPr="00000000" w14:paraId="00000065">
      <w:pPr>
        <w:spacing w:after="120" w:before="120" w:lineRule="auto"/>
        <w:rPr>
          <w:b w:val="1"/>
          <w:i w:val="1"/>
          <w:highlight w:val="yellow"/>
        </w:rPr>
      </w:pPr>
      <w:r w:rsidDel="00000000" w:rsidR="00000000" w:rsidRPr="00000000">
        <w:rPr>
          <w:b w:val="1"/>
          <w:i w:val="1"/>
          <w:highlight w:val="yellow"/>
          <w:rtl w:val="0"/>
        </w:rPr>
        <w:t xml:space="preserve">[Buyer Guidance: The Financial Indicators set out in the table at paragraph 5.1 have been established at Framework level to satisfy Cabinet Office Contract Tiering Tool requirements. Any assessment of conditions of participation that are included as part of a competitive selection process under a framework is not legally a ‘reassessment’ of any conditions of participation that applied to the award of the framework. However, a condition of participation for the award of a call-off contract may include a requirement that the conditions of participation for the award of the framework must be met or may include some or all of the same conditions of participation. It may also include additional conditions that did not apply to the award of the framework.  Please take your own legal advice if you are uncertain how to proceed.]</w:t>
      </w:r>
    </w:p>
    <w:p w:rsidR="00000000" w:rsidDel="00000000" w:rsidP="00000000" w:rsidRDefault="00000000" w:rsidRPr="00000000" w14:paraId="00000066">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w5ha11arylij" w:id="21"/>
      <w:bookmarkEnd w:id="21"/>
      <w:r w:rsidDel="00000000" w:rsidR="00000000" w:rsidRPr="00000000">
        <w:rPr>
          <w:rtl w:val="0"/>
        </w:rPr>
        <w:t xml:space="preserve">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tbl>
      <w:tblPr>
        <w:tblStyle w:val="Table2"/>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3"/>
        <w:gridCol w:w="1977"/>
        <w:gridCol w:w="1697"/>
        <w:gridCol w:w="3089"/>
        <w:tblGridChange w:id="0">
          <w:tblGrid>
            <w:gridCol w:w="2253"/>
            <w:gridCol w:w="1977"/>
            <w:gridCol w:w="1697"/>
            <w:gridCol w:w="3089"/>
          </w:tblGrid>
        </w:tblGridChange>
      </w:tblGrid>
      <w:tr>
        <w:trPr>
          <w:cantSplit w:val="0"/>
          <w:tblHeader w:val="0"/>
        </w:trPr>
        <w:tc>
          <w:tcPr>
            <w:shd w:fill="d9d9d9" w:val="clear"/>
            <w:vAlign w:val="center"/>
          </w:tcPr>
          <w:p w:rsidR="00000000" w:rsidDel="00000000" w:rsidP="00000000" w:rsidRDefault="00000000" w:rsidRPr="00000000" w14:paraId="00000067">
            <w:pPr>
              <w:pBdr>
                <w:top w:space="0" w:sz="0" w:val="nil"/>
                <w:left w:space="0" w:sz="0" w:val="nil"/>
                <w:bottom w:space="0" w:sz="0" w:val="nil"/>
                <w:right w:space="0" w:sz="0" w:val="nil"/>
                <w:between w:space="0" w:sz="0" w:val="nil"/>
              </w:pBdr>
              <w:spacing w:after="120" w:before="120" w:lineRule="auto"/>
              <w:jc w:val="center"/>
              <w:rPr>
                <w:b w:val="1"/>
                <w:color w:val="000000"/>
                <w:sz w:val="24"/>
                <w:szCs w:val="24"/>
              </w:rPr>
            </w:pPr>
            <w:r w:rsidDel="00000000" w:rsidR="00000000" w:rsidRPr="00000000">
              <w:rPr>
                <w:b w:val="1"/>
                <w:color w:val="000000"/>
                <w:sz w:val="24"/>
                <w:szCs w:val="24"/>
                <w:rtl w:val="0"/>
              </w:rPr>
              <w:t xml:space="preserve">Financial Indicator</w:t>
            </w:r>
          </w:p>
        </w:tc>
        <w:tc>
          <w:tcPr>
            <w:shd w:fill="d9d9d9" w:val="clear"/>
            <w:vAlign w:val="center"/>
          </w:tcPr>
          <w:p w:rsidR="00000000" w:rsidDel="00000000" w:rsidP="00000000" w:rsidRDefault="00000000" w:rsidRPr="00000000" w14:paraId="00000068">
            <w:pPr>
              <w:pBdr>
                <w:top w:space="0" w:sz="0" w:val="nil"/>
                <w:left w:space="0" w:sz="0" w:val="nil"/>
                <w:bottom w:space="0" w:sz="0" w:val="nil"/>
                <w:right w:space="0" w:sz="0" w:val="nil"/>
                <w:between w:space="0" w:sz="0" w:val="nil"/>
              </w:pBdr>
              <w:spacing w:after="120" w:before="120" w:lineRule="auto"/>
              <w:jc w:val="center"/>
              <w:rPr>
                <w:b w:val="1"/>
                <w:color w:val="000000"/>
                <w:sz w:val="24"/>
                <w:szCs w:val="24"/>
              </w:rPr>
            </w:pPr>
            <w:r w:rsidDel="00000000" w:rsidR="00000000" w:rsidRPr="00000000">
              <w:rPr>
                <w:b w:val="1"/>
                <w:color w:val="000000"/>
                <w:sz w:val="24"/>
                <w:szCs w:val="24"/>
                <w:rtl w:val="0"/>
              </w:rPr>
              <w:t xml:space="preserve">Calculation</w:t>
            </w:r>
            <w:r w:rsidDel="00000000" w:rsidR="00000000" w:rsidRPr="00000000">
              <w:rPr>
                <w:b w:val="1"/>
                <w:color w:val="000000"/>
                <w:sz w:val="24"/>
                <w:szCs w:val="24"/>
                <w:vertAlign w:val="superscript"/>
                <w:rtl w:val="0"/>
              </w:rPr>
              <w:t xml:space="preserve">1</w:t>
            </w:r>
            <w:r w:rsidDel="00000000" w:rsidR="00000000" w:rsidRPr="00000000">
              <w:rPr>
                <w:rtl w:val="0"/>
              </w:rPr>
            </w:r>
          </w:p>
        </w:tc>
        <w:tc>
          <w:tcPr>
            <w:shd w:fill="d9d9d9" w:val="clear"/>
            <w:vAlign w:val="center"/>
          </w:tcPr>
          <w:p w:rsidR="00000000" w:rsidDel="00000000" w:rsidP="00000000" w:rsidRDefault="00000000" w:rsidRPr="00000000" w14:paraId="00000069">
            <w:pPr>
              <w:pBdr>
                <w:top w:space="0" w:sz="0" w:val="nil"/>
                <w:left w:space="0" w:sz="0" w:val="nil"/>
                <w:bottom w:space="0" w:sz="0" w:val="nil"/>
                <w:right w:space="0" w:sz="0" w:val="nil"/>
                <w:between w:space="0" w:sz="0" w:val="nil"/>
              </w:pBdr>
              <w:spacing w:after="120" w:before="120" w:lineRule="auto"/>
              <w:jc w:val="center"/>
              <w:rPr>
                <w:b w:val="1"/>
                <w:color w:val="000000"/>
                <w:sz w:val="24"/>
                <w:szCs w:val="24"/>
              </w:rPr>
            </w:pPr>
            <w:r w:rsidDel="00000000" w:rsidR="00000000" w:rsidRPr="00000000">
              <w:rPr>
                <w:b w:val="1"/>
                <w:color w:val="000000"/>
                <w:sz w:val="24"/>
                <w:szCs w:val="24"/>
                <w:rtl w:val="0"/>
              </w:rPr>
              <w:t xml:space="preserve">Financial Target Threshold:</w:t>
            </w:r>
          </w:p>
        </w:tc>
        <w:tc>
          <w:tcPr>
            <w:shd w:fill="d9d9d9" w:val="clear"/>
            <w:vAlign w:val="center"/>
          </w:tcPr>
          <w:p w:rsidR="00000000" w:rsidDel="00000000" w:rsidP="00000000" w:rsidRDefault="00000000" w:rsidRPr="00000000" w14:paraId="0000006A">
            <w:pPr>
              <w:pBdr>
                <w:top w:space="0" w:sz="0" w:val="nil"/>
                <w:left w:space="0" w:sz="0" w:val="nil"/>
                <w:bottom w:space="0" w:sz="0" w:val="nil"/>
                <w:right w:space="0" w:sz="0" w:val="nil"/>
                <w:between w:space="0" w:sz="0" w:val="nil"/>
              </w:pBdr>
              <w:spacing w:after="120" w:before="120" w:lineRule="auto"/>
              <w:jc w:val="center"/>
              <w:rPr>
                <w:b w:val="1"/>
                <w:color w:val="000000"/>
                <w:sz w:val="24"/>
                <w:szCs w:val="24"/>
              </w:rPr>
            </w:pPr>
            <w:bookmarkStart w:colFirst="0" w:colLast="0" w:name="_heading=h.1ci93xb" w:id="22"/>
            <w:bookmarkEnd w:id="22"/>
            <w:r w:rsidDel="00000000" w:rsidR="00000000" w:rsidRPr="00000000">
              <w:rPr>
                <w:b w:val="1"/>
                <w:color w:val="000000"/>
                <w:sz w:val="24"/>
                <w:szCs w:val="24"/>
                <w:rtl w:val="0"/>
              </w:rPr>
              <w:t xml:space="preserve">Monitoring and Reporting Frequency </w:t>
            </w:r>
            <w:r w:rsidDel="00000000" w:rsidR="00000000" w:rsidRPr="00000000">
              <w:rPr>
                <w:b w:val="1"/>
                <w:color w:val="000000"/>
                <w:sz w:val="24"/>
                <w:szCs w:val="24"/>
                <w:highlight w:val="yellow"/>
                <w:rtl w:val="0"/>
              </w:rPr>
              <w:t xml:space="preserve">[if different from the default position set out in Paragraph 2.3.2)]</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B">
            <w:pPr>
              <w:pBdr>
                <w:top w:space="0" w:sz="0" w:val="nil"/>
                <w:left w:space="0" w:sz="0" w:val="nil"/>
                <w:bottom w:space="0" w:sz="0" w:val="nil"/>
                <w:right w:space="0" w:sz="0" w:val="nil"/>
                <w:between w:space="0" w:sz="0" w:val="nil"/>
              </w:pBdr>
              <w:spacing w:after="120" w:before="120" w:lineRule="auto"/>
              <w:jc w:val="left"/>
              <w:rPr>
                <w:b w:val="1"/>
                <w:color w:val="000000"/>
                <w:sz w:val="24"/>
                <w:szCs w:val="24"/>
              </w:rPr>
            </w:pPr>
            <w:r w:rsidDel="00000000" w:rsidR="00000000" w:rsidRPr="00000000">
              <w:rPr>
                <w:b w:val="1"/>
                <w:sz w:val="24"/>
                <w:szCs w:val="24"/>
                <w:highlight w:val="yellow"/>
                <w:rtl w:val="0"/>
              </w:rPr>
              <w:t xml:space="preserve">1 - T</w:t>
            </w:r>
            <w:r w:rsidDel="00000000" w:rsidR="00000000" w:rsidRPr="00000000">
              <w:rPr>
                <w:b w:val="1"/>
                <w:color w:val="000000"/>
                <w:sz w:val="24"/>
                <w:szCs w:val="24"/>
                <w:highlight w:val="yellow"/>
                <w:rtl w:val="0"/>
              </w:rPr>
              <w:t xml:space="preserve">he higher of (a) the Operating Margin for the most recent 12 month period and (b) the average Operating Margin for the last two 12 month periods</w:t>
            </w:r>
            <w:r w:rsidDel="00000000" w:rsidR="00000000" w:rsidRPr="00000000">
              <w:rPr>
                <w:rtl w:val="0"/>
              </w:rPr>
            </w:r>
          </w:p>
        </w:tc>
        <w:tc>
          <w:tcPr>
            <w:vAlign w:val="center"/>
          </w:tcPr>
          <w:p w:rsidR="00000000" w:rsidDel="00000000" w:rsidP="00000000" w:rsidRDefault="00000000" w:rsidRPr="00000000" w14:paraId="0000006C">
            <w:pPr>
              <w:pBdr>
                <w:top w:space="0" w:sz="0" w:val="nil"/>
                <w:left w:space="0" w:sz="0" w:val="nil"/>
                <w:bottom w:space="0" w:sz="0" w:val="nil"/>
                <w:right w:space="0" w:sz="0" w:val="nil"/>
                <w:between w:space="0" w:sz="0" w:val="nil"/>
              </w:pBdr>
              <w:spacing w:after="120" w:before="120" w:lineRule="auto"/>
              <w:jc w:val="center"/>
              <w:rPr>
                <w:i w:val="1"/>
                <w:color w:val="000000"/>
                <w:sz w:val="24"/>
                <w:szCs w:val="24"/>
              </w:rPr>
            </w:pPr>
            <w:r w:rsidDel="00000000" w:rsidR="00000000" w:rsidRPr="00000000">
              <w:rPr>
                <w:i w:val="1"/>
                <w:color w:val="000000"/>
                <w:sz w:val="24"/>
                <w:szCs w:val="24"/>
                <w:highlight w:val="yellow"/>
                <w:rtl w:val="0"/>
              </w:rPr>
              <w:t xml:space="preserve">Operating Margin = Operating Profit / Revenue</w:t>
            </w:r>
            <w:r w:rsidDel="00000000" w:rsidR="00000000" w:rsidRPr="00000000">
              <w:rPr>
                <w:rtl w:val="0"/>
              </w:rPr>
            </w:r>
          </w:p>
        </w:tc>
        <w:tc>
          <w:tcPr>
            <w:vAlign w:val="center"/>
          </w:tcPr>
          <w:p w:rsidR="00000000" w:rsidDel="00000000" w:rsidP="00000000" w:rsidRDefault="00000000" w:rsidRPr="00000000" w14:paraId="0000006D">
            <w:pPr>
              <w:pBdr>
                <w:top w:space="0" w:sz="0" w:val="nil"/>
                <w:left w:space="0" w:sz="0" w:val="nil"/>
                <w:bottom w:space="0" w:sz="0" w:val="nil"/>
                <w:right w:space="0" w:sz="0" w:val="nil"/>
                <w:between w:space="0" w:sz="0" w:val="nil"/>
              </w:pBdr>
              <w:spacing w:after="120" w:before="120" w:lineRule="auto"/>
              <w:jc w:val="center"/>
              <w:rPr>
                <w:i w:val="1"/>
                <w:color w:val="000000"/>
                <w:sz w:val="24"/>
                <w:szCs w:val="24"/>
                <w:highlight w:val="yellow"/>
              </w:rPr>
            </w:pPr>
            <w:r w:rsidDel="00000000" w:rsidR="00000000" w:rsidRPr="00000000">
              <w:rPr>
                <w:i w:val="1"/>
                <w:sz w:val="24"/>
                <w:szCs w:val="24"/>
                <w:highlight w:val="yellow"/>
                <w:rtl w:val="0"/>
              </w:rPr>
              <w:t xml:space="preserve">&lt;3.0%</w:t>
            </w:r>
            <w:r w:rsidDel="00000000" w:rsidR="00000000" w:rsidRPr="00000000">
              <w:rPr>
                <w:rtl w:val="0"/>
              </w:rPr>
            </w:r>
          </w:p>
        </w:tc>
        <w:tc>
          <w:tcPr>
            <w:vAlign w:val="center"/>
          </w:tcPr>
          <w:p w:rsidR="00000000" w:rsidDel="00000000" w:rsidP="00000000" w:rsidRDefault="00000000" w:rsidRPr="00000000" w14:paraId="0000006E">
            <w:pPr>
              <w:pBdr>
                <w:top w:space="0" w:sz="0" w:val="nil"/>
                <w:left w:space="0" w:sz="0" w:val="nil"/>
                <w:bottom w:space="0" w:sz="0" w:val="nil"/>
                <w:right w:space="0" w:sz="0" w:val="nil"/>
                <w:between w:space="0" w:sz="0" w:val="nil"/>
              </w:pBdr>
              <w:spacing w:after="120" w:before="120" w:lineRule="auto"/>
              <w:jc w:val="center"/>
              <w:rPr>
                <w:i w:val="1"/>
                <w:color w:val="000000"/>
                <w:sz w:val="24"/>
                <w:szCs w:val="24"/>
              </w:rPr>
            </w:pPr>
            <w:r w:rsidDel="00000000" w:rsidR="00000000" w:rsidRPr="00000000">
              <w:rPr>
                <w:i w:val="1"/>
                <w:color w:val="000000"/>
                <w:sz w:val="24"/>
                <w:szCs w:val="24"/>
                <w:rtl w:val="0"/>
              </w:rPr>
              <w:t xml:space="preserve">Tested and reported</w:t>
            </w:r>
            <w:r w:rsidDel="00000000" w:rsidR="00000000" w:rsidRPr="00000000">
              <w:rPr>
                <w:i w:val="1"/>
                <w:color w:val="000000"/>
                <w:sz w:val="24"/>
                <w:szCs w:val="24"/>
                <w:highlight w:val="yellow"/>
                <w:rtl w:val="0"/>
              </w:rPr>
              <w:t xml:space="preserve"> yearly</w:t>
            </w:r>
            <w:r w:rsidDel="00000000" w:rsidR="00000000" w:rsidRPr="00000000">
              <w:rPr>
                <w:i w:val="1"/>
                <w:color w:val="000000"/>
                <w:sz w:val="24"/>
                <w:szCs w:val="24"/>
                <w:rtl w:val="0"/>
              </w:rPr>
              <w:t xml:space="preserve"> in arrears within </w:t>
            </w:r>
            <w:r w:rsidDel="00000000" w:rsidR="00000000" w:rsidRPr="00000000">
              <w:rPr>
                <w:i w:val="1"/>
                <w:color w:val="000000"/>
                <w:sz w:val="24"/>
                <w:szCs w:val="24"/>
                <w:highlight w:val="yellow"/>
                <w:rtl w:val="0"/>
              </w:rPr>
              <w:t xml:space="preserve">120</w:t>
            </w:r>
            <w:r w:rsidDel="00000000" w:rsidR="00000000" w:rsidRPr="00000000">
              <w:rPr>
                <w:i w:val="1"/>
                <w:color w:val="000000"/>
                <w:sz w:val="24"/>
                <w:szCs w:val="24"/>
                <w:rtl w:val="0"/>
              </w:rPr>
              <w:t xml:space="preserve"> days of each </w:t>
            </w:r>
            <w:r w:rsidDel="00000000" w:rsidR="00000000" w:rsidRPr="00000000">
              <w:rPr>
                <w:i w:val="1"/>
                <w:color w:val="000000"/>
                <w:sz w:val="24"/>
                <w:szCs w:val="24"/>
                <w:highlight w:val="yellow"/>
                <w:rtl w:val="0"/>
              </w:rPr>
              <w:t xml:space="preserve">accounting reference date</w:t>
            </w:r>
            <w:r w:rsidDel="00000000" w:rsidR="00000000" w:rsidRPr="00000000">
              <w:rPr>
                <w:i w:val="1"/>
                <w:sz w:val="24"/>
                <w:szCs w:val="24"/>
                <w:highlight w:val="yellow"/>
                <w:rtl w:val="0"/>
              </w:rPr>
              <w:t xml:space="preserve"> </w:t>
            </w:r>
            <w:r w:rsidDel="00000000" w:rsidR="00000000" w:rsidRPr="00000000">
              <w:rPr>
                <w:i w:val="1"/>
                <w:color w:val="000000"/>
                <w:sz w:val="24"/>
                <w:szCs w:val="24"/>
                <w:rtl w:val="0"/>
              </w:rPr>
              <w:t xml:space="preserve">based upon figures for the 12 months ending on the relevant </w:t>
            </w:r>
            <w:r w:rsidDel="00000000" w:rsidR="00000000" w:rsidRPr="00000000">
              <w:rPr>
                <w:i w:val="1"/>
                <w:color w:val="000000"/>
                <w:sz w:val="24"/>
                <w:szCs w:val="24"/>
                <w:highlight w:val="yellow"/>
                <w:rtl w:val="0"/>
              </w:rPr>
              <w:t xml:space="preserve">accounting reference date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F">
            <w:pPr>
              <w:pBdr>
                <w:top w:space="0" w:sz="0" w:val="nil"/>
                <w:left w:space="0" w:sz="0" w:val="nil"/>
                <w:bottom w:space="0" w:sz="0" w:val="nil"/>
                <w:right w:space="0" w:sz="0" w:val="nil"/>
                <w:between w:space="0" w:sz="0" w:val="nil"/>
              </w:pBdr>
              <w:spacing w:after="120" w:before="120" w:lineRule="auto"/>
              <w:jc w:val="left"/>
              <w:rPr>
                <w:b w:val="1"/>
                <w:color w:val="000000"/>
                <w:sz w:val="24"/>
                <w:szCs w:val="24"/>
              </w:rPr>
            </w:pPr>
            <w:r w:rsidDel="00000000" w:rsidR="00000000" w:rsidRPr="00000000">
              <w:rPr>
                <w:b w:val="1"/>
                <w:sz w:val="24"/>
                <w:szCs w:val="24"/>
                <w:rtl w:val="0"/>
              </w:rPr>
              <w:t xml:space="preserve">2 - </w:t>
            </w:r>
            <w:r w:rsidDel="00000000" w:rsidR="00000000" w:rsidRPr="00000000">
              <w:rPr>
                <w:b w:val="1"/>
                <w:color w:val="000000"/>
                <w:sz w:val="24"/>
                <w:szCs w:val="24"/>
                <w:highlight w:val="yellow"/>
                <w:rtl w:val="0"/>
              </w:rPr>
              <w:t xml:space="preserve">Net Debt to EBITDA Ratio</w:t>
            </w:r>
            <w:r w:rsidDel="00000000" w:rsidR="00000000" w:rsidRPr="00000000">
              <w:rPr>
                <w:rtl w:val="0"/>
              </w:rPr>
            </w:r>
          </w:p>
        </w:tc>
        <w:tc>
          <w:tcPr>
            <w:vAlign w:val="center"/>
          </w:tcPr>
          <w:p w:rsidR="00000000" w:rsidDel="00000000" w:rsidP="00000000" w:rsidRDefault="00000000" w:rsidRPr="00000000" w14:paraId="00000070">
            <w:pPr>
              <w:pBdr>
                <w:top w:space="0" w:sz="0" w:val="nil"/>
                <w:left w:space="0" w:sz="0" w:val="nil"/>
                <w:bottom w:space="0" w:sz="0" w:val="nil"/>
                <w:right w:space="0" w:sz="0" w:val="nil"/>
                <w:between w:space="0" w:sz="0" w:val="nil"/>
              </w:pBdr>
              <w:spacing w:after="120" w:before="120" w:lineRule="auto"/>
              <w:jc w:val="center"/>
              <w:rPr>
                <w:i w:val="1"/>
                <w:color w:val="000000"/>
                <w:sz w:val="24"/>
                <w:szCs w:val="24"/>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120" w:before="120" w:lineRule="auto"/>
              <w:jc w:val="center"/>
              <w:rPr>
                <w:i w:val="1"/>
                <w:color w:val="000000"/>
                <w:sz w:val="24"/>
                <w:szCs w:val="24"/>
              </w:rPr>
            </w:pPr>
            <w:r w:rsidDel="00000000" w:rsidR="00000000" w:rsidRPr="00000000">
              <w:rPr>
                <w:i w:val="1"/>
                <w:color w:val="000000"/>
                <w:sz w:val="24"/>
                <w:szCs w:val="24"/>
                <w:highlight w:val="yellow"/>
                <w:rtl w:val="0"/>
              </w:rPr>
              <w:t xml:space="preserve">Net Debt to EBITDA ratio = Net Debt / EBITDA</w:t>
            </w:r>
            <w:r w:rsidDel="00000000" w:rsidR="00000000" w:rsidRPr="00000000">
              <w:rPr>
                <w:rtl w:val="0"/>
              </w:rPr>
            </w:r>
          </w:p>
        </w:tc>
        <w:tc>
          <w:tcPr>
            <w:vAlign w:val="center"/>
          </w:tcPr>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120" w:before="120" w:lineRule="auto"/>
              <w:jc w:val="center"/>
              <w:rPr>
                <w:i w:val="1"/>
                <w:color w:val="000000"/>
                <w:sz w:val="24"/>
                <w:szCs w:val="24"/>
              </w:rPr>
            </w:pPr>
            <w:r w:rsidDel="00000000" w:rsidR="00000000" w:rsidRPr="00000000">
              <w:rPr>
                <w:i w:val="1"/>
                <w:sz w:val="24"/>
                <w:szCs w:val="24"/>
                <w:highlight w:val="yellow"/>
                <w:rtl w:val="0"/>
              </w:rPr>
              <w:t xml:space="preserve">&gt;3.5x</w:t>
            </w:r>
            <w:r w:rsidDel="00000000" w:rsidR="00000000" w:rsidRPr="00000000">
              <w:rPr>
                <w:i w:val="1"/>
                <w:color w:val="000000"/>
                <w:sz w:val="24"/>
                <w:szCs w:val="24"/>
                <w:rtl w:val="0"/>
              </w:rPr>
              <w:t xml:space="preserve"> times</w:t>
            </w:r>
          </w:p>
        </w:tc>
        <w:tc>
          <w:tcPr>
            <w:vAlign w:val="center"/>
          </w:tcPr>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120" w:before="120" w:lineRule="auto"/>
              <w:jc w:val="center"/>
              <w:rPr>
                <w:i w:val="1"/>
                <w:color w:val="000000"/>
                <w:sz w:val="24"/>
                <w:szCs w:val="24"/>
              </w:rPr>
            </w:pPr>
            <w:r w:rsidDel="00000000" w:rsidR="00000000" w:rsidRPr="00000000">
              <w:rPr>
                <w:i w:val="1"/>
                <w:color w:val="000000"/>
                <w:sz w:val="24"/>
                <w:szCs w:val="24"/>
                <w:rtl w:val="0"/>
              </w:rPr>
              <w:t xml:space="preserve">Tested and reported </w:t>
            </w:r>
            <w:r w:rsidDel="00000000" w:rsidR="00000000" w:rsidRPr="00000000">
              <w:rPr>
                <w:i w:val="1"/>
                <w:color w:val="000000"/>
                <w:sz w:val="24"/>
                <w:szCs w:val="24"/>
                <w:highlight w:val="yellow"/>
                <w:rtl w:val="0"/>
              </w:rPr>
              <w:t xml:space="preserve">yearly</w:t>
            </w:r>
            <w:r w:rsidDel="00000000" w:rsidR="00000000" w:rsidRPr="00000000">
              <w:rPr>
                <w:i w:val="1"/>
                <w:sz w:val="24"/>
                <w:szCs w:val="24"/>
                <w:highlight w:val="yellow"/>
                <w:rtl w:val="0"/>
              </w:rPr>
              <w:t xml:space="preserve"> </w:t>
            </w:r>
            <w:r w:rsidDel="00000000" w:rsidR="00000000" w:rsidRPr="00000000">
              <w:rPr>
                <w:i w:val="1"/>
                <w:color w:val="000000"/>
                <w:sz w:val="24"/>
                <w:szCs w:val="24"/>
                <w:rtl w:val="0"/>
              </w:rPr>
              <w:t xml:space="preserve">in arrears within </w:t>
            </w:r>
            <w:r w:rsidDel="00000000" w:rsidR="00000000" w:rsidRPr="00000000">
              <w:rPr>
                <w:i w:val="1"/>
                <w:color w:val="000000"/>
                <w:sz w:val="24"/>
                <w:szCs w:val="24"/>
                <w:highlight w:val="yellow"/>
                <w:rtl w:val="0"/>
              </w:rPr>
              <w:t xml:space="preserve">120 </w:t>
            </w:r>
            <w:r w:rsidDel="00000000" w:rsidR="00000000" w:rsidRPr="00000000">
              <w:rPr>
                <w:i w:val="1"/>
                <w:color w:val="000000"/>
                <w:sz w:val="24"/>
                <w:szCs w:val="24"/>
                <w:rtl w:val="0"/>
              </w:rPr>
              <w:t xml:space="preserve">days of each </w:t>
            </w:r>
            <w:r w:rsidDel="00000000" w:rsidR="00000000" w:rsidRPr="00000000">
              <w:rPr>
                <w:i w:val="1"/>
                <w:color w:val="000000"/>
                <w:sz w:val="24"/>
                <w:szCs w:val="24"/>
                <w:highlight w:val="yellow"/>
                <w:rtl w:val="0"/>
              </w:rPr>
              <w:t xml:space="preserve">accounting reference date </w:t>
            </w:r>
            <w:r w:rsidDel="00000000" w:rsidR="00000000" w:rsidRPr="00000000">
              <w:rPr>
                <w:i w:val="1"/>
                <w:color w:val="000000"/>
                <w:sz w:val="24"/>
                <w:szCs w:val="24"/>
                <w:rtl w:val="0"/>
              </w:rPr>
              <w:t xml:space="preserve">based upon </w:t>
            </w:r>
            <w:r w:rsidDel="00000000" w:rsidR="00000000" w:rsidRPr="00000000">
              <w:rPr>
                <w:i w:val="1"/>
                <w:color w:val="000000"/>
                <w:sz w:val="24"/>
                <w:szCs w:val="24"/>
                <w:highlight w:val="yellow"/>
                <w:rtl w:val="0"/>
              </w:rPr>
              <w:t xml:space="preserve">Free Cash Flow / EBITDA</w:t>
            </w:r>
            <w:r w:rsidDel="00000000" w:rsidR="00000000" w:rsidRPr="00000000">
              <w:rPr>
                <w:i w:val="1"/>
                <w:color w:val="000000"/>
                <w:sz w:val="24"/>
                <w:szCs w:val="24"/>
                <w:rtl w:val="0"/>
              </w:rPr>
              <w:t xml:space="preserve"> for the 12 months ending on, and Net Debt at, the relevant </w:t>
            </w:r>
            <w:r w:rsidDel="00000000" w:rsidR="00000000" w:rsidRPr="00000000">
              <w:rPr>
                <w:i w:val="1"/>
                <w:color w:val="000000"/>
                <w:sz w:val="24"/>
                <w:szCs w:val="24"/>
                <w:highlight w:val="yellow"/>
                <w:rtl w:val="0"/>
              </w:rPr>
              <w:t xml:space="preserve">accounting reference date </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120" w:before="120" w:lineRule="auto"/>
              <w:jc w:val="left"/>
              <w:rPr>
                <w:b w:val="1"/>
                <w:color w:val="000000"/>
                <w:sz w:val="24"/>
                <w:szCs w:val="24"/>
              </w:rPr>
            </w:pPr>
            <w:r w:rsidDel="00000000" w:rsidR="00000000" w:rsidRPr="00000000">
              <w:rPr>
                <w:b w:val="1"/>
                <w:color w:val="000000"/>
                <w:sz w:val="24"/>
                <w:szCs w:val="24"/>
                <w:rtl w:val="0"/>
              </w:rPr>
              <w:t xml:space="preserve">3 - </w:t>
            </w:r>
            <w:r w:rsidDel="00000000" w:rsidR="00000000" w:rsidRPr="00000000">
              <w:rPr>
                <w:b w:val="1"/>
                <w:color w:val="000000"/>
                <w:sz w:val="24"/>
                <w:szCs w:val="24"/>
                <w:highlight w:val="yellow"/>
                <w:rtl w:val="0"/>
              </w:rPr>
              <w:t xml:space="preserve">Net Debt + Net Pension Deficit to EBITDA ratio</w:t>
            </w:r>
            <w:r w:rsidDel="00000000" w:rsidR="00000000" w:rsidRPr="00000000">
              <w:rPr>
                <w:rtl w:val="0"/>
              </w:rPr>
            </w:r>
          </w:p>
        </w:tc>
        <w:tc>
          <w:tcPr>
            <w:vAlign w:val="center"/>
          </w:tcPr>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120" w:before="120" w:lineRule="auto"/>
              <w:jc w:val="center"/>
              <w:rPr>
                <w:i w:val="1"/>
                <w:color w:val="000000"/>
                <w:sz w:val="24"/>
                <w:szCs w:val="24"/>
              </w:rPr>
            </w:pPr>
            <w:r w:rsidDel="00000000" w:rsidR="00000000" w:rsidRPr="00000000">
              <w:rPr>
                <w:i w:val="1"/>
                <w:color w:val="000000"/>
                <w:sz w:val="24"/>
                <w:szCs w:val="24"/>
                <w:highlight w:val="yellow"/>
                <w:rtl w:val="0"/>
              </w:rPr>
              <w:t xml:space="preserve">Net Debt + Net Pension Deficit to EBITDA Ratio = (Net Debt + Net Pension Deficit) / EBITDA</w:t>
            </w:r>
            <w:r w:rsidDel="00000000" w:rsidR="00000000" w:rsidRPr="00000000">
              <w:rPr>
                <w:rtl w:val="0"/>
              </w:rPr>
            </w:r>
          </w:p>
        </w:tc>
        <w:tc>
          <w:tcPr>
            <w:vAlign w:val="center"/>
          </w:tcPr>
          <w:p w:rsidR="00000000" w:rsidDel="00000000" w:rsidP="00000000" w:rsidRDefault="00000000" w:rsidRPr="00000000" w14:paraId="00000076">
            <w:pPr>
              <w:pBdr>
                <w:top w:space="0" w:sz="0" w:val="nil"/>
                <w:left w:space="0" w:sz="0" w:val="nil"/>
                <w:bottom w:space="0" w:sz="0" w:val="nil"/>
                <w:right w:space="0" w:sz="0" w:val="nil"/>
                <w:between w:space="0" w:sz="0" w:val="nil"/>
              </w:pBdr>
              <w:spacing w:after="120" w:before="120" w:lineRule="auto"/>
              <w:jc w:val="center"/>
              <w:rPr>
                <w:i w:val="1"/>
                <w:color w:val="000000"/>
                <w:sz w:val="24"/>
                <w:szCs w:val="24"/>
              </w:rPr>
            </w:pPr>
            <w:r w:rsidDel="00000000" w:rsidR="00000000" w:rsidRPr="00000000">
              <w:rPr>
                <w:i w:val="1"/>
                <w:sz w:val="24"/>
                <w:szCs w:val="24"/>
                <w:highlight w:val="yellow"/>
                <w:rtl w:val="0"/>
              </w:rPr>
              <w:t xml:space="preserve">&gt;5.0x</w:t>
            </w:r>
            <w:r w:rsidDel="00000000" w:rsidR="00000000" w:rsidRPr="00000000">
              <w:rPr>
                <w:i w:val="1"/>
                <w:color w:val="000000"/>
                <w:sz w:val="24"/>
                <w:szCs w:val="24"/>
                <w:rtl w:val="0"/>
              </w:rPr>
              <w:t xml:space="preserve"> times</w:t>
            </w:r>
          </w:p>
        </w:tc>
        <w:tc>
          <w:tcPr>
            <w:vAlign w:val="center"/>
          </w:tcPr>
          <w:p w:rsidR="00000000" w:rsidDel="00000000" w:rsidP="00000000" w:rsidRDefault="00000000" w:rsidRPr="00000000" w14:paraId="00000077">
            <w:pPr>
              <w:pBdr>
                <w:top w:space="0" w:sz="0" w:val="nil"/>
                <w:left w:space="0" w:sz="0" w:val="nil"/>
                <w:bottom w:space="0" w:sz="0" w:val="nil"/>
                <w:right w:space="0" w:sz="0" w:val="nil"/>
                <w:between w:space="0" w:sz="0" w:val="nil"/>
              </w:pBdr>
              <w:spacing w:after="120" w:before="120" w:lineRule="auto"/>
              <w:jc w:val="center"/>
              <w:rPr>
                <w:i w:val="1"/>
                <w:color w:val="000000"/>
                <w:sz w:val="24"/>
                <w:szCs w:val="24"/>
              </w:rPr>
            </w:pPr>
            <w:r w:rsidDel="00000000" w:rsidR="00000000" w:rsidRPr="00000000">
              <w:rPr>
                <w:i w:val="1"/>
                <w:color w:val="000000"/>
                <w:sz w:val="24"/>
                <w:szCs w:val="24"/>
                <w:rtl w:val="0"/>
              </w:rPr>
              <w:t xml:space="preserve">Tested and reported yearly in arrears within 90 days of each accounting reference date based upon EBITDA for the 12 months ending on, and the Net Debt and Net Pension Deficit at, the relevant accounting reference date</w:t>
            </w:r>
          </w:p>
        </w:tc>
      </w:tr>
      <w:tr>
        <w:trPr>
          <w:cantSplit w:val="0"/>
          <w:tblHeader w:val="0"/>
        </w:trPr>
        <w:tc>
          <w:tcPr>
            <w:vAlign w:val="center"/>
          </w:tcPr>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120" w:before="120" w:lineRule="auto"/>
              <w:jc w:val="left"/>
              <w:rPr>
                <w:b w:val="1"/>
                <w:color w:val="000000"/>
                <w:sz w:val="24"/>
                <w:szCs w:val="24"/>
              </w:rPr>
            </w:pPr>
            <w:r w:rsidDel="00000000" w:rsidR="00000000" w:rsidRPr="00000000">
              <w:rPr>
                <w:b w:val="1"/>
                <w:color w:val="000000"/>
                <w:sz w:val="24"/>
                <w:szCs w:val="24"/>
                <w:rtl w:val="0"/>
              </w:rPr>
              <w:t xml:space="preserve">4 - </w:t>
            </w:r>
            <w:r w:rsidDel="00000000" w:rsidR="00000000" w:rsidRPr="00000000">
              <w:rPr>
                <w:b w:val="1"/>
                <w:color w:val="000000"/>
                <w:sz w:val="24"/>
                <w:szCs w:val="24"/>
                <w:highlight w:val="yellow"/>
                <w:rtl w:val="0"/>
              </w:rPr>
              <w:t xml:space="preserve">Net Interest Paid Cover</w:t>
            </w:r>
            <w:r w:rsidDel="00000000" w:rsidR="00000000" w:rsidRPr="00000000">
              <w:rPr>
                <w:rtl w:val="0"/>
              </w:rPr>
            </w:r>
          </w:p>
        </w:tc>
        <w:tc>
          <w:tcPr>
            <w:vAlign w:val="center"/>
          </w:tcPr>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120" w:before="120" w:lineRule="auto"/>
              <w:jc w:val="center"/>
              <w:rPr>
                <w:i w:val="1"/>
                <w:color w:val="000000"/>
                <w:sz w:val="24"/>
                <w:szCs w:val="24"/>
              </w:rPr>
            </w:pPr>
            <w:r w:rsidDel="00000000" w:rsidR="00000000" w:rsidRPr="00000000">
              <w:rPr>
                <w:i w:val="1"/>
                <w:color w:val="000000"/>
                <w:sz w:val="24"/>
                <w:szCs w:val="24"/>
                <w:rtl w:val="0"/>
              </w:rPr>
              <w:t xml:space="preserve">[Net Interest Paid Cover = Earnings Before Interest and Tax / Net Interest Paid]</w:t>
            </w:r>
          </w:p>
        </w:tc>
        <w:tc>
          <w:tcPr>
            <w:vAlign w:val="center"/>
          </w:tcPr>
          <w:p w:rsidR="00000000" w:rsidDel="00000000" w:rsidP="00000000" w:rsidRDefault="00000000" w:rsidRPr="00000000" w14:paraId="0000007A">
            <w:pPr>
              <w:pBdr>
                <w:top w:space="0" w:sz="0" w:val="nil"/>
                <w:left w:space="0" w:sz="0" w:val="nil"/>
                <w:bottom w:space="0" w:sz="0" w:val="nil"/>
                <w:right w:space="0" w:sz="0" w:val="nil"/>
                <w:between w:space="0" w:sz="0" w:val="nil"/>
              </w:pBdr>
              <w:spacing w:after="120" w:before="120" w:lineRule="auto"/>
              <w:jc w:val="center"/>
              <w:rPr>
                <w:i w:val="1"/>
                <w:color w:val="000000"/>
                <w:sz w:val="24"/>
                <w:szCs w:val="24"/>
              </w:rPr>
            </w:pPr>
            <w:r w:rsidDel="00000000" w:rsidR="00000000" w:rsidRPr="00000000">
              <w:rPr>
                <w:i w:val="1"/>
                <w:color w:val="000000"/>
                <w:sz w:val="24"/>
                <w:szCs w:val="24"/>
                <w:highlight w:val="yellow"/>
                <w:rtl w:val="0"/>
              </w:rPr>
              <w:t xml:space="preserve">&lt;3.0</w:t>
            </w:r>
            <w:r w:rsidDel="00000000" w:rsidR="00000000" w:rsidRPr="00000000">
              <w:rPr>
                <w:i w:val="1"/>
                <w:color w:val="000000"/>
                <w:sz w:val="24"/>
                <w:szCs w:val="24"/>
                <w:rtl w:val="0"/>
              </w:rPr>
              <w:t xml:space="preserve"> times</w:t>
            </w:r>
          </w:p>
        </w:tc>
        <w:tc>
          <w:tcPr>
            <w:vAlign w:val="center"/>
          </w:tcPr>
          <w:p w:rsidR="00000000" w:rsidDel="00000000" w:rsidP="00000000" w:rsidRDefault="00000000" w:rsidRPr="00000000" w14:paraId="0000007B">
            <w:pPr>
              <w:pBdr>
                <w:top w:space="0" w:sz="0" w:val="nil"/>
                <w:left w:space="0" w:sz="0" w:val="nil"/>
                <w:bottom w:space="0" w:sz="0" w:val="nil"/>
                <w:right w:space="0" w:sz="0" w:val="nil"/>
                <w:between w:space="0" w:sz="0" w:val="nil"/>
              </w:pBdr>
              <w:spacing w:after="120" w:before="120" w:lineRule="auto"/>
              <w:jc w:val="center"/>
              <w:rPr>
                <w:i w:val="1"/>
                <w:color w:val="000000"/>
                <w:sz w:val="24"/>
                <w:szCs w:val="24"/>
              </w:rPr>
            </w:pPr>
            <w:bookmarkStart w:colFirst="0" w:colLast="0" w:name="_heading=h.tf5t2e9x9osd" w:id="23"/>
            <w:bookmarkEnd w:id="23"/>
            <w:r w:rsidDel="00000000" w:rsidR="00000000" w:rsidRPr="00000000">
              <w:rPr>
                <w:i w:val="1"/>
                <w:color w:val="000000"/>
                <w:sz w:val="24"/>
                <w:szCs w:val="24"/>
                <w:rtl w:val="0"/>
              </w:rPr>
              <w:t xml:space="preserve">Tested and reported </w:t>
            </w:r>
            <w:r w:rsidDel="00000000" w:rsidR="00000000" w:rsidRPr="00000000">
              <w:rPr>
                <w:i w:val="1"/>
                <w:color w:val="000000"/>
                <w:sz w:val="24"/>
                <w:szCs w:val="24"/>
                <w:highlight w:val="yellow"/>
                <w:rtl w:val="0"/>
              </w:rPr>
              <w:t xml:space="preserve">yearly</w:t>
            </w:r>
            <w:r w:rsidDel="00000000" w:rsidR="00000000" w:rsidRPr="00000000">
              <w:rPr>
                <w:i w:val="1"/>
                <w:color w:val="000000"/>
                <w:sz w:val="24"/>
                <w:szCs w:val="24"/>
                <w:rtl w:val="0"/>
              </w:rPr>
              <w:t xml:space="preserve"> in arrears within </w:t>
            </w:r>
            <w:r w:rsidDel="00000000" w:rsidR="00000000" w:rsidRPr="00000000">
              <w:rPr>
                <w:i w:val="1"/>
                <w:color w:val="000000"/>
                <w:sz w:val="24"/>
                <w:szCs w:val="24"/>
                <w:highlight w:val="yellow"/>
                <w:rtl w:val="0"/>
              </w:rPr>
              <w:t xml:space="preserve">120</w:t>
            </w:r>
            <w:r w:rsidDel="00000000" w:rsidR="00000000" w:rsidRPr="00000000">
              <w:rPr>
                <w:i w:val="1"/>
                <w:color w:val="000000"/>
                <w:sz w:val="24"/>
                <w:szCs w:val="24"/>
                <w:rtl w:val="0"/>
              </w:rPr>
              <w:t xml:space="preserve"> days of each </w:t>
            </w:r>
            <w:r w:rsidDel="00000000" w:rsidR="00000000" w:rsidRPr="00000000">
              <w:rPr>
                <w:i w:val="1"/>
                <w:color w:val="000000"/>
                <w:sz w:val="24"/>
                <w:szCs w:val="24"/>
                <w:highlight w:val="yellow"/>
                <w:rtl w:val="0"/>
              </w:rPr>
              <w:t xml:space="preserve">accounting reference date</w:t>
            </w:r>
            <w:r w:rsidDel="00000000" w:rsidR="00000000" w:rsidRPr="00000000">
              <w:rPr>
                <w:i w:val="1"/>
                <w:color w:val="000000"/>
                <w:sz w:val="24"/>
                <w:szCs w:val="24"/>
                <w:rtl w:val="0"/>
              </w:rPr>
              <w:t xml:space="preserve"> based upon figures for the 12 months ending on the relevant</w:t>
            </w:r>
            <w:r w:rsidDel="00000000" w:rsidR="00000000" w:rsidRPr="00000000">
              <w:rPr>
                <w:i w:val="1"/>
                <w:sz w:val="24"/>
                <w:szCs w:val="24"/>
                <w:highlight w:val="yellow"/>
                <w:rtl w:val="0"/>
              </w:rPr>
              <w:t xml:space="preserve"> </w:t>
            </w:r>
            <w:r w:rsidDel="00000000" w:rsidR="00000000" w:rsidRPr="00000000">
              <w:rPr>
                <w:i w:val="1"/>
                <w:color w:val="000000"/>
                <w:sz w:val="24"/>
                <w:szCs w:val="24"/>
                <w:highlight w:val="yellow"/>
                <w:rtl w:val="0"/>
              </w:rPr>
              <w:t xml:space="preserve">accounting reference date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7C">
            <w:pPr>
              <w:pBdr>
                <w:top w:space="0" w:sz="0" w:val="nil"/>
                <w:left w:space="0" w:sz="0" w:val="nil"/>
                <w:bottom w:space="0" w:sz="0" w:val="nil"/>
                <w:right w:space="0" w:sz="0" w:val="nil"/>
                <w:between w:space="0" w:sz="0" w:val="nil"/>
              </w:pBdr>
              <w:spacing w:after="120" w:before="120" w:lineRule="auto"/>
              <w:jc w:val="left"/>
              <w:rPr>
                <w:b w:val="1"/>
                <w:color w:val="000000"/>
                <w:sz w:val="24"/>
                <w:szCs w:val="24"/>
              </w:rPr>
            </w:pPr>
            <w:r w:rsidDel="00000000" w:rsidR="00000000" w:rsidRPr="00000000">
              <w:rPr>
                <w:b w:val="1"/>
                <w:color w:val="000000"/>
                <w:sz w:val="24"/>
                <w:szCs w:val="24"/>
                <w:rtl w:val="0"/>
              </w:rPr>
              <w:t xml:space="preserve">5</w:t>
            </w:r>
            <w:r w:rsidDel="00000000" w:rsidR="00000000" w:rsidRPr="00000000">
              <w:rPr>
                <w:b w:val="1"/>
                <w:sz w:val="24"/>
                <w:szCs w:val="24"/>
                <w:rtl w:val="0"/>
              </w:rPr>
              <w:t xml:space="preserve"> - </w:t>
            </w:r>
            <w:r w:rsidDel="00000000" w:rsidR="00000000" w:rsidRPr="00000000">
              <w:rPr>
                <w:b w:val="1"/>
                <w:color w:val="000000"/>
                <w:sz w:val="24"/>
                <w:szCs w:val="24"/>
                <w:highlight w:val="yellow"/>
                <w:rtl w:val="0"/>
              </w:rPr>
              <w:t xml:space="preserve">Acid Ratio</w:t>
            </w:r>
            <w:r w:rsidDel="00000000" w:rsidR="00000000" w:rsidRPr="00000000">
              <w:rPr>
                <w:b w:val="1"/>
                <w:sz w:val="24"/>
                <w:szCs w:val="24"/>
                <w:highlight w:val="yellow"/>
                <w:rtl w:val="0"/>
              </w:rPr>
              <w:t xml:space="preserve"> (Or Quick Ratio)</w:t>
            </w:r>
            <w:r w:rsidDel="00000000" w:rsidR="00000000" w:rsidRPr="00000000">
              <w:rPr>
                <w:rtl w:val="0"/>
              </w:rPr>
            </w:r>
          </w:p>
        </w:tc>
        <w:tc>
          <w:tcPr>
            <w:vAlign w:val="center"/>
          </w:tcPr>
          <w:p w:rsidR="00000000" w:rsidDel="00000000" w:rsidP="00000000" w:rsidRDefault="00000000" w:rsidRPr="00000000" w14:paraId="0000007D">
            <w:pPr>
              <w:pBdr>
                <w:top w:space="0" w:sz="0" w:val="nil"/>
                <w:left w:space="0" w:sz="0" w:val="nil"/>
                <w:bottom w:space="0" w:sz="0" w:val="nil"/>
                <w:right w:space="0" w:sz="0" w:val="nil"/>
                <w:between w:space="0" w:sz="0" w:val="nil"/>
              </w:pBdr>
              <w:spacing w:after="120" w:before="120" w:lineRule="auto"/>
              <w:jc w:val="center"/>
              <w:rPr>
                <w:i w:val="1"/>
                <w:color w:val="000000"/>
                <w:sz w:val="24"/>
                <w:szCs w:val="24"/>
              </w:rPr>
            </w:pPr>
            <w:r w:rsidDel="00000000" w:rsidR="00000000" w:rsidRPr="00000000">
              <w:rPr>
                <w:i w:val="1"/>
                <w:color w:val="000000"/>
                <w:sz w:val="24"/>
                <w:szCs w:val="24"/>
                <w:highlight w:val="yellow"/>
                <w:rtl w:val="0"/>
              </w:rPr>
              <w:t xml:space="preserve">Acid Ratio = (Current Assets – Inventories) / Current Liabilities</w:t>
            </w:r>
            <w:r w:rsidDel="00000000" w:rsidR="00000000" w:rsidRPr="00000000">
              <w:rPr>
                <w:rtl w:val="0"/>
              </w:rPr>
            </w:r>
          </w:p>
        </w:tc>
        <w:tc>
          <w:tcPr>
            <w:vAlign w:val="center"/>
          </w:tcPr>
          <w:p w:rsidR="00000000" w:rsidDel="00000000" w:rsidP="00000000" w:rsidRDefault="00000000" w:rsidRPr="00000000" w14:paraId="0000007E">
            <w:pPr>
              <w:pBdr>
                <w:top w:space="0" w:sz="0" w:val="nil"/>
                <w:left w:space="0" w:sz="0" w:val="nil"/>
                <w:bottom w:space="0" w:sz="0" w:val="nil"/>
                <w:right w:space="0" w:sz="0" w:val="nil"/>
                <w:between w:space="0" w:sz="0" w:val="nil"/>
              </w:pBdr>
              <w:spacing w:after="120" w:before="120" w:lineRule="auto"/>
              <w:jc w:val="center"/>
              <w:rPr>
                <w:i w:val="1"/>
                <w:color w:val="000000"/>
                <w:sz w:val="24"/>
                <w:szCs w:val="24"/>
              </w:rPr>
            </w:pPr>
            <w:r w:rsidDel="00000000" w:rsidR="00000000" w:rsidRPr="00000000">
              <w:rPr>
                <w:i w:val="1"/>
                <w:sz w:val="24"/>
                <w:szCs w:val="24"/>
                <w:highlight w:val="yellow"/>
                <w:rtl w:val="0"/>
              </w:rPr>
              <w:t xml:space="preserve">&lt;0.8</w:t>
            </w:r>
            <w:r w:rsidDel="00000000" w:rsidR="00000000" w:rsidRPr="00000000">
              <w:rPr>
                <w:i w:val="1"/>
                <w:color w:val="000000"/>
                <w:sz w:val="24"/>
                <w:szCs w:val="24"/>
                <w:highlight w:val="yellow"/>
                <w:rtl w:val="0"/>
              </w:rPr>
              <w:t xml:space="preserve"> </w:t>
            </w:r>
            <w:r w:rsidDel="00000000" w:rsidR="00000000" w:rsidRPr="00000000">
              <w:rPr>
                <w:i w:val="1"/>
                <w:color w:val="000000"/>
                <w:sz w:val="24"/>
                <w:szCs w:val="24"/>
                <w:rtl w:val="0"/>
              </w:rPr>
              <w:t xml:space="preserve">times</w:t>
            </w:r>
          </w:p>
        </w:tc>
        <w:tc>
          <w:tcPr>
            <w:vAlign w:val="center"/>
          </w:tcPr>
          <w:p w:rsidR="00000000" w:rsidDel="00000000" w:rsidP="00000000" w:rsidRDefault="00000000" w:rsidRPr="00000000" w14:paraId="0000007F">
            <w:pPr>
              <w:pBdr>
                <w:top w:space="0" w:sz="0" w:val="nil"/>
                <w:left w:space="0" w:sz="0" w:val="nil"/>
                <w:bottom w:space="0" w:sz="0" w:val="nil"/>
                <w:right w:space="0" w:sz="0" w:val="nil"/>
                <w:between w:space="0" w:sz="0" w:val="nil"/>
              </w:pBdr>
              <w:spacing w:after="120" w:before="120" w:lineRule="auto"/>
              <w:jc w:val="center"/>
              <w:rPr>
                <w:i w:val="1"/>
                <w:color w:val="000000"/>
                <w:sz w:val="24"/>
                <w:szCs w:val="24"/>
              </w:rPr>
            </w:pPr>
            <w:r w:rsidDel="00000000" w:rsidR="00000000" w:rsidRPr="00000000">
              <w:rPr>
                <w:i w:val="1"/>
                <w:color w:val="000000"/>
                <w:sz w:val="24"/>
                <w:szCs w:val="24"/>
                <w:rtl w:val="0"/>
              </w:rPr>
              <w:t xml:space="preserve">Tested and reported </w:t>
            </w:r>
            <w:r w:rsidDel="00000000" w:rsidR="00000000" w:rsidRPr="00000000">
              <w:rPr>
                <w:i w:val="1"/>
                <w:color w:val="000000"/>
                <w:sz w:val="24"/>
                <w:szCs w:val="24"/>
                <w:highlight w:val="yellow"/>
                <w:rtl w:val="0"/>
              </w:rPr>
              <w:t xml:space="preserve">yearly </w:t>
            </w:r>
            <w:r w:rsidDel="00000000" w:rsidR="00000000" w:rsidRPr="00000000">
              <w:rPr>
                <w:i w:val="1"/>
                <w:color w:val="000000"/>
                <w:sz w:val="24"/>
                <w:szCs w:val="24"/>
                <w:rtl w:val="0"/>
              </w:rPr>
              <w:t xml:space="preserve">in arrears within </w:t>
            </w:r>
            <w:r w:rsidDel="00000000" w:rsidR="00000000" w:rsidRPr="00000000">
              <w:rPr>
                <w:i w:val="1"/>
                <w:color w:val="000000"/>
                <w:sz w:val="24"/>
                <w:szCs w:val="24"/>
                <w:highlight w:val="yellow"/>
                <w:rtl w:val="0"/>
              </w:rPr>
              <w:t xml:space="preserve">120 </w:t>
            </w:r>
            <w:r w:rsidDel="00000000" w:rsidR="00000000" w:rsidRPr="00000000">
              <w:rPr>
                <w:i w:val="1"/>
                <w:color w:val="000000"/>
                <w:sz w:val="24"/>
                <w:szCs w:val="24"/>
                <w:rtl w:val="0"/>
              </w:rPr>
              <w:t xml:space="preserve">days of each </w:t>
            </w:r>
            <w:r w:rsidDel="00000000" w:rsidR="00000000" w:rsidRPr="00000000">
              <w:rPr>
                <w:i w:val="1"/>
                <w:color w:val="000000"/>
                <w:sz w:val="24"/>
                <w:szCs w:val="24"/>
                <w:highlight w:val="yellow"/>
                <w:rtl w:val="0"/>
              </w:rPr>
              <w:t xml:space="preserve">accounting reference date </w:t>
            </w:r>
            <w:r w:rsidDel="00000000" w:rsidR="00000000" w:rsidRPr="00000000">
              <w:rPr>
                <w:i w:val="1"/>
                <w:color w:val="000000"/>
                <w:sz w:val="24"/>
                <w:szCs w:val="24"/>
                <w:rtl w:val="0"/>
              </w:rPr>
              <w:t xml:space="preserve">based upon figures at the relevant </w:t>
            </w:r>
            <w:r w:rsidDel="00000000" w:rsidR="00000000" w:rsidRPr="00000000">
              <w:rPr>
                <w:i w:val="1"/>
                <w:color w:val="000000"/>
                <w:sz w:val="24"/>
                <w:szCs w:val="24"/>
                <w:highlight w:val="yellow"/>
                <w:rtl w:val="0"/>
              </w:rPr>
              <w:t xml:space="preserve">accounting reference date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80">
            <w:pPr>
              <w:pBdr>
                <w:top w:space="0" w:sz="0" w:val="nil"/>
                <w:left w:space="0" w:sz="0" w:val="nil"/>
                <w:bottom w:space="0" w:sz="0" w:val="nil"/>
                <w:right w:space="0" w:sz="0" w:val="nil"/>
                <w:between w:space="0" w:sz="0" w:val="nil"/>
              </w:pBdr>
              <w:spacing w:after="120" w:before="120" w:lineRule="auto"/>
              <w:jc w:val="left"/>
              <w:rPr>
                <w:b w:val="1"/>
                <w:color w:val="000000"/>
                <w:sz w:val="24"/>
                <w:szCs w:val="24"/>
              </w:rPr>
            </w:pPr>
            <w:r w:rsidDel="00000000" w:rsidR="00000000" w:rsidRPr="00000000">
              <w:rPr>
                <w:b w:val="1"/>
                <w:color w:val="000000"/>
                <w:sz w:val="24"/>
                <w:szCs w:val="24"/>
                <w:rtl w:val="0"/>
              </w:rPr>
              <w:t xml:space="preserve">6</w:t>
            </w:r>
            <w:r w:rsidDel="00000000" w:rsidR="00000000" w:rsidRPr="00000000">
              <w:rPr>
                <w:b w:val="1"/>
                <w:sz w:val="24"/>
                <w:szCs w:val="24"/>
                <w:highlight w:val="yellow"/>
                <w:rtl w:val="0"/>
              </w:rPr>
              <w:t xml:space="preserve"> - </w:t>
            </w:r>
            <w:r w:rsidDel="00000000" w:rsidR="00000000" w:rsidRPr="00000000">
              <w:rPr>
                <w:b w:val="1"/>
                <w:color w:val="000000"/>
                <w:sz w:val="24"/>
                <w:szCs w:val="24"/>
                <w:highlight w:val="yellow"/>
                <w:rtl w:val="0"/>
              </w:rPr>
              <w:t xml:space="preserve">Net Asset value</w:t>
            </w:r>
            <w:r w:rsidDel="00000000" w:rsidR="00000000" w:rsidRPr="00000000">
              <w:rPr>
                <w:rtl w:val="0"/>
              </w:rPr>
            </w:r>
          </w:p>
        </w:tc>
        <w:tc>
          <w:tcPr>
            <w:vAlign w:val="center"/>
          </w:tcPr>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120" w:before="120" w:lineRule="auto"/>
              <w:jc w:val="center"/>
              <w:rPr>
                <w:i w:val="1"/>
                <w:color w:val="000000"/>
                <w:sz w:val="24"/>
                <w:szCs w:val="24"/>
              </w:rPr>
            </w:pPr>
            <w:r w:rsidDel="00000000" w:rsidR="00000000" w:rsidRPr="00000000">
              <w:rPr>
                <w:i w:val="1"/>
                <w:color w:val="000000"/>
                <w:sz w:val="24"/>
                <w:szCs w:val="24"/>
                <w:highlight w:val="yellow"/>
                <w:rtl w:val="0"/>
              </w:rPr>
              <w:t xml:space="preserve">Net Asset Value = Net Assets</w:t>
            </w:r>
            <w:r w:rsidDel="00000000" w:rsidR="00000000" w:rsidRPr="00000000">
              <w:rPr>
                <w:rtl w:val="0"/>
              </w:rPr>
            </w:r>
          </w:p>
        </w:tc>
        <w:tc>
          <w:tcPr>
            <w:vAlign w:val="center"/>
          </w:tcPr>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120" w:before="120" w:lineRule="auto"/>
              <w:jc w:val="center"/>
              <w:rPr>
                <w:i w:val="1"/>
                <w:color w:val="000000"/>
                <w:sz w:val="24"/>
                <w:szCs w:val="24"/>
              </w:rPr>
            </w:pPr>
            <w:r w:rsidDel="00000000" w:rsidR="00000000" w:rsidRPr="00000000">
              <w:rPr>
                <w:i w:val="1"/>
                <w:color w:val="000000"/>
                <w:sz w:val="24"/>
                <w:szCs w:val="24"/>
                <w:highlight w:val="yellow"/>
                <w:rtl w:val="0"/>
              </w:rPr>
              <w:t xml:space="preserve">&gt; </w:t>
            </w:r>
            <w:r w:rsidDel="00000000" w:rsidR="00000000" w:rsidRPr="00000000">
              <w:rPr>
                <w:i w:val="1"/>
                <w:sz w:val="24"/>
                <w:szCs w:val="24"/>
                <w:highlight w:val="yellow"/>
                <w:rtl w:val="0"/>
              </w:rPr>
              <w:t xml:space="preserve">Nil</w:t>
            </w:r>
            <w:r w:rsidDel="00000000" w:rsidR="00000000" w:rsidRPr="00000000">
              <w:rPr>
                <w:rtl w:val="0"/>
              </w:rPr>
            </w:r>
          </w:p>
        </w:tc>
        <w:tc>
          <w:tcPr>
            <w:vAlign w:val="center"/>
          </w:tcPr>
          <w:p w:rsidR="00000000" w:rsidDel="00000000" w:rsidP="00000000" w:rsidRDefault="00000000" w:rsidRPr="00000000" w14:paraId="00000083">
            <w:pPr>
              <w:pBdr>
                <w:top w:space="0" w:sz="0" w:val="nil"/>
                <w:left w:space="0" w:sz="0" w:val="nil"/>
                <w:bottom w:space="0" w:sz="0" w:val="nil"/>
                <w:right w:space="0" w:sz="0" w:val="nil"/>
                <w:between w:space="0" w:sz="0" w:val="nil"/>
              </w:pBdr>
              <w:spacing w:after="120" w:before="120" w:lineRule="auto"/>
              <w:jc w:val="center"/>
              <w:rPr>
                <w:i w:val="1"/>
                <w:color w:val="000000"/>
                <w:sz w:val="24"/>
                <w:szCs w:val="24"/>
              </w:rPr>
            </w:pPr>
            <w:r w:rsidDel="00000000" w:rsidR="00000000" w:rsidRPr="00000000">
              <w:rPr>
                <w:i w:val="1"/>
                <w:color w:val="000000"/>
                <w:sz w:val="24"/>
                <w:szCs w:val="24"/>
                <w:rtl w:val="0"/>
              </w:rPr>
              <w:t xml:space="preserve">Tested and reported </w:t>
            </w:r>
            <w:r w:rsidDel="00000000" w:rsidR="00000000" w:rsidRPr="00000000">
              <w:rPr>
                <w:i w:val="1"/>
                <w:color w:val="000000"/>
                <w:sz w:val="24"/>
                <w:szCs w:val="24"/>
                <w:highlight w:val="yellow"/>
                <w:rtl w:val="0"/>
              </w:rPr>
              <w:t xml:space="preserve">yearly </w:t>
            </w:r>
            <w:r w:rsidDel="00000000" w:rsidR="00000000" w:rsidRPr="00000000">
              <w:rPr>
                <w:i w:val="1"/>
                <w:color w:val="000000"/>
                <w:sz w:val="24"/>
                <w:szCs w:val="24"/>
                <w:rtl w:val="0"/>
              </w:rPr>
              <w:t xml:space="preserve">in arrears within </w:t>
            </w:r>
            <w:r w:rsidDel="00000000" w:rsidR="00000000" w:rsidRPr="00000000">
              <w:rPr>
                <w:i w:val="1"/>
                <w:color w:val="000000"/>
                <w:sz w:val="24"/>
                <w:szCs w:val="24"/>
                <w:highlight w:val="yellow"/>
                <w:rtl w:val="0"/>
              </w:rPr>
              <w:t xml:space="preserve">120 </w:t>
            </w:r>
            <w:r w:rsidDel="00000000" w:rsidR="00000000" w:rsidRPr="00000000">
              <w:rPr>
                <w:i w:val="1"/>
                <w:color w:val="000000"/>
                <w:sz w:val="24"/>
                <w:szCs w:val="24"/>
                <w:rtl w:val="0"/>
              </w:rPr>
              <w:t xml:space="preserve">days of each </w:t>
            </w:r>
            <w:r w:rsidDel="00000000" w:rsidR="00000000" w:rsidRPr="00000000">
              <w:rPr>
                <w:i w:val="1"/>
                <w:color w:val="000000"/>
                <w:sz w:val="24"/>
                <w:szCs w:val="24"/>
                <w:highlight w:val="yellow"/>
                <w:rtl w:val="0"/>
              </w:rPr>
              <w:t xml:space="preserve">accounting reference date </w:t>
            </w:r>
            <w:r w:rsidDel="00000000" w:rsidR="00000000" w:rsidRPr="00000000">
              <w:rPr>
                <w:i w:val="1"/>
                <w:color w:val="000000"/>
                <w:sz w:val="24"/>
                <w:szCs w:val="24"/>
                <w:rtl w:val="0"/>
              </w:rPr>
              <w:t xml:space="preserve">based upon figures at the relevant </w:t>
            </w:r>
            <w:r w:rsidDel="00000000" w:rsidR="00000000" w:rsidRPr="00000000">
              <w:rPr>
                <w:i w:val="1"/>
                <w:color w:val="000000"/>
                <w:sz w:val="24"/>
                <w:szCs w:val="24"/>
                <w:highlight w:val="yellow"/>
                <w:rtl w:val="0"/>
              </w:rPr>
              <w:t xml:space="preserve">accounting reference date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84">
            <w:pPr>
              <w:pBdr>
                <w:top w:space="0" w:sz="0" w:val="nil"/>
                <w:left w:space="0" w:sz="0" w:val="nil"/>
                <w:bottom w:space="0" w:sz="0" w:val="nil"/>
                <w:right w:space="0" w:sz="0" w:val="nil"/>
                <w:between w:space="0" w:sz="0" w:val="nil"/>
              </w:pBdr>
              <w:spacing w:after="120" w:before="120" w:lineRule="auto"/>
              <w:jc w:val="left"/>
              <w:rPr>
                <w:b w:val="1"/>
                <w:color w:val="000000"/>
                <w:sz w:val="24"/>
                <w:szCs w:val="24"/>
              </w:rPr>
            </w:pPr>
            <w:r w:rsidDel="00000000" w:rsidR="00000000" w:rsidRPr="00000000">
              <w:rPr>
                <w:b w:val="1"/>
                <w:color w:val="000000"/>
                <w:sz w:val="24"/>
                <w:szCs w:val="24"/>
                <w:rtl w:val="0"/>
              </w:rPr>
              <w:t xml:space="preserve">7 - </w:t>
            </w:r>
            <w:r w:rsidDel="00000000" w:rsidR="00000000" w:rsidRPr="00000000">
              <w:rPr>
                <w:b w:val="1"/>
                <w:color w:val="000000"/>
                <w:sz w:val="24"/>
                <w:szCs w:val="24"/>
                <w:highlight w:val="yellow"/>
                <w:rtl w:val="0"/>
              </w:rPr>
              <w:t xml:space="preserve">Group Exposure Ratio</w:t>
            </w:r>
            <w:r w:rsidDel="00000000" w:rsidR="00000000" w:rsidRPr="00000000">
              <w:rPr>
                <w:rtl w:val="0"/>
              </w:rPr>
            </w:r>
          </w:p>
        </w:tc>
        <w:tc>
          <w:tcPr>
            <w:vAlign w:val="center"/>
          </w:tcPr>
          <w:p w:rsidR="00000000" w:rsidDel="00000000" w:rsidP="00000000" w:rsidRDefault="00000000" w:rsidRPr="00000000" w14:paraId="00000085">
            <w:pPr>
              <w:pBdr>
                <w:top w:space="0" w:sz="0" w:val="nil"/>
                <w:left w:space="0" w:sz="0" w:val="nil"/>
                <w:bottom w:space="0" w:sz="0" w:val="nil"/>
                <w:right w:space="0" w:sz="0" w:val="nil"/>
                <w:between w:space="0" w:sz="0" w:val="nil"/>
              </w:pBdr>
              <w:spacing w:after="120" w:before="120" w:lineRule="auto"/>
              <w:jc w:val="center"/>
              <w:rPr>
                <w:i w:val="1"/>
                <w:color w:val="000000"/>
                <w:sz w:val="24"/>
                <w:szCs w:val="24"/>
              </w:rPr>
            </w:pPr>
            <w:r w:rsidDel="00000000" w:rsidR="00000000" w:rsidRPr="00000000">
              <w:rPr>
                <w:i w:val="1"/>
                <w:color w:val="000000"/>
                <w:sz w:val="24"/>
                <w:szCs w:val="24"/>
                <w:highlight w:val="yellow"/>
                <w:rtl w:val="0"/>
              </w:rPr>
              <w:t xml:space="preserve">Group Exposure / Gross Assets</w:t>
            </w:r>
            <w:r w:rsidDel="00000000" w:rsidR="00000000" w:rsidRPr="00000000">
              <w:rPr>
                <w:rtl w:val="0"/>
              </w:rPr>
            </w:r>
          </w:p>
        </w:tc>
        <w:tc>
          <w:tcPr>
            <w:vAlign w:val="center"/>
          </w:tcPr>
          <w:p w:rsidR="00000000" w:rsidDel="00000000" w:rsidP="00000000" w:rsidRDefault="00000000" w:rsidRPr="00000000" w14:paraId="00000086">
            <w:pPr>
              <w:pBdr>
                <w:top w:space="0" w:sz="0" w:val="nil"/>
                <w:left w:space="0" w:sz="0" w:val="nil"/>
                <w:bottom w:space="0" w:sz="0" w:val="nil"/>
                <w:right w:space="0" w:sz="0" w:val="nil"/>
                <w:between w:space="0" w:sz="0" w:val="nil"/>
              </w:pBdr>
              <w:spacing w:after="120" w:before="120" w:lineRule="auto"/>
              <w:jc w:val="center"/>
              <w:rPr>
                <w:i w:val="1"/>
                <w:color w:val="000000"/>
                <w:sz w:val="24"/>
                <w:szCs w:val="24"/>
              </w:rPr>
            </w:pPr>
            <w:r w:rsidDel="00000000" w:rsidR="00000000" w:rsidRPr="00000000">
              <w:rPr>
                <w:i w:val="1"/>
                <w:sz w:val="24"/>
                <w:szCs w:val="24"/>
                <w:highlight w:val="yellow"/>
                <w:rtl w:val="0"/>
              </w:rPr>
              <w:t xml:space="preserve">&gt;50</w:t>
            </w:r>
            <w:r w:rsidDel="00000000" w:rsidR="00000000" w:rsidRPr="00000000">
              <w:rPr>
                <w:i w:val="1"/>
                <w:color w:val="000000"/>
                <w:sz w:val="24"/>
                <w:szCs w:val="24"/>
                <w:highlight w:val="yellow"/>
                <w:rtl w:val="0"/>
              </w:rPr>
              <w:t xml:space="preserve">%</w:t>
            </w:r>
            <w:r w:rsidDel="00000000" w:rsidR="00000000" w:rsidRPr="00000000">
              <w:rPr>
                <w:rtl w:val="0"/>
              </w:rPr>
            </w:r>
          </w:p>
        </w:tc>
        <w:tc>
          <w:tcPr>
            <w:vAlign w:val="center"/>
          </w:tcPr>
          <w:p w:rsidR="00000000" w:rsidDel="00000000" w:rsidP="00000000" w:rsidRDefault="00000000" w:rsidRPr="00000000" w14:paraId="00000087">
            <w:pPr>
              <w:pBdr>
                <w:top w:space="0" w:sz="0" w:val="nil"/>
                <w:left w:space="0" w:sz="0" w:val="nil"/>
                <w:bottom w:space="0" w:sz="0" w:val="nil"/>
                <w:right w:space="0" w:sz="0" w:val="nil"/>
                <w:between w:space="0" w:sz="0" w:val="nil"/>
              </w:pBdr>
              <w:spacing w:after="120" w:before="120" w:lineRule="auto"/>
              <w:jc w:val="center"/>
              <w:rPr>
                <w:i w:val="1"/>
                <w:color w:val="000000"/>
                <w:sz w:val="24"/>
                <w:szCs w:val="24"/>
              </w:rPr>
            </w:pPr>
            <w:r w:rsidDel="00000000" w:rsidR="00000000" w:rsidRPr="00000000">
              <w:rPr>
                <w:i w:val="1"/>
                <w:color w:val="000000"/>
                <w:sz w:val="24"/>
                <w:szCs w:val="24"/>
                <w:rtl w:val="0"/>
              </w:rPr>
              <w:t xml:space="preserve">Tested and reported yearly in arrears within 90 days of each accounting reference date based upon figures at the relevant accounting reference date</w:t>
            </w:r>
          </w:p>
        </w:tc>
      </w:tr>
    </w:tbl>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left" w:leader="none" w:pos="142"/>
        </w:tabs>
        <w:spacing w:after="120" w:before="120" w:lineRule="auto"/>
        <w:rPr>
          <w:smallCaps w:val="1"/>
        </w:rPr>
      </w:pPr>
      <w:r w:rsidDel="00000000" w:rsidR="00000000" w:rsidRPr="00000000">
        <w:rPr>
          <w:rtl w:val="0"/>
        </w:rPr>
        <w:t xml:space="preserve">Key: 1 – see Annex 3 to this Schedule which sets out the calculation methodology to be used in the calculation of each Financial Indicator.</w:t>
      </w:r>
      <w:r w:rsidDel="00000000" w:rsidR="00000000" w:rsidRPr="00000000">
        <w:rPr>
          <w:rtl w:val="0"/>
        </w:rPr>
      </w:r>
    </w:p>
    <w:p w:rsidR="00000000" w:rsidDel="00000000" w:rsidP="00000000" w:rsidRDefault="00000000" w:rsidRPr="00000000" w14:paraId="00000089">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8j7j46en5kg0" w:id="24"/>
      <w:bookmarkEnd w:id="24"/>
      <w:r w:rsidDel="00000000" w:rsidR="00000000" w:rsidRPr="00000000">
        <w:rPr>
          <w:rtl w:val="0"/>
        </w:rPr>
        <w:t xml:space="preserve">Monitored Suppliers </w:t>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1134"/>
        </w:tabs>
        <w:spacing w:after="120" w:before="120" w:lineRule="auto"/>
        <w:ind w:left="1134" w:firstLine="0"/>
        <w:jc w:val="left"/>
        <w:rPr>
          <w:b w:val="1"/>
          <w:i w:val="1"/>
        </w:rPr>
      </w:pPr>
      <w:r w:rsidDel="00000000" w:rsidR="00000000" w:rsidRPr="00000000">
        <w:rPr>
          <w:b w:val="1"/>
          <w:i w:val="1"/>
          <w:highlight w:val="yellow"/>
          <w:rtl w:val="0"/>
        </w:rPr>
        <w:t xml:space="preserve">[Guidance: Insert details of any other entities which the Supplier is required to monitor against the Financial Indicators. These are in addition to the Supplier’s monitoring of itself, the Guarantor and the Key Sub-contractors. Not all the Financial Indicators may be applicable to a Monitored Supplier, so indicate which of those are to apply in the table below]</w:t>
      </w:r>
      <w:r w:rsidDel="00000000" w:rsidR="00000000" w:rsidRPr="00000000">
        <w:rPr>
          <w:rtl w:val="0"/>
        </w:rPr>
      </w:r>
    </w:p>
    <w:tbl>
      <w:tblPr>
        <w:tblStyle w:val="Table3"/>
        <w:tblW w:w="7887.0" w:type="dxa"/>
        <w:jc w:val="left"/>
        <w:tblInd w:w="112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664"/>
        <w:gridCol w:w="4223"/>
        <w:tblGridChange w:id="0">
          <w:tblGrid>
            <w:gridCol w:w="3664"/>
            <w:gridCol w:w="4223"/>
          </w:tblGrid>
        </w:tblGridChange>
      </w:tblGrid>
      <w:tr>
        <w:trPr>
          <w:cantSplit w:val="0"/>
          <w:tblHeader w:val="0"/>
        </w:trPr>
        <w:tc>
          <w:tcPr>
            <w:shd w:fill="d9d9d9" w:val="clear"/>
          </w:tcPr>
          <w:p w:rsidR="00000000" w:rsidDel="00000000" w:rsidP="00000000" w:rsidRDefault="00000000" w:rsidRPr="00000000" w14:paraId="0000008B">
            <w:pPr>
              <w:pBdr>
                <w:top w:space="0" w:sz="0" w:val="nil"/>
                <w:left w:space="0" w:sz="0" w:val="nil"/>
                <w:bottom w:space="0" w:sz="0" w:val="nil"/>
                <w:right w:space="0" w:sz="0" w:val="nil"/>
                <w:between w:space="0" w:sz="0" w:val="nil"/>
              </w:pBdr>
              <w:spacing w:after="120" w:before="120" w:lineRule="auto"/>
              <w:jc w:val="left"/>
              <w:rPr>
                <w:b w:val="1"/>
                <w:sz w:val="24"/>
                <w:szCs w:val="24"/>
              </w:rPr>
            </w:pPr>
            <w:r w:rsidDel="00000000" w:rsidR="00000000" w:rsidRPr="00000000">
              <w:rPr>
                <w:b w:val="1"/>
                <w:sz w:val="24"/>
                <w:szCs w:val="24"/>
                <w:rtl w:val="0"/>
              </w:rPr>
              <w:t xml:space="preserve">Monitored Supplier</w:t>
            </w:r>
          </w:p>
        </w:tc>
        <w:tc>
          <w:tcPr>
            <w:shd w:fill="d9d9d9" w:val="clear"/>
          </w:tcPr>
          <w:p w:rsidR="00000000" w:rsidDel="00000000" w:rsidP="00000000" w:rsidRDefault="00000000" w:rsidRPr="00000000" w14:paraId="0000008C">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Applicable Financial Indicators</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120" w:before="120" w:lineRule="auto"/>
              <w:jc w:val="left"/>
              <w:rPr>
                <w:sz w:val="24"/>
                <w:szCs w:val="24"/>
              </w:rPr>
            </w:pPr>
            <w:bookmarkStart w:colFirst="0" w:colLast="0" w:name="_heading=h.3whwml4" w:id="25"/>
            <w:bookmarkEnd w:id="25"/>
            <w:r w:rsidDel="00000000" w:rsidR="00000000" w:rsidRPr="00000000">
              <w:rPr>
                <w:sz w:val="24"/>
                <w:szCs w:val="24"/>
                <w:rtl w:val="0"/>
              </w:rPr>
              <w:t xml:space="preserve">(these are the Financial Indicators from the table in Paragraph 5.1 which are to apply to the Monitored Suppliers)</w:t>
            </w:r>
          </w:p>
        </w:tc>
      </w:tr>
      <w:tr>
        <w:trPr>
          <w:cantSplit w:val="0"/>
          <w:tblHeader w:val="0"/>
        </w:trPr>
        <w:tc>
          <w:tcPr/>
          <w:p w:rsidR="00000000" w:rsidDel="00000000" w:rsidP="00000000" w:rsidRDefault="00000000" w:rsidRPr="00000000" w14:paraId="0000008E">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highlight w:val="yellow"/>
                <w:rtl w:val="0"/>
              </w:rPr>
              <w:t xml:space="preserve">[Entity 1 e.g Group Member, Sub-contractor, Relevant Parent Company etc.] </w:t>
            </w:r>
            <w:r w:rsidDel="00000000" w:rsidR="00000000" w:rsidRPr="00000000">
              <w:rPr>
                <w:rtl w:val="0"/>
              </w:rPr>
            </w:r>
          </w:p>
        </w:tc>
        <w:tc>
          <w:tcPr/>
          <w:p w:rsidR="00000000" w:rsidDel="00000000" w:rsidP="00000000" w:rsidRDefault="00000000" w:rsidRPr="00000000" w14:paraId="0000008F">
            <w:pPr>
              <w:pBdr>
                <w:top w:space="0" w:sz="0" w:val="nil"/>
                <w:left w:space="0" w:sz="0" w:val="nil"/>
                <w:bottom w:space="0" w:sz="0" w:val="nil"/>
                <w:right w:space="0" w:sz="0" w:val="nil"/>
                <w:between w:space="0" w:sz="0" w:val="nil"/>
              </w:pBdr>
              <w:spacing w:after="120" w:before="120" w:lineRule="auto"/>
              <w:jc w:val="left"/>
              <w:rPr>
                <w:sz w:val="24"/>
                <w:szCs w:val="24"/>
                <w:highlight w:val="yellow"/>
              </w:rPr>
            </w:pPr>
            <w:r w:rsidDel="00000000" w:rsidR="00000000" w:rsidRPr="00000000">
              <w:rPr>
                <w:sz w:val="24"/>
                <w:szCs w:val="24"/>
                <w:highlight w:val="yellow"/>
                <w:rtl w:val="0"/>
              </w:rPr>
              <w:t xml:space="preserve">[1 – Operating Margin]</w:t>
            </w:r>
          </w:p>
          <w:p w:rsidR="00000000" w:rsidDel="00000000" w:rsidP="00000000" w:rsidRDefault="00000000" w:rsidRPr="00000000" w14:paraId="00000090">
            <w:pPr>
              <w:pBdr>
                <w:top w:space="0" w:sz="0" w:val="nil"/>
                <w:left w:space="0" w:sz="0" w:val="nil"/>
                <w:bottom w:space="0" w:sz="0" w:val="nil"/>
                <w:right w:space="0" w:sz="0" w:val="nil"/>
                <w:between w:space="0" w:sz="0" w:val="nil"/>
              </w:pBdr>
              <w:spacing w:after="120" w:before="120" w:lineRule="auto"/>
              <w:jc w:val="left"/>
              <w:rPr>
                <w:sz w:val="24"/>
                <w:szCs w:val="24"/>
                <w:highlight w:val="yellow"/>
              </w:rPr>
            </w:pPr>
            <w:r w:rsidDel="00000000" w:rsidR="00000000" w:rsidRPr="00000000">
              <w:rPr>
                <w:sz w:val="24"/>
                <w:szCs w:val="24"/>
                <w:highlight w:val="yellow"/>
                <w:rtl w:val="0"/>
              </w:rPr>
              <w:t xml:space="preserve">[2 – etc..]</w:t>
            </w:r>
          </w:p>
          <w:p w:rsidR="00000000" w:rsidDel="00000000" w:rsidP="00000000" w:rsidRDefault="00000000" w:rsidRPr="00000000" w14:paraId="00000091">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highlight w:val="yellow"/>
                <w:rtl w:val="0"/>
              </w:rPr>
              <w:t xml:space="preserve">[3][4][5][6][7][8][etc..]</w:t>
            </w:r>
            <w:r w:rsidDel="00000000" w:rsidR="00000000" w:rsidRPr="00000000">
              <w:rPr>
                <w:rtl w:val="0"/>
              </w:rPr>
            </w:r>
          </w:p>
        </w:tc>
      </w:tr>
      <w:tr>
        <w:trPr>
          <w:cantSplit w:val="0"/>
          <w:tblHeader w:val="0"/>
        </w:trPr>
        <w:tc>
          <w:tcPr/>
          <w:p w:rsidR="00000000" w:rsidDel="00000000" w:rsidP="00000000" w:rsidRDefault="00000000" w:rsidRPr="00000000" w14:paraId="00000092">
            <w:pPr>
              <w:pBdr>
                <w:top w:space="0" w:sz="0" w:val="nil"/>
                <w:left w:space="0" w:sz="0" w:val="nil"/>
                <w:bottom w:space="0" w:sz="0" w:val="nil"/>
                <w:right w:space="0" w:sz="0" w:val="nil"/>
                <w:between w:space="0" w:sz="0" w:val="nil"/>
              </w:pBdr>
              <w:spacing w:after="120" w:before="120" w:lineRule="auto"/>
              <w:jc w:val="left"/>
              <w:rPr>
                <w:sz w:val="24"/>
                <w:szCs w:val="24"/>
                <w:highlight w:val="yellow"/>
              </w:rPr>
            </w:pPr>
            <w:r w:rsidDel="00000000" w:rsidR="00000000" w:rsidRPr="00000000">
              <w:rPr>
                <w:sz w:val="24"/>
                <w:szCs w:val="24"/>
                <w:highlight w:val="yellow"/>
                <w:rtl w:val="0"/>
              </w:rPr>
              <w:t xml:space="preserve">[Entity 2 e.g Group Member, Sub-contractor, Relevant Parent Company etc.]</w:t>
            </w:r>
          </w:p>
        </w:tc>
        <w:tc>
          <w:tcPr/>
          <w:p w:rsidR="00000000" w:rsidDel="00000000" w:rsidP="00000000" w:rsidRDefault="00000000" w:rsidRPr="00000000" w14:paraId="00000093">
            <w:pPr>
              <w:pBdr>
                <w:top w:space="0" w:sz="0" w:val="nil"/>
                <w:left w:space="0" w:sz="0" w:val="nil"/>
                <w:bottom w:space="0" w:sz="0" w:val="nil"/>
                <w:right w:space="0" w:sz="0" w:val="nil"/>
                <w:between w:space="0" w:sz="0" w:val="nil"/>
              </w:pBdr>
              <w:spacing w:after="120" w:before="120" w:lineRule="auto"/>
              <w:jc w:val="left"/>
              <w:rPr>
                <w:sz w:val="24"/>
                <w:szCs w:val="24"/>
                <w:highlight w:val="yellow"/>
              </w:rPr>
            </w:pPr>
            <w:r w:rsidDel="00000000" w:rsidR="00000000" w:rsidRPr="00000000">
              <w:rPr>
                <w:sz w:val="24"/>
                <w:szCs w:val="24"/>
                <w:highlight w:val="yellow"/>
                <w:rtl w:val="0"/>
              </w:rPr>
              <w:t xml:space="preserve">[1 – Operating Margin]</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120" w:before="120" w:lineRule="auto"/>
              <w:jc w:val="left"/>
              <w:rPr>
                <w:sz w:val="24"/>
                <w:szCs w:val="24"/>
                <w:highlight w:val="yellow"/>
              </w:rPr>
            </w:pPr>
            <w:r w:rsidDel="00000000" w:rsidR="00000000" w:rsidRPr="00000000">
              <w:rPr>
                <w:sz w:val="24"/>
                <w:szCs w:val="24"/>
                <w:highlight w:val="yellow"/>
                <w:rtl w:val="0"/>
              </w:rPr>
              <w:t xml:space="preserve">[2 – etc.]</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120" w:before="120" w:lineRule="auto"/>
              <w:jc w:val="left"/>
              <w:rPr>
                <w:sz w:val="24"/>
                <w:szCs w:val="24"/>
                <w:highlight w:val="yellow"/>
              </w:rPr>
            </w:pPr>
            <w:r w:rsidDel="00000000" w:rsidR="00000000" w:rsidRPr="00000000">
              <w:rPr>
                <w:sz w:val="24"/>
                <w:szCs w:val="24"/>
                <w:highlight w:val="yellow"/>
                <w:rtl w:val="0"/>
              </w:rPr>
              <w:t xml:space="preserve">[3][4][5][6][7][8][etc..]</w:t>
            </w:r>
          </w:p>
        </w:tc>
      </w:tr>
      <w:tr>
        <w:trPr>
          <w:cantSplit w:val="0"/>
          <w:tblHeader w:val="0"/>
        </w:trPr>
        <w:tc>
          <w:tcPr/>
          <w:p w:rsidR="00000000" w:rsidDel="00000000" w:rsidP="00000000" w:rsidRDefault="00000000" w:rsidRPr="00000000" w14:paraId="00000096">
            <w:pPr>
              <w:pBdr>
                <w:top w:space="0" w:sz="0" w:val="nil"/>
                <w:left w:space="0" w:sz="0" w:val="nil"/>
                <w:bottom w:space="0" w:sz="0" w:val="nil"/>
                <w:right w:space="0" w:sz="0" w:val="nil"/>
                <w:between w:space="0" w:sz="0" w:val="nil"/>
              </w:pBdr>
              <w:spacing w:after="120" w:before="120" w:lineRule="auto"/>
              <w:jc w:val="left"/>
              <w:rPr>
                <w:sz w:val="24"/>
                <w:szCs w:val="24"/>
                <w:highlight w:val="yellow"/>
              </w:rPr>
            </w:pPr>
            <w:r w:rsidDel="00000000" w:rsidR="00000000" w:rsidRPr="00000000">
              <w:rPr>
                <w:sz w:val="24"/>
                <w:szCs w:val="24"/>
                <w:highlight w:val="yellow"/>
                <w:rtl w:val="0"/>
              </w:rPr>
              <w:t xml:space="preserve">[etc.]</w:t>
            </w:r>
          </w:p>
        </w:tc>
        <w:tc>
          <w:tcPr/>
          <w:p w:rsidR="00000000" w:rsidDel="00000000" w:rsidP="00000000" w:rsidRDefault="00000000" w:rsidRPr="00000000" w14:paraId="00000097">
            <w:pPr>
              <w:pBdr>
                <w:top w:space="0" w:sz="0" w:val="nil"/>
                <w:left w:space="0" w:sz="0" w:val="nil"/>
                <w:bottom w:space="0" w:sz="0" w:val="nil"/>
                <w:right w:space="0" w:sz="0" w:val="nil"/>
                <w:between w:space="0" w:sz="0" w:val="nil"/>
              </w:pBdr>
              <w:spacing w:after="120" w:before="120" w:lineRule="auto"/>
              <w:jc w:val="left"/>
              <w:rPr>
                <w:sz w:val="24"/>
                <w:szCs w:val="24"/>
                <w:highlight w:val="yellow"/>
              </w:rPr>
            </w:pPr>
            <w:r w:rsidDel="00000000" w:rsidR="00000000" w:rsidRPr="00000000">
              <w:rPr>
                <w:sz w:val="24"/>
                <w:szCs w:val="24"/>
                <w:highlight w:val="yellow"/>
                <w:rtl w:val="0"/>
              </w:rPr>
              <w:t xml:space="preserve">[etc.]</w:t>
            </w:r>
          </w:p>
        </w:tc>
      </w:tr>
    </w:tbl>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leader="none" w:pos="1134"/>
        </w:tabs>
        <w:spacing w:after="120" w:before="120" w:lineRule="auto"/>
        <w:ind w:left="360" w:hanging="1004"/>
        <w:jc w:val="left"/>
        <w:rPr/>
      </w:pPr>
      <w:r w:rsidDel="00000000" w:rsidR="00000000" w:rsidRPr="00000000">
        <w:rPr>
          <w:rtl w:val="0"/>
        </w:rPr>
      </w:r>
    </w:p>
    <w:p w:rsidR="00000000" w:rsidDel="00000000" w:rsidP="00000000" w:rsidRDefault="00000000" w:rsidRPr="00000000" w14:paraId="00000099">
      <w:pPr>
        <w:keepNext w:val="1"/>
        <w:numPr>
          <w:ilvl w:val="0"/>
          <w:numId w:val="2"/>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r w:rsidDel="00000000" w:rsidR="00000000" w:rsidRPr="00000000">
        <w:rPr>
          <w:b w:val="1"/>
          <w:rtl w:val="0"/>
        </w:rPr>
        <w:t xml:space="preserve">Termination rights</w:t>
      </w:r>
    </w:p>
    <w:p w:rsidR="00000000" w:rsidDel="00000000" w:rsidP="00000000" w:rsidRDefault="00000000" w:rsidRPr="00000000" w14:paraId="0000009A">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Relevant Authority shall be entitled to terminate the Contract if:</w:t>
      </w:r>
    </w:p>
    <w:p w:rsidR="00000000" w:rsidDel="00000000" w:rsidP="00000000" w:rsidRDefault="00000000" w:rsidRPr="00000000" w14:paraId="0000009B">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the Supplier fails to notify the Relevant Authority of a Financial Distress Event in accordance with Paragraph 2.3.3;</w:t>
      </w:r>
    </w:p>
    <w:p w:rsidR="00000000" w:rsidDel="00000000" w:rsidP="00000000" w:rsidRDefault="00000000" w:rsidRPr="00000000" w14:paraId="0000009C">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the Parties fail to agree a Financial Distress Remediation Plan (or any updated Financial Distress Remediation Plan) in accordance with Paragraphs 4.3 to 4.5; and/or</w:t>
      </w:r>
    </w:p>
    <w:p w:rsidR="00000000" w:rsidDel="00000000" w:rsidP="00000000" w:rsidRDefault="00000000" w:rsidRPr="00000000" w14:paraId="0000009D">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the Supplier fails to comply with the terms of the Financial Distress Remediation Plan (or any updated Financial Distress Remediation Plan) in accordance with Paragraph 4.6.3,</w:t>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leader="none" w:pos="1985"/>
        </w:tabs>
        <w:spacing w:after="120" w:before="120" w:lineRule="auto"/>
        <w:ind w:left="1134" w:firstLine="0"/>
        <w:rPr/>
      </w:pPr>
      <w:r w:rsidDel="00000000" w:rsidR="00000000" w:rsidRPr="00000000">
        <w:rPr>
          <w:rtl w:val="0"/>
        </w:rPr>
        <w:t xml:space="preserve">which shall be deemed to be an event to which Clause 13.3 </w:t>
      </w:r>
      <w:r w:rsidDel="00000000" w:rsidR="00000000" w:rsidRPr="00000000">
        <w:rPr>
          <w:i w:val="1"/>
          <w:rtl w:val="0"/>
        </w:rPr>
        <w:t xml:space="preserve">(When CCS or the Buyer can end a contract)</w:t>
      </w:r>
      <w:r w:rsidDel="00000000" w:rsidR="00000000" w:rsidRPr="00000000">
        <w:rPr>
          <w:rtl w:val="0"/>
        </w:rPr>
        <w:t xml:space="preserve"> of the General Terms applies and Clause 13.4.1 of the General Terms shall apply accordingly.</w:t>
      </w:r>
    </w:p>
    <w:p w:rsidR="00000000" w:rsidDel="00000000" w:rsidP="00000000" w:rsidRDefault="00000000" w:rsidRPr="00000000" w14:paraId="0000009F">
      <w:pPr>
        <w:keepNext w:val="1"/>
        <w:numPr>
          <w:ilvl w:val="0"/>
          <w:numId w:val="2"/>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r w:rsidDel="00000000" w:rsidR="00000000" w:rsidRPr="00000000">
        <w:rPr>
          <w:b w:val="1"/>
          <w:rtl w:val="0"/>
        </w:rPr>
        <w:t xml:space="preserve">Primacy of Credit Ratings</w:t>
      </w:r>
    </w:p>
    <w:p w:rsidR="00000000" w:rsidDel="00000000" w:rsidP="00000000" w:rsidRDefault="00000000" w:rsidRPr="00000000" w14:paraId="000000A0">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mat5kmydegrk" w:id="26"/>
      <w:bookmarkEnd w:id="26"/>
      <w:r w:rsidDel="00000000" w:rsidR="00000000" w:rsidRPr="00000000">
        <w:rPr>
          <w:rtl w:val="0"/>
        </w:rPr>
        <w:t xml:space="preserve">Without prejudice to the Supplier’s obligations and the Relevant Authority’s rights and remedies under Paragraph 2, if, following the occurrence of a Financial Distress Event pursuant to any of Paragraphs 3.1.2 to 3.1.10, the Rating Agencies review and report subsequently that the credit ratings for the FDE Group entities do not drop below the relevant Credit Rating Thresholds specified for those entities in Annex 2 to this Schedule, then:</w:t>
      </w:r>
    </w:p>
    <w:p w:rsidR="00000000" w:rsidDel="00000000" w:rsidP="00000000" w:rsidRDefault="00000000" w:rsidRPr="00000000" w14:paraId="000000A1">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the Supplier shall be relieved automatically of its obligations under Paragraphs 4.3 to 4.6; and</w:t>
      </w:r>
    </w:p>
    <w:p w:rsidR="00000000" w:rsidDel="00000000" w:rsidP="00000000" w:rsidRDefault="00000000" w:rsidRPr="00000000" w14:paraId="000000A2">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the Relevant Authority shall not be entitled to require the Supplier to provide financial information in accordance with Paragraph 4.3.2(b).</w:t>
      </w:r>
    </w:p>
    <w:p w:rsidR="00000000" w:rsidDel="00000000" w:rsidP="00000000" w:rsidRDefault="00000000" w:rsidRPr="00000000" w14:paraId="000000A3">
      <w:pPr>
        <w:keepNext w:val="1"/>
        <w:numPr>
          <w:ilvl w:val="0"/>
          <w:numId w:val="2"/>
        </w:numPr>
        <w:pBdr>
          <w:top w:space="0" w:sz="0" w:val="nil"/>
          <w:left w:space="0" w:sz="0" w:val="nil"/>
          <w:bottom w:space="0" w:sz="0" w:val="nil"/>
          <w:right w:space="0" w:sz="0" w:val="nil"/>
          <w:between w:space="0" w:sz="0" w:val="nil"/>
        </w:pBdr>
        <w:tabs>
          <w:tab w:val="left" w:leader="none" w:pos="426"/>
        </w:tabs>
        <w:spacing w:after="120" w:before="120" w:lineRule="auto"/>
        <w:ind w:left="426" w:hanging="426"/>
        <w:jc w:val="left"/>
        <w:rPr>
          <w:b w:val="1"/>
        </w:rPr>
      </w:pPr>
      <w:bookmarkStart w:colFirst="0" w:colLast="0" w:name="_heading=h.euwdldileu6n" w:id="27"/>
      <w:bookmarkEnd w:id="27"/>
      <w:r w:rsidDel="00000000" w:rsidR="00000000" w:rsidRPr="00000000">
        <w:rPr>
          <w:b w:val="1"/>
          <w:rtl w:val="0"/>
        </w:rPr>
        <w:t xml:space="preserve">Board confirmation</w:t>
      </w:r>
    </w:p>
    <w:p w:rsidR="00000000" w:rsidDel="00000000" w:rsidP="00000000" w:rsidRDefault="00000000" w:rsidRPr="00000000" w14:paraId="000000A4">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6xiqwbgm58ub" w:id="28"/>
      <w:bookmarkEnd w:id="28"/>
      <w:r w:rsidDel="00000000" w:rsidR="00000000" w:rsidRPr="00000000">
        <w:rPr>
          <w:rtl w:val="0"/>
        </w:rPr>
        <w:t xml:space="preserve">If the Contract has been specified as a Critical Service Contract under Paragraph 1.1 of Call-Off Schedule 24 </w:t>
      </w:r>
      <w:r w:rsidDel="00000000" w:rsidR="00000000" w:rsidRPr="00000000">
        <w:rPr>
          <w:i w:val="1"/>
          <w:rtl w:val="0"/>
        </w:rPr>
        <w:t xml:space="preserve">(Corporate Resolution Planning)</w:t>
      </w:r>
      <w:r w:rsidDel="00000000" w:rsidR="00000000" w:rsidRPr="00000000">
        <w:rPr>
          <w:rtl w:val="0"/>
        </w:rPr>
        <w:t xml:space="preserve">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p>
    <w:p w:rsidR="00000000" w:rsidDel="00000000" w:rsidP="00000000" w:rsidRDefault="00000000" w:rsidRPr="00000000" w14:paraId="000000A5">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that a Financial Distress Event has occurred since the later of the Effective Date or the previous Board Confirmation or is subsisting; or</w:t>
      </w:r>
    </w:p>
    <w:p w:rsidR="00000000" w:rsidDel="00000000" w:rsidP="00000000" w:rsidRDefault="00000000" w:rsidRPr="00000000" w14:paraId="000000A6">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rPr/>
      </w:pPr>
      <w:r w:rsidDel="00000000" w:rsidR="00000000" w:rsidRPr="00000000">
        <w:rPr>
          <w:rtl w:val="0"/>
        </w:rPr>
        <w:t xml:space="preserve">of any matters which have occurred or are subsisting that could reasonably be expected to cause a Financial Distress Event.</w:t>
      </w:r>
    </w:p>
    <w:p w:rsidR="00000000" w:rsidDel="00000000" w:rsidP="00000000" w:rsidRDefault="00000000" w:rsidRPr="00000000" w14:paraId="000000A7">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 ensure that in its preparation of the Board Confirmation it exercises due care and diligence and has made reasonable enquiry of all relevant Supplier Staff and other persons as is reasonably necessary to understand and confirm the position.</w:t>
      </w:r>
    </w:p>
    <w:p w:rsidR="00000000" w:rsidDel="00000000" w:rsidP="00000000" w:rsidRDefault="00000000" w:rsidRPr="00000000" w14:paraId="000000A8">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qt9uzeuyvjod" w:id="29"/>
      <w:bookmarkEnd w:id="29"/>
      <w:r w:rsidDel="00000000" w:rsidR="00000000" w:rsidRPr="00000000">
        <w:rPr>
          <w:rtl w:val="0"/>
        </w:rPr>
        <w:t xml:space="preserve">In respect of the first Board Confirmation to be provided under the Contract, the Supplier shall provide the Board Confirmation within 15 months of the Effective Date if earlier than the timescale for submission set out in Paragraph 8.1 of this Schedule.</w:t>
      </w:r>
    </w:p>
    <w:p w:rsidR="00000000" w:rsidDel="00000000" w:rsidP="00000000" w:rsidRDefault="00000000" w:rsidRPr="00000000" w14:paraId="000000A9">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xl1j3d5o8g48" w:id="30"/>
      <w:bookmarkEnd w:id="30"/>
      <w:r w:rsidDel="00000000" w:rsidR="00000000" w:rsidRPr="00000000">
        <w:rPr>
          <w:rtl w:val="0"/>
        </w:rPr>
        <w:t xml:space="preserve">Where the Supplier is unable to provide a Board Confirmation in accordance with 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an Authorised Financial Representative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142"/>
        </w:tabs>
        <w:spacing w:after="120" w:before="120" w:lineRule="auto"/>
        <w:ind w:left="360" w:hanging="360"/>
        <w:rPr>
          <w:b w:val="1"/>
          <w:smallCaps w:val="1"/>
        </w:rPr>
      </w:pPr>
      <w:r w:rsidDel="00000000" w:rsidR="00000000" w:rsidRPr="00000000">
        <w:rPr>
          <w:rtl w:val="0"/>
        </w:rPr>
      </w:r>
    </w:p>
    <w:p w:rsidR="00000000" w:rsidDel="00000000" w:rsidP="00000000" w:rsidRDefault="00000000" w:rsidRPr="00000000" w14:paraId="000000AB">
      <w:pPr>
        <w:spacing w:after="120" w:before="120" w:lineRule="auto"/>
        <w:jc w:val="left"/>
        <w:rPr>
          <w:b w:val="1"/>
          <w:sz w:val="36"/>
          <w:szCs w:val="36"/>
        </w:rPr>
      </w:pPr>
      <w:r w:rsidDel="00000000" w:rsidR="00000000" w:rsidRPr="00000000">
        <w:br w:type="page"/>
      </w:r>
      <w:r w:rsidDel="00000000" w:rsidR="00000000" w:rsidRPr="00000000">
        <w:rPr>
          <w:b w:val="1"/>
          <w:sz w:val="36"/>
          <w:szCs w:val="36"/>
          <w:rtl w:val="0"/>
        </w:rPr>
        <w:t xml:space="preserve">Annex 1: Rating Agencies and their standard Rating System</w:t>
      </w:r>
    </w:p>
    <w:p w:rsidR="00000000" w:rsidDel="00000000" w:rsidP="00000000" w:rsidRDefault="00000000" w:rsidRPr="00000000" w14:paraId="000000AC">
      <w:pPr>
        <w:keepNext w:val="1"/>
        <w:pBdr>
          <w:top w:space="0" w:sz="0" w:val="nil"/>
          <w:left w:space="0" w:sz="0" w:val="nil"/>
          <w:bottom w:space="0" w:sz="0" w:val="nil"/>
          <w:right w:space="0" w:sz="0" w:val="nil"/>
          <w:between w:space="0" w:sz="0" w:val="nil"/>
        </w:pBdr>
        <w:spacing w:after="120" w:before="120" w:lineRule="auto"/>
        <w:jc w:val="left"/>
        <w:rPr>
          <w:highlight w:val="yellow"/>
        </w:rPr>
      </w:pPr>
      <w:r w:rsidDel="00000000" w:rsidR="00000000" w:rsidRPr="00000000">
        <w:rPr>
          <w:highlight w:val="yellow"/>
          <w:rtl w:val="0"/>
        </w:rPr>
        <w:t xml:space="preserve">[Rating Agency 1 Framework level agency Dun &amp; Bradstreet]</w:t>
      </w:r>
    </w:p>
    <w:p w:rsidR="00000000" w:rsidDel="00000000" w:rsidP="00000000" w:rsidRDefault="00000000" w:rsidRPr="00000000" w14:paraId="000000AD">
      <w:pPr>
        <w:keepNext w:val="1"/>
        <w:pBdr>
          <w:top w:space="0" w:sz="0" w:val="nil"/>
          <w:left w:space="0" w:sz="0" w:val="nil"/>
          <w:bottom w:space="0" w:sz="0" w:val="nil"/>
          <w:right w:space="0" w:sz="0" w:val="nil"/>
          <w:between w:space="0" w:sz="0" w:val="nil"/>
        </w:pBdr>
        <w:spacing w:after="120" w:before="120" w:lineRule="auto"/>
        <w:jc w:val="left"/>
        <w:rPr/>
      </w:pPr>
      <w:r w:rsidDel="00000000" w:rsidR="00000000" w:rsidRPr="00000000">
        <w:rPr>
          <w:highlight w:val="yellow"/>
          <w:rtl w:val="0"/>
        </w:rPr>
        <w:t xml:space="preserve">[Rating Agency 2]</w:t>
      </w:r>
      <w:r w:rsidDel="00000000" w:rsidR="00000000" w:rsidRPr="00000000">
        <w:rPr>
          <w:rtl w:val="0"/>
        </w:rPr>
      </w:r>
    </w:p>
    <w:p w:rsidR="00000000" w:rsidDel="00000000" w:rsidP="00000000" w:rsidRDefault="00000000" w:rsidRPr="00000000" w14:paraId="000000AE">
      <w:pPr>
        <w:spacing w:after="120" w:before="120"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AF">
      <w:pPr>
        <w:pBdr>
          <w:top w:space="0" w:sz="0" w:val="nil"/>
          <w:left w:space="0" w:sz="0" w:val="nil"/>
          <w:bottom w:space="0" w:sz="0" w:val="nil"/>
          <w:right w:space="0" w:sz="0" w:val="nil"/>
          <w:between w:space="0" w:sz="0" w:val="nil"/>
        </w:pBdr>
        <w:spacing w:after="120" w:before="120" w:lineRule="auto"/>
        <w:rPr>
          <w:b w:val="1"/>
          <w:smallCaps w:val="1"/>
          <w:sz w:val="36"/>
          <w:szCs w:val="36"/>
        </w:rPr>
      </w:pPr>
      <w:bookmarkStart w:colFirst="0" w:colLast="0" w:name="_heading=h.2bn6wsx" w:id="31"/>
      <w:bookmarkEnd w:id="31"/>
      <w:r w:rsidDel="00000000" w:rsidR="00000000" w:rsidRPr="00000000">
        <w:rPr>
          <w:b w:val="1"/>
          <w:sz w:val="36"/>
          <w:szCs w:val="36"/>
          <w:rtl w:val="0"/>
        </w:rPr>
        <w:t xml:space="preserve">Annex 2</w:t>
      </w:r>
      <w:r w:rsidDel="00000000" w:rsidR="00000000" w:rsidRPr="00000000">
        <w:rPr>
          <w:b w:val="1"/>
          <w:smallCaps w:val="1"/>
          <w:sz w:val="36"/>
          <w:szCs w:val="36"/>
          <w:rtl w:val="0"/>
        </w:rPr>
        <w:t xml:space="preserve">: </w:t>
      </w:r>
      <w:r w:rsidDel="00000000" w:rsidR="00000000" w:rsidRPr="00000000">
        <w:rPr>
          <w:b w:val="1"/>
          <w:sz w:val="36"/>
          <w:szCs w:val="36"/>
          <w:rtl w:val="0"/>
        </w:rPr>
        <w:t xml:space="preserve">Credit Ratings and Credit Rating Thresholds</w:t>
      </w:r>
      <w:r w:rsidDel="00000000" w:rsidR="00000000" w:rsidRPr="00000000">
        <w:rPr>
          <w:rtl w:val="0"/>
        </w:rPr>
      </w:r>
    </w:p>
    <w:tbl>
      <w:tblPr>
        <w:tblStyle w:val="Table4"/>
        <w:tblW w:w="9242.0" w:type="dxa"/>
        <w:jc w:val="left"/>
        <w:tblBorders>
          <w:top w:color="000000" w:space="0" w:sz="4" w:val="single"/>
          <w:left w:color="000000" w:space="0" w:sz="4" w:val="single"/>
          <w:bottom w:color="000000" w:space="0" w:sz="4" w:val="single"/>
          <w:right w:color="000000" w:space="0" w:sz="4" w:val="single"/>
          <w:insideH w:color="000000" w:space="0" w:sz="6" w:val="single"/>
          <w:insideV w:color="000000" w:space="0" w:sz="6" w:val="single"/>
        </w:tblBorders>
        <w:tblLayout w:type="fixed"/>
        <w:tblLook w:val="0400"/>
      </w:tblPr>
      <w:tblGrid>
        <w:gridCol w:w="3080"/>
        <w:gridCol w:w="3081"/>
        <w:gridCol w:w="3081"/>
        <w:tblGridChange w:id="0">
          <w:tblGrid>
            <w:gridCol w:w="3080"/>
            <w:gridCol w:w="3081"/>
            <w:gridCol w:w="3081"/>
          </w:tblGrid>
        </w:tblGridChange>
      </w:tblGrid>
      <w:tr>
        <w:trPr>
          <w:cantSplit w:val="0"/>
          <w:tblHeader w:val="0"/>
        </w:trPr>
        <w:tc>
          <w:tcPr>
            <w:tcBorders>
              <w:top w:color="000000" w:space="0" w:sz="4" w:val="single"/>
            </w:tcBorders>
            <w:shd w:fill="ffffff" w:val="clear"/>
          </w:tcPr>
          <w:p w:rsidR="00000000" w:rsidDel="00000000" w:rsidP="00000000" w:rsidRDefault="00000000" w:rsidRPr="00000000" w14:paraId="000000B0">
            <w:pPr>
              <w:keepNext w:val="1"/>
              <w:pBdr>
                <w:top w:space="0" w:sz="0" w:val="nil"/>
                <w:left w:space="0" w:sz="0" w:val="nil"/>
                <w:bottom w:space="0" w:sz="0" w:val="nil"/>
                <w:right w:space="0" w:sz="0" w:val="nil"/>
                <w:between w:space="0" w:sz="0" w:val="nil"/>
              </w:pBdr>
              <w:spacing w:after="120" w:before="120" w:lineRule="auto"/>
              <w:ind w:left="142" w:firstLine="0"/>
              <w:jc w:val="left"/>
              <w:rPr>
                <w:b w:val="1"/>
              </w:rPr>
            </w:pPr>
            <w:r w:rsidDel="00000000" w:rsidR="00000000" w:rsidRPr="00000000">
              <w:rPr>
                <w:b w:val="1"/>
                <w:rtl w:val="0"/>
              </w:rPr>
              <w:t xml:space="preserve">Entity</w:t>
            </w:r>
          </w:p>
        </w:tc>
        <w:tc>
          <w:tcPr>
            <w:tcBorders>
              <w:top w:color="000000" w:space="0" w:sz="4" w:val="single"/>
            </w:tcBorders>
            <w:shd w:fill="ffffff" w:val="clear"/>
          </w:tcPr>
          <w:p w:rsidR="00000000" w:rsidDel="00000000" w:rsidP="00000000" w:rsidRDefault="00000000" w:rsidRPr="00000000" w14:paraId="000000B1">
            <w:pPr>
              <w:keepNext w:val="1"/>
              <w:pBdr>
                <w:top w:space="0" w:sz="0" w:val="nil"/>
                <w:left w:space="0" w:sz="0" w:val="nil"/>
                <w:bottom w:space="0" w:sz="0" w:val="nil"/>
                <w:right w:space="0" w:sz="0" w:val="nil"/>
                <w:between w:space="0" w:sz="0" w:val="nil"/>
              </w:pBdr>
              <w:spacing w:after="120" w:before="120" w:lineRule="auto"/>
              <w:ind w:left="142" w:firstLine="0"/>
              <w:jc w:val="left"/>
              <w:rPr>
                <w:b w:val="1"/>
              </w:rPr>
            </w:pPr>
            <w:r w:rsidDel="00000000" w:rsidR="00000000" w:rsidRPr="00000000">
              <w:rPr>
                <w:b w:val="1"/>
                <w:rtl w:val="0"/>
              </w:rPr>
              <w:t xml:space="preserve">Credit rating (long term)</w:t>
            </w:r>
          </w:p>
        </w:tc>
        <w:tc>
          <w:tcPr>
            <w:tcBorders>
              <w:top w:color="000000" w:space="0" w:sz="4" w:val="single"/>
            </w:tcBorders>
            <w:shd w:fill="ffffff" w:val="clear"/>
          </w:tcPr>
          <w:p w:rsidR="00000000" w:rsidDel="00000000" w:rsidP="00000000" w:rsidRDefault="00000000" w:rsidRPr="00000000" w14:paraId="000000B2">
            <w:pPr>
              <w:keepNext w:val="1"/>
              <w:pBdr>
                <w:top w:space="0" w:sz="0" w:val="nil"/>
                <w:left w:space="0" w:sz="0" w:val="nil"/>
                <w:bottom w:space="0" w:sz="0" w:val="nil"/>
                <w:right w:space="0" w:sz="0" w:val="nil"/>
                <w:between w:space="0" w:sz="0" w:val="nil"/>
              </w:pBdr>
              <w:spacing w:after="120" w:before="120" w:lineRule="auto"/>
              <w:ind w:left="142" w:firstLine="0"/>
              <w:jc w:val="left"/>
              <w:rPr>
                <w:b w:val="1"/>
              </w:rPr>
            </w:pPr>
            <w:r w:rsidDel="00000000" w:rsidR="00000000" w:rsidRPr="00000000">
              <w:rPr>
                <w:b w:val="1"/>
                <w:rtl w:val="0"/>
              </w:rPr>
              <w:t xml:space="preserve">Credit Rating Threshold</w:t>
            </w:r>
          </w:p>
        </w:tc>
      </w:tr>
      <w:tr>
        <w:trPr>
          <w:cantSplit w:val="0"/>
          <w:tblHeader w:val="0"/>
        </w:trPr>
        <w:tc>
          <w:tcPr>
            <w:shd w:fill="ffffff" w:val="clear"/>
          </w:tcPr>
          <w:p w:rsidR="00000000" w:rsidDel="00000000" w:rsidP="00000000" w:rsidRDefault="00000000" w:rsidRPr="00000000" w14:paraId="000000B3">
            <w:pPr>
              <w:keepNext w:val="1"/>
              <w:pBdr>
                <w:top w:space="0" w:sz="0" w:val="nil"/>
                <w:left w:space="0" w:sz="0" w:val="nil"/>
                <w:bottom w:space="0" w:sz="0" w:val="nil"/>
                <w:right w:space="0" w:sz="0" w:val="nil"/>
                <w:between w:space="0" w:sz="0" w:val="nil"/>
              </w:pBdr>
              <w:spacing w:after="120" w:before="120" w:lineRule="auto"/>
              <w:ind w:left="142" w:firstLine="0"/>
              <w:jc w:val="left"/>
              <w:rPr/>
            </w:pPr>
            <w:r w:rsidDel="00000000" w:rsidR="00000000" w:rsidRPr="00000000">
              <w:rPr>
                <w:rtl w:val="0"/>
              </w:rPr>
              <w:t xml:space="preserve">Supplier</w:t>
            </w:r>
          </w:p>
        </w:tc>
        <w:tc>
          <w:tcPr>
            <w:shd w:fill="ffffff" w:val="clear"/>
          </w:tcPr>
          <w:p w:rsidR="00000000" w:rsidDel="00000000" w:rsidP="00000000" w:rsidRDefault="00000000" w:rsidRPr="00000000" w14:paraId="000000B4">
            <w:pPr>
              <w:keepNext w:val="1"/>
              <w:pBdr>
                <w:top w:space="0" w:sz="0" w:val="nil"/>
                <w:left w:space="0" w:sz="0" w:val="nil"/>
                <w:bottom w:space="0" w:sz="0" w:val="nil"/>
                <w:right w:space="0" w:sz="0" w:val="nil"/>
                <w:between w:space="0" w:sz="0" w:val="nil"/>
              </w:pBdr>
              <w:spacing w:after="120" w:before="120" w:lineRule="auto"/>
              <w:ind w:left="142" w:firstLine="0"/>
              <w:jc w:val="left"/>
              <w:rPr/>
            </w:pPr>
            <w:r w:rsidDel="00000000" w:rsidR="00000000" w:rsidRPr="00000000">
              <w:rPr>
                <w:rtl w:val="0"/>
              </w:rPr>
            </w:r>
          </w:p>
        </w:tc>
        <w:tc>
          <w:tcPr>
            <w:shd w:fill="ffffff" w:val="clear"/>
          </w:tcPr>
          <w:p w:rsidR="00000000" w:rsidDel="00000000" w:rsidP="00000000" w:rsidRDefault="00000000" w:rsidRPr="00000000" w14:paraId="000000B5">
            <w:pPr>
              <w:keepNext w:val="1"/>
              <w:pBdr>
                <w:top w:space="0" w:sz="0" w:val="nil"/>
                <w:left w:space="0" w:sz="0" w:val="nil"/>
                <w:bottom w:space="0" w:sz="0" w:val="nil"/>
                <w:right w:space="0" w:sz="0" w:val="nil"/>
                <w:between w:space="0" w:sz="0" w:val="nil"/>
              </w:pBdr>
              <w:spacing w:after="120" w:before="120" w:lineRule="auto"/>
              <w:ind w:left="142" w:firstLine="0"/>
              <w:jc w:val="left"/>
              <w:rPr>
                <w:highlight w:val="yellow"/>
              </w:rPr>
            </w:pPr>
            <w:r w:rsidDel="00000000" w:rsidR="00000000" w:rsidRPr="00000000">
              <w:rPr>
                <w:highlight w:val="yellow"/>
                <w:rtl w:val="0"/>
              </w:rPr>
              <w:t xml:space="preserve">30</w:t>
            </w:r>
          </w:p>
        </w:tc>
      </w:tr>
      <w:tr>
        <w:trPr>
          <w:cantSplit w:val="0"/>
          <w:tblHeader w:val="0"/>
        </w:trPr>
        <w:tc>
          <w:tcPr>
            <w:shd w:fill="ffffff" w:val="clear"/>
          </w:tcPr>
          <w:p w:rsidR="00000000" w:rsidDel="00000000" w:rsidP="00000000" w:rsidRDefault="00000000" w:rsidRPr="00000000" w14:paraId="000000B6">
            <w:pPr>
              <w:keepNext w:val="1"/>
              <w:pBdr>
                <w:top w:space="0" w:sz="0" w:val="nil"/>
                <w:left w:space="0" w:sz="0" w:val="nil"/>
                <w:bottom w:space="0" w:sz="0" w:val="nil"/>
                <w:right w:space="0" w:sz="0" w:val="nil"/>
                <w:between w:space="0" w:sz="0" w:val="nil"/>
              </w:pBdr>
              <w:spacing w:after="120" w:before="120" w:lineRule="auto"/>
              <w:ind w:left="142" w:firstLine="0"/>
              <w:jc w:val="left"/>
              <w:rPr/>
            </w:pPr>
            <w:r w:rsidDel="00000000" w:rsidR="00000000" w:rsidRPr="00000000">
              <w:rPr>
                <w:highlight w:val="yellow"/>
                <w:rtl w:val="0"/>
              </w:rPr>
              <w:t xml:space="preserve">[Guarantor]</w:t>
            </w:r>
            <w:r w:rsidDel="00000000" w:rsidR="00000000" w:rsidRPr="00000000">
              <w:rPr>
                <w:rtl w:val="0"/>
              </w:rPr>
            </w:r>
          </w:p>
        </w:tc>
        <w:tc>
          <w:tcPr>
            <w:shd w:fill="ffffff" w:val="clear"/>
          </w:tcPr>
          <w:p w:rsidR="00000000" w:rsidDel="00000000" w:rsidP="00000000" w:rsidRDefault="00000000" w:rsidRPr="00000000" w14:paraId="000000B7">
            <w:pPr>
              <w:keepNext w:val="1"/>
              <w:pBdr>
                <w:top w:space="0" w:sz="0" w:val="nil"/>
                <w:left w:space="0" w:sz="0" w:val="nil"/>
                <w:bottom w:space="0" w:sz="0" w:val="nil"/>
                <w:right w:space="0" w:sz="0" w:val="nil"/>
                <w:between w:space="0" w:sz="0" w:val="nil"/>
              </w:pBdr>
              <w:spacing w:after="120" w:before="120" w:lineRule="auto"/>
              <w:ind w:left="142" w:firstLine="0"/>
              <w:jc w:val="left"/>
              <w:rPr/>
            </w:pPr>
            <w:r w:rsidDel="00000000" w:rsidR="00000000" w:rsidRPr="00000000">
              <w:rPr>
                <w:rtl w:val="0"/>
              </w:rPr>
            </w:r>
          </w:p>
        </w:tc>
        <w:tc>
          <w:tcPr>
            <w:shd w:fill="ffffff" w:val="clear"/>
          </w:tcPr>
          <w:p w:rsidR="00000000" w:rsidDel="00000000" w:rsidP="00000000" w:rsidRDefault="00000000" w:rsidRPr="00000000" w14:paraId="000000B8">
            <w:pPr>
              <w:keepNext w:val="1"/>
              <w:pBdr>
                <w:top w:space="0" w:sz="0" w:val="nil"/>
                <w:left w:space="0" w:sz="0" w:val="nil"/>
                <w:bottom w:space="0" w:sz="0" w:val="nil"/>
                <w:right w:space="0" w:sz="0" w:val="nil"/>
                <w:between w:space="0" w:sz="0" w:val="nil"/>
              </w:pBdr>
              <w:spacing w:after="120" w:before="120" w:lineRule="auto"/>
              <w:ind w:left="142" w:firstLine="0"/>
              <w:jc w:val="left"/>
              <w:rPr/>
            </w:pPr>
            <w:r w:rsidDel="00000000" w:rsidR="00000000" w:rsidRPr="00000000">
              <w:rPr>
                <w:rtl w:val="0"/>
              </w:rPr>
            </w:r>
          </w:p>
        </w:tc>
      </w:tr>
      <w:tr>
        <w:trPr>
          <w:cantSplit w:val="0"/>
          <w:tblHeader w:val="0"/>
        </w:trPr>
        <w:tc>
          <w:tcPr>
            <w:tcBorders>
              <w:bottom w:color="000000" w:space="0" w:sz="4" w:val="single"/>
            </w:tcBorders>
            <w:shd w:fill="ffffff" w:val="clear"/>
          </w:tcPr>
          <w:p w:rsidR="00000000" w:rsidDel="00000000" w:rsidP="00000000" w:rsidRDefault="00000000" w:rsidRPr="00000000" w14:paraId="000000B9">
            <w:pPr>
              <w:keepNext w:val="1"/>
              <w:pBdr>
                <w:top w:space="0" w:sz="0" w:val="nil"/>
                <w:left w:space="0" w:sz="0" w:val="nil"/>
                <w:bottom w:space="0" w:sz="0" w:val="nil"/>
                <w:right w:space="0" w:sz="0" w:val="nil"/>
                <w:between w:space="0" w:sz="0" w:val="nil"/>
              </w:pBdr>
              <w:spacing w:after="120" w:before="120" w:lineRule="auto"/>
              <w:ind w:left="142" w:firstLine="0"/>
              <w:jc w:val="left"/>
              <w:rPr>
                <w:highlight w:val="yellow"/>
              </w:rPr>
            </w:pPr>
            <w:r w:rsidDel="00000000" w:rsidR="00000000" w:rsidRPr="00000000">
              <w:rPr>
                <w:highlight w:val="yellow"/>
                <w:rtl w:val="0"/>
              </w:rPr>
              <w:t xml:space="preserve">[Key Subcontractor]</w:t>
            </w:r>
          </w:p>
        </w:tc>
        <w:tc>
          <w:tcPr>
            <w:tcBorders>
              <w:bottom w:color="000000" w:space="0" w:sz="4" w:val="single"/>
            </w:tcBorders>
            <w:shd w:fill="ffffff" w:val="clear"/>
          </w:tcPr>
          <w:p w:rsidR="00000000" w:rsidDel="00000000" w:rsidP="00000000" w:rsidRDefault="00000000" w:rsidRPr="00000000" w14:paraId="000000BA">
            <w:pPr>
              <w:keepNext w:val="1"/>
              <w:pBdr>
                <w:top w:space="0" w:sz="0" w:val="nil"/>
                <w:left w:space="0" w:sz="0" w:val="nil"/>
                <w:bottom w:space="0" w:sz="0" w:val="nil"/>
                <w:right w:space="0" w:sz="0" w:val="nil"/>
                <w:between w:space="0" w:sz="0" w:val="nil"/>
              </w:pBdr>
              <w:spacing w:after="120" w:before="120" w:lineRule="auto"/>
              <w:ind w:left="142" w:firstLine="0"/>
              <w:jc w:val="left"/>
              <w:rPr/>
            </w:pPr>
            <w:r w:rsidDel="00000000" w:rsidR="00000000" w:rsidRPr="00000000">
              <w:rPr>
                <w:rtl w:val="0"/>
              </w:rPr>
            </w:r>
          </w:p>
        </w:tc>
        <w:tc>
          <w:tcPr>
            <w:tcBorders>
              <w:bottom w:color="000000" w:space="0" w:sz="4" w:val="single"/>
            </w:tcBorders>
            <w:shd w:fill="ffffff" w:val="clear"/>
          </w:tcPr>
          <w:p w:rsidR="00000000" w:rsidDel="00000000" w:rsidP="00000000" w:rsidRDefault="00000000" w:rsidRPr="00000000" w14:paraId="000000BB">
            <w:pPr>
              <w:keepNext w:val="1"/>
              <w:pBdr>
                <w:top w:space="0" w:sz="0" w:val="nil"/>
                <w:left w:space="0" w:sz="0" w:val="nil"/>
                <w:bottom w:space="0" w:sz="0" w:val="nil"/>
                <w:right w:space="0" w:sz="0" w:val="nil"/>
                <w:between w:space="0" w:sz="0" w:val="nil"/>
              </w:pBdr>
              <w:spacing w:after="120" w:before="120" w:lineRule="auto"/>
              <w:ind w:left="142" w:firstLine="0"/>
              <w:jc w:val="left"/>
              <w:rPr/>
            </w:pPr>
            <w:r w:rsidDel="00000000" w:rsidR="00000000" w:rsidRPr="00000000">
              <w:rPr>
                <w:rtl w:val="0"/>
              </w:rPr>
            </w:r>
          </w:p>
        </w:tc>
      </w:tr>
    </w:tbl>
    <w:p w:rsidR="00000000" w:rsidDel="00000000" w:rsidP="00000000" w:rsidRDefault="00000000" w:rsidRPr="00000000" w14:paraId="000000BC">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p w:rsidR="00000000" w:rsidDel="00000000" w:rsidP="00000000" w:rsidRDefault="00000000" w:rsidRPr="00000000" w14:paraId="000000BD">
      <w:pPr>
        <w:spacing w:after="120" w:before="120"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120" w:before="120" w:lineRule="auto"/>
        <w:jc w:val="left"/>
        <w:rPr>
          <w:b w:val="1"/>
          <w:sz w:val="36"/>
          <w:szCs w:val="36"/>
        </w:rPr>
      </w:pPr>
      <w:r w:rsidDel="00000000" w:rsidR="00000000" w:rsidRPr="00000000">
        <w:rPr>
          <w:b w:val="1"/>
          <w:sz w:val="36"/>
          <w:szCs w:val="36"/>
          <w:rtl w:val="0"/>
        </w:rPr>
        <w:t xml:space="preserve">Annex 3: Calculation methodology for Financial Indicators</w:t>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120" w:before="120" w:lineRule="auto"/>
        <w:jc w:val="left"/>
        <w:rPr>
          <w:b w:val="1"/>
          <w:i w:val="1"/>
        </w:rPr>
      </w:pPr>
      <w:bookmarkStart w:colFirst="0" w:colLast="0" w:name="_heading=h.qsh70q" w:id="32"/>
      <w:bookmarkEnd w:id="32"/>
      <w:r w:rsidDel="00000000" w:rsidR="00000000" w:rsidRPr="00000000">
        <w:rPr>
          <w:b w:val="1"/>
          <w:i w:val="1"/>
          <w:highlight w:val="yellow"/>
          <w:rtl w:val="0"/>
        </w:rPr>
        <w:t xml:space="preserve">[Guidance: Amend this section as appropriate to reflect the calculation methodology for those Financial Indicators that are selected for inclusion in Paragraph 5.1 of this Schedule]</w:t>
      </w:r>
      <w:r w:rsidDel="00000000" w:rsidR="00000000" w:rsidRPr="00000000">
        <w:rPr>
          <w:rtl w:val="0"/>
        </w:rPr>
      </w:r>
    </w:p>
    <w:p w:rsidR="00000000" w:rsidDel="00000000" w:rsidP="00000000" w:rsidRDefault="00000000" w:rsidRPr="00000000" w14:paraId="000000C0">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t xml:space="preserve">The Supplier shall ensure that it uses the following general and specific methodologies for calculating the Financial Indicators against the Financial Target Thresholds:</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120" w:before="120" w:lineRule="auto"/>
        <w:jc w:val="left"/>
        <w:rPr>
          <w:b w:val="1"/>
          <w:u w:val="single"/>
        </w:rPr>
      </w:pPr>
      <w:r w:rsidDel="00000000" w:rsidR="00000000" w:rsidRPr="00000000">
        <w:rPr>
          <w:b w:val="1"/>
          <w:u w:val="single"/>
          <w:rtl w:val="0"/>
        </w:rPr>
        <w:t xml:space="preserve">General methodology</w:t>
      </w:r>
    </w:p>
    <w:p w:rsidR="00000000" w:rsidDel="00000000" w:rsidP="00000000" w:rsidRDefault="00000000" w:rsidRPr="00000000" w14:paraId="000000C2">
      <w:pPr>
        <w:numPr>
          <w:ilvl w:val="0"/>
          <w:numId w:val="1"/>
        </w:numPr>
        <w:pBdr>
          <w:top w:space="0" w:sz="0" w:val="nil"/>
          <w:left w:space="0" w:sz="0" w:val="nil"/>
          <w:bottom w:space="0" w:sz="0" w:val="nil"/>
          <w:right w:space="0" w:sz="0" w:val="nil"/>
          <w:between w:space="0" w:sz="0" w:val="nil"/>
        </w:pBdr>
        <w:spacing w:after="120" w:before="120" w:lineRule="auto"/>
        <w:ind w:left="720" w:hanging="720"/>
        <w:jc w:val="left"/>
        <w:rPr/>
      </w:pPr>
      <w:r w:rsidDel="00000000" w:rsidR="00000000" w:rsidRPr="00000000">
        <w:rPr>
          <w:b w:val="1"/>
          <w:i w:val="1"/>
          <w:rtl w:val="0"/>
        </w:rPr>
        <w:t xml:space="preserve">Terminology</w:t>
      </w:r>
      <w:r w:rsidDel="00000000" w:rsidR="00000000" w:rsidRPr="00000000">
        <w:rPr>
          <w:rtl w:val="0"/>
        </w:rPr>
        <w:t xml:space="preserve">: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rsidR="00000000" w:rsidDel="00000000" w:rsidP="00000000" w:rsidRDefault="00000000" w:rsidRPr="00000000" w14:paraId="000000C3">
      <w:pPr>
        <w:numPr>
          <w:ilvl w:val="0"/>
          <w:numId w:val="1"/>
        </w:numPr>
        <w:pBdr>
          <w:top w:space="0" w:sz="0" w:val="nil"/>
          <w:left w:space="0" w:sz="0" w:val="nil"/>
          <w:bottom w:space="0" w:sz="0" w:val="nil"/>
          <w:right w:space="0" w:sz="0" w:val="nil"/>
          <w:between w:space="0" w:sz="0" w:val="nil"/>
        </w:pBdr>
        <w:spacing w:after="120" w:before="120" w:lineRule="auto"/>
        <w:ind w:left="720" w:hanging="720"/>
        <w:jc w:val="left"/>
        <w:rPr/>
      </w:pPr>
      <w:bookmarkStart w:colFirst="0" w:colLast="0" w:name="_heading=h.3as4poj" w:id="33"/>
      <w:bookmarkEnd w:id="33"/>
      <w:r w:rsidDel="00000000" w:rsidR="00000000" w:rsidRPr="00000000">
        <w:rPr>
          <w:b w:val="1"/>
          <w:i w:val="1"/>
          <w:rtl w:val="0"/>
        </w:rPr>
        <w:t xml:space="preserve">Groups</w:t>
      </w:r>
      <w:r w:rsidDel="00000000" w:rsidR="00000000" w:rsidRPr="00000000">
        <w:rPr>
          <w:rtl w:val="0"/>
        </w:rPr>
        <w:t xml:space="preserve">: Where the entity is the holding company of a group and prepares consolidated financial statements, the consolidated figures should be used.</w:t>
      </w:r>
    </w:p>
    <w:p w:rsidR="00000000" w:rsidDel="00000000" w:rsidP="00000000" w:rsidRDefault="00000000" w:rsidRPr="00000000" w14:paraId="000000C4">
      <w:pPr>
        <w:numPr>
          <w:ilvl w:val="0"/>
          <w:numId w:val="1"/>
        </w:numPr>
        <w:pBdr>
          <w:top w:space="0" w:sz="0" w:val="nil"/>
          <w:left w:space="0" w:sz="0" w:val="nil"/>
          <w:bottom w:space="0" w:sz="0" w:val="nil"/>
          <w:right w:space="0" w:sz="0" w:val="nil"/>
          <w:between w:space="0" w:sz="0" w:val="nil"/>
        </w:pBdr>
        <w:spacing w:after="120" w:before="120" w:lineRule="auto"/>
        <w:ind w:left="720" w:hanging="720"/>
        <w:jc w:val="left"/>
        <w:rPr/>
      </w:pPr>
      <w:r w:rsidDel="00000000" w:rsidR="00000000" w:rsidRPr="00000000">
        <w:rPr>
          <w:b w:val="1"/>
          <w:i w:val="1"/>
          <w:rtl w:val="0"/>
        </w:rPr>
        <w:t xml:space="preserve">Foreign currency conversion</w:t>
      </w:r>
      <w:r w:rsidDel="00000000" w:rsidR="00000000" w:rsidRPr="00000000">
        <w:rPr>
          <w:rtl w:val="0"/>
        </w:rPr>
        <w:t xml:space="preserve">: Figures denominated in foreign currencies should be converted at the exchange rate in force at the relevant date for which the Financial Indicator is being calculated.</w:t>
      </w:r>
    </w:p>
    <w:p w:rsidR="00000000" w:rsidDel="00000000" w:rsidP="00000000" w:rsidRDefault="00000000" w:rsidRPr="00000000" w14:paraId="000000C5">
      <w:pPr>
        <w:numPr>
          <w:ilvl w:val="0"/>
          <w:numId w:val="1"/>
        </w:numPr>
        <w:pBdr>
          <w:top w:space="0" w:sz="0" w:val="nil"/>
          <w:left w:space="0" w:sz="0" w:val="nil"/>
          <w:bottom w:space="0" w:sz="0" w:val="nil"/>
          <w:right w:space="0" w:sz="0" w:val="nil"/>
          <w:between w:space="0" w:sz="0" w:val="nil"/>
        </w:pBdr>
        <w:spacing w:after="120" w:before="120" w:lineRule="auto"/>
        <w:ind w:left="720" w:hanging="720"/>
        <w:jc w:val="left"/>
        <w:rPr/>
      </w:pPr>
      <w:r w:rsidDel="00000000" w:rsidR="00000000" w:rsidRPr="00000000">
        <w:rPr>
          <w:b w:val="1"/>
          <w:i w:val="1"/>
          <w:rtl w:val="0"/>
        </w:rPr>
        <w:t xml:space="preserve">Treatment of non-underlying items</w:t>
      </w:r>
      <w:r w:rsidDel="00000000" w:rsidR="00000000" w:rsidRPr="00000000">
        <w:rPr>
          <w:rtl w:val="0"/>
        </w:rPr>
        <w:t xml:space="preserve">: Financial Indicators should be based on the figures in the financial statements before adjusting for non-underlying items.</w:t>
      </w:r>
    </w:p>
    <w:p w:rsidR="00000000" w:rsidDel="00000000" w:rsidP="00000000" w:rsidRDefault="00000000" w:rsidRPr="00000000" w14:paraId="000000C6">
      <w:pPr>
        <w:pBdr>
          <w:top w:space="0" w:sz="0" w:val="nil"/>
          <w:left w:space="0" w:sz="0" w:val="nil"/>
          <w:bottom w:space="0" w:sz="0" w:val="nil"/>
          <w:right w:space="0" w:sz="0" w:val="nil"/>
          <w:between w:space="0" w:sz="0" w:val="nil"/>
        </w:pBdr>
        <w:spacing w:after="120" w:before="120" w:lineRule="auto"/>
        <w:ind w:left="720" w:hanging="720"/>
        <w:jc w:val="left"/>
        <w:rPr>
          <w:b w:val="1"/>
          <w:u w:val="single"/>
        </w:rPr>
      </w:pPr>
      <w:r w:rsidDel="00000000" w:rsidR="00000000" w:rsidRPr="00000000">
        <w:rPr>
          <w:b w:val="1"/>
          <w:u w:val="single"/>
          <w:rtl w:val="0"/>
        </w:rPr>
        <w:t xml:space="preserve">Specific Methodology</w:t>
      </w:r>
    </w:p>
    <w:p w:rsidR="00000000" w:rsidDel="00000000" w:rsidP="00000000" w:rsidRDefault="00000000" w:rsidRPr="00000000" w14:paraId="000000C7">
      <w:pPr>
        <w:pBdr>
          <w:top w:space="0" w:sz="0" w:val="nil"/>
          <w:left w:space="0" w:sz="0" w:val="nil"/>
          <w:bottom w:space="0" w:sz="0" w:val="nil"/>
          <w:right w:space="0" w:sz="0" w:val="nil"/>
          <w:between w:space="0" w:sz="0" w:val="nil"/>
        </w:pBdr>
        <w:spacing w:after="120" w:before="120" w:lineRule="auto"/>
        <w:jc w:val="left"/>
        <w:rPr>
          <w:i w:val="1"/>
          <w:color w:val="000000"/>
          <w:highlight w:val="yellow"/>
        </w:rPr>
      </w:pPr>
      <w:r w:rsidDel="00000000" w:rsidR="00000000" w:rsidRPr="00000000">
        <w:rPr>
          <w:b w:val="1"/>
          <w:i w:val="1"/>
          <w:color w:val="000000"/>
          <w:highlight w:val="yellow"/>
          <w:rtl w:val="0"/>
        </w:rPr>
        <w:t xml:space="preserve">[Guidance: Refer to Paragraph 5.1 of this Schedule for calculations of the Financial Indicators]</w:t>
      </w:r>
      <w:r w:rsidDel="00000000" w:rsidR="00000000" w:rsidRPr="00000000">
        <w:rPr>
          <w:rtl w:val="0"/>
        </w:rPr>
      </w:r>
    </w:p>
    <w:tbl>
      <w:tblPr>
        <w:tblStyle w:val="Table5"/>
        <w:tblW w:w="901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38"/>
        <w:gridCol w:w="6478"/>
        <w:tblGridChange w:id="0">
          <w:tblGrid>
            <w:gridCol w:w="2538"/>
            <w:gridCol w:w="6478"/>
          </w:tblGrid>
        </w:tblGridChange>
      </w:tblGrid>
      <w:tr>
        <w:trPr>
          <w:cantSplit w:val="0"/>
          <w:tblHeader w:val="0"/>
        </w:trPr>
        <w:tc>
          <w:tcPr>
            <w:shd w:fill="d9d9d9" w:val="clear"/>
          </w:tcPr>
          <w:p w:rsidR="00000000" w:rsidDel="00000000" w:rsidP="00000000" w:rsidRDefault="00000000" w:rsidRPr="00000000" w14:paraId="000000C8">
            <w:pPr>
              <w:pBdr>
                <w:top w:space="0" w:sz="0" w:val="nil"/>
                <w:left w:space="0" w:sz="0" w:val="nil"/>
                <w:bottom w:space="0" w:sz="0" w:val="nil"/>
                <w:right w:space="0" w:sz="0" w:val="nil"/>
                <w:between w:space="0" w:sz="0" w:val="nil"/>
              </w:pBdr>
              <w:spacing w:after="120" w:before="120" w:lineRule="auto"/>
              <w:jc w:val="left"/>
              <w:rPr>
                <w:b w:val="1"/>
                <w:sz w:val="24"/>
                <w:szCs w:val="24"/>
              </w:rPr>
            </w:pPr>
            <w:r w:rsidDel="00000000" w:rsidR="00000000" w:rsidRPr="00000000">
              <w:rPr>
                <w:b w:val="1"/>
                <w:sz w:val="24"/>
                <w:szCs w:val="24"/>
                <w:rtl w:val="0"/>
              </w:rPr>
              <w:t xml:space="preserve">Financial Indicator</w:t>
            </w:r>
          </w:p>
        </w:tc>
        <w:tc>
          <w:tcPr>
            <w:shd w:fill="d9d9d9" w:val="clear"/>
          </w:tcPr>
          <w:p w:rsidR="00000000" w:rsidDel="00000000" w:rsidP="00000000" w:rsidRDefault="00000000" w:rsidRPr="00000000" w14:paraId="000000C9">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Specific Methodology</w:t>
            </w:r>
          </w:p>
        </w:tc>
      </w:tr>
      <w:tr>
        <w:trPr>
          <w:cantSplit w:val="0"/>
          <w:tblHeader w:val="0"/>
        </w:trPr>
        <w:tc>
          <w:tcPr>
            <w:vAlign w:val="center"/>
          </w:tcPr>
          <w:p w:rsidR="00000000" w:rsidDel="00000000" w:rsidP="00000000" w:rsidRDefault="00000000" w:rsidRPr="00000000" w14:paraId="000000CA">
            <w:pPr>
              <w:pBdr>
                <w:top w:space="0" w:sz="0" w:val="nil"/>
                <w:left w:space="0" w:sz="0" w:val="nil"/>
                <w:bottom w:space="0" w:sz="0" w:val="nil"/>
                <w:right w:space="0" w:sz="0" w:val="nil"/>
                <w:between w:space="0" w:sz="0" w:val="nil"/>
              </w:pBdr>
              <w:spacing w:after="120" w:before="120" w:lineRule="auto"/>
              <w:jc w:val="left"/>
              <w:rPr>
                <w:b w:val="1"/>
                <w:sz w:val="24"/>
                <w:szCs w:val="24"/>
              </w:rPr>
            </w:pPr>
            <w:r w:rsidDel="00000000" w:rsidR="00000000" w:rsidRPr="00000000">
              <w:rPr>
                <w:b w:val="1"/>
                <w:sz w:val="24"/>
                <w:szCs w:val="24"/>
                <w:rtl w:val="0"/>
              </w:rPr>
              <w:t xml:space="preserve">1</w:t>
            </w:r>
          </w:p>
          <w:p w:rsidR="00000000" w:rsidDel="00000000" w:rsidP="00000000" w:rsidRDefault="00000000" w:rsidRPr="00000000" w14:paraId="000000CB">
            <w:pPr>
              <w:pBdr>
                <w:top w:space="0" w:sz="0" w:val="nil"/>
                <w:left w:space="0" w:sz="0" w:val="nil"/>
                <w:bottom w:space="0" w:sz="0" w:val="nil"/>
                <w:right w:space="0" w:sz="0" w:val="nil"/>
                <w:between w:space="0" w:sz="0" w:val="nil"/>
              </w:pBdr>
              <w:spacing w:after="120" w:before="120" w:lineRule="auto"/>
              <w:jc w:val="left"/>
              <w:rPr>
                <w:b w:val="1"/>
                <w:sz w:val="24"/>
                <w:szCs w:val="24"/>
              </w:rPr>
            </w:pPr>
            <w:r w:rsidDel="00000000" w:rsidR="00000000" w:rsidRPr="00000000">
              <w:rPr>
                <w:b w:val="1"/>
                <w:sz w:val="24"/>
                <w:szCs w:val="24"/>
                <w:rtl w:val="0"/>
              </w:rPr>
              <w:t xml:space="preserve">Operating Margin</w:t>
            </w:r>
          </w:p>
        </w:tc>
        <w:tc>
          <w:tcPr/>
          <w:p w:rsidR="00000000" w:rsidDel="00000000" w:rsidP="00000000" w:rsidRDefault="00000000" w:rsidRPr="00000000" w14:paraId="000000CC">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The elements used to calculate the Operating Margin should be shown on the face of the Income Statement in a standard set of financial statements.</w:t>
            </w:r>
          </w:p>
          <w:p w:rsidR="00000000" w:rsidDel="00000000" w:rsidP="00000000" w:rsidRDefault="00000000" w:rsidRPr="00000000" w14:paraId="000000CD">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Figures for Operating Profit and Revenue should exclude the entity’s share of the results of any joint ventures or Associates.</w:t>
            </w:r>
          </w:p>
          <w:p w:rsidR="00000000" w:rsidDel="00000000" w:rsidP="00000000" w:rsidRDefault="00000000" w:rsidRPr="00000000" w14:paraId="000000CE">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Where an entity has an operating loss (i.e. where the operating profit is negative), Operating Profit should be taken to be zero.</w:t>
            </w:r>
          </w:p>
        </w:tc>
      </w:tr>
      <w:tr>
        <w:trPr>
          <w:cantSplit w:val="0"/>
          <w:tblHeader w:val="0"/>
        </w:trPr>
        <w:tc>
          <w:tcPr/>
          <w:p w:rsidR="00000000" w:rsidDel="00000000" w:rsidP="00000000" w:rsidRDefault="00000000" w:rsidRPr="00000000" w14:paraId="000000CF">
            <w:pPr>
              <w:pBdr>
                <w:top w:space="0" w:sz="0" w:val="nil"/>
                <w:left w:space="0" w:sz="0" w:val="nil"/>
                <w:bottom w:space="0" w:sz="0" w:val="nil"/>
                <w:right w:space="0" w:sz="0" w:val="nil"/>
                <w:between w:space="0" w:sz="0" w:val="nil"/>
              </w:pBdr>
              <w:spacing w:after="120" w:before="120" w:lineRule="auto"/>
              <w:jc w:val="left"/>
              <w:rPr>
                <w:b w:val="1"/>
                <w:sz w:val="24"/>
                <w:szCs w:val="24"/>
              </w:rPr>
            </w:pPr>
            <w:r w:rsidDel="00000000" w:rsidR="00000000" w:rsidRPr="00000000">
              <w:rPr>
                <w:b w:val="1"/>
                <w:sz w:val="24"/>
                <w:szCs w:val="24"/>
                <w:rtl w:val="0"/>
              </w:rPr>
              <w:t xml:space="preserve">2</w:t>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120" w:before="120" w:lineRule="auto"/>
              <w:jc w:val="left"/>
              <w:rPr>
                <w:b w:val="1"/>
                <w:sz w:val="24"/>
                <w:szCs w:val="24"/>
              </w:rPr>
            </w:pPr>
            <w:r w:rsidDel="00000000" w:rsidR="00000000" w:rsidRPr="00000000">
              <w:rPr>
                <w:b w:val="1"/>
                <w:sz w:val="24"/>
                <w:szCs w:val="24"/>
                <w:rtl w:val="0"/>
              </w:rPr>
              <w:t xml:space="preserve">Free Cash Flow to Net Debt Ratio</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D4">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D5">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D7">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D8">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DA">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DB">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DC">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DD">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DE">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DF">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E1">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E2">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E3">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E4">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E5">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E6">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E8">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E9">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EA">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EB">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rtl w:val="0"/>
              </w:rPr>
            </w:r>
          </w:p>
          <w:p w:rsidR="00000000" w:rsidDel="00000000" w:rsidP="00000000" w:rsidRDefault="00000000" w:rsidRPr="00000000" w14:paraId="000000EC">
            <w:pPr>
              <w:pBdr>
                <w:top w:space="0" w:sz="0" w:val="nil"/>
                <w:left w:space="0" w:sz="0" w:val="nil"/>
                <w:bottom w:space="0" w:sz="0" w:val="nil"/>
                <w:right w:space="0" w:sz="0" w:val="nil"/>
                <w:between w:space="0" w:sz="0" w:val="nil"/>
              </w:pBdr>
              <w:spacing w:after="120" w:before="120" w:lineRule="auto"/>
              <w:jc w:val="left"/>
              <w:rPr>
                <w:b w:val="1"/>
                <w:sz w:val="24"/>
                <w:szCs w:val="24"/>
              </w:rPr>
            </w:pPr>
            <w:r w:rsidDel="00000000" w:rsidR="00000000" w:rsidRPr="00000000">
              <w:rPr>
                <w:b w:val="1"/>
                <w:sz w:val="24"/>
                <w:szCs w:val="24"/>
                <w:rtl w:val="0"/>
              </w:rPr>
              <w:t xml:space="preserve">OR</w:t>
            </w:r>
          </w:p>
          <w:p w:rsidR="00000000" w:rsidDel="00000000" w:rsidP="00000000" w:rsidRDefault="00000000" w:rsidRPr="00000000" w14:paraId="000000ED">
            <w:pPr>
              <w:pBdr>
                <w:top w:space="0" w:sz="0" w:val="nil"/>
                <w:left w:space="0" w:sz="0" w:val="nil"/>
                <w:bottom w:space="0" w:sz="0" w:val="nil"/>
                <w:right w:space="0" w:sz="0" w:val="nil"/>
                <w:between w:space="0" w:sz="0" w:val="nil"/>
              </w:pBdr>
              <w:spacing w:after="120" w:before="120" w:lineRule="auto"/>
              <w:jc w:val="left"/>
              <w:rPr>
                <w:b w:val="1"/>
                <w:sz w:val="24"/>
                <w:szCs w:val="24"/>
              </w:rPr>
            </w:pPr>
            <w:r w:rsidDel="00000000" w:rsidR="00000000" w:rsidRPr="00000000">
              <w:rPr>
                <w:b w:val="1"/>
                <w:sz w:val="24"/>
                <w:szCs w:val="24"/>
                <w:rtl w:val="0"/>
              </w:rPr>
              <w:t xml:space="preserve">Net Debt to EBITDA Ratio</w:t>
            </w:r>
          </w:p>
        </w:tc>
        <w:tc>
          <w:tcPr/>
          <w:p w:rsidR="00000000" w:rsidDel="00000000" w:rsidP="00000000" w:rsidRDefault="00000000" w:rsidRPr="00000000" w14:paraId="000000EE">
            <w:pPr>
              <w:pBdr>
                <w:top w:space="0" w:sz="0" w:val="nil"/>
                <w:left w:space="0" w:sz="0" w:val="nil"/>
                <w:bottom w:space="0" w:sz="0" w:val="nil"/>
                <w:right w:space="0" w:sz="0" w:val="nil"/>
                <w:between w:space="0" w:sz="0" w:val="nil"/>
              </w:pBdr>
              <w:spacing w:after="120" w:before="120" w:lineRule="auto"/>
              <w:jc w:val="left"/>
              <w:rPr>
                <w:i w:val="1"/>
                <w:sz w:val="24"/>
                <w:szCs w:val="24"/>
              </w:rPr>
            </w:pPr>
            <w:r w:rsidDel="00000000" w:rsidR="00000000" w:rsidRPr="00000000">
              <w:rPr>
                <w:i w:val="1"/>
                <w:sz w:val="24"/>
                <w:szCs w:val="24"/>
                <w:rtl w:val="0"/>
              </w:rPr>
              <w:t xml:space="preserve">“</w:t>
            </w:r>
            <w:r w:rsidDel="00000000" w:rsidR="00000000" w:rsidRPr="00000000">
              <w:rPr>
                <w:b w:val="1"/>
                <w:i w:val="1"/>
                <w:sz w:val="24"/>
                <w:szCs w:val="24"/>
                <w:rtl w:val="0"/>
              </w:rPr>
              <w:t xml:space="preserve">Free Cash Flow</w:t>
            </w:r>
            <w:r w:rsidDel="00000000" w:rsidR="00000000" w:rsidRPr="00000000">
              <w:rPr>
                <w:i w:val="1"/>
                <w:sz w:val="24"/>
                <w:szCs w:val="24"/>
                <w:rtl w:val="0"/>
              </w:rPr>
              <w:t xml:space="preserve">” = Net Cash Flow from Operating Activities – Capital Expenditure</w:t>
            </w:r>
          </w:p>
          <w:p w:rsidR="00000000" w:rsidDel="00000000" w:rsidP="00000000" w:rsidRDefault="00000000" w:rsidRPr="00000000" w14:paraId="000000EF">
            <w:pPr>
              <w:pBdr>
                <w:top w:space="0" w:sz="0" w:val="nil"/>
                <w:left w:space="0" w:sz="0" w:val="nil"/>
                <w:bottom w:space="0" w:sz="0" w:val="nil"/>
                <w:right w:space="0" w:sz="0" w:val="nil"/>
                <w:between w:space="0" w:sz="0" w:val="nil"/>
              </w:pBdr>
              <w:spacing w:after="120" w:before="120" w:lineRule="auto"/>
              <w:jc w:val="left"/>
              <w:rPr>
                <w:i w:val="1"/>
                <w:sz w:val="24"/>
                <w:szCs w:val="24"/>
              </w:rPr>
            </w:pPr>
            <w:r w:rsidDel="00000000" w:rsidR="00000000" w:rsidRPr="00000000">
              <w:rPr>
                <w:i w:val="1"/>
                <w:sz w:val="24"/>
                <w:szCs w:val="24"/>
                <w:rtl w:val="0"/>
              </w:rPr>
              <w:t xml:space="preserve">“</w:t>
            </w:r>
            <w:r w:rsidDel="00000000" w:rsidR="00000000" w:rsidRPr="00000000">
              <w:rPr>
                <w:b w:val="1"/>
                <w:i w:val="1"/>
                <w:sz w:val="24"/>
                <w:szCs w:val="24"/>
                <w:rtl w:val="0"/>
              </w:rPr>
              <w:t xml:space="preserve">Capital Expenditure</w:t>
            </w:r>
            <w:r w:rsidDel="00000000" w:rsidR="00000000" w:rsidRPr="00000000">
              <w:rPr>
                <w:i w:val="1"/>
                <w:sz w:val="24"/>
                <w:szCs w:val="24"/>
                <w:rtl w:val="0"/>
              </w:rPr>
              <w:t xml:space="preserve">” = Purchase of property, plant &amp; equipment + purchase of intangible assets</w:t>
            </w:r>
          </w:p>
          <w:p w:rsidR="00000000" w:rsidDel="00000000" w:rsidP="00000000" w:rsidRDefault="00000000" w:rsidRPr="00000000" w14:paraId="000000F0">
            <w:pPr>
              <w:pBdr>
                <w:top w:space="0" w:sz="0" w:val="nil"/>
                <w:left w:space="0" w:sz="0" w:val="nil"/>
                <w:bottom w:space="0" w:sz="0" w:val="nil"/>
                <w:right w:space="0" w:sz="0" w:val="nil"/>
                <w:between w:space="0" w:sz="0" w:val="nil"/>
              </w:pBdr>
              <w:spacing w:after="120" w:before="120" w:lineRule="auto"/>
              <w:jc w:val="left"/>
              <w:rPr>
                <w:i w:val="1"/>
                <w:sz w:val="24"/>
                <w:szCs w:val="24"/>
              </w:rPr>
            </w:pPr>
            <w:r w:rsidDel="00000000" w:rsidR="00000000" w:rsidRPr="00000000">
              <w:rPr>
                <w:i w:val="1"/>
                <w:sz w:val="24"/>
                <w:szCs w:val="24"/>
                <w:rtl w:val="0"/>
              </w:rPr>
              <w:t xml:space="preserve">“</w:t>
            </w:r>
            <w:r w:rsidDel="00000000" w:rsidR="00000000" w:rsidRPr="00000000">
              <w:rPr>
                <w:b w:val="1"/>
                <w:i w:val="1"/>
                <w:sz w:val="24"/>
                <w:szCs w:val="24"/>
                <w:rtl w:val="0"/>
              </w:rPr>
              <w:t xml:space="preserve">Net Debt</w:t>
            </w:r>
            <w:r w:rsidDel="00000000" w:rsidR="00000000" w:rsidRPr="00000000">
              <w:rPr>
                <w:i w:val="1"/>
                <w:sz w:val="24"/>
                <w:szCs w:val="24"/>
                <w:rtl w:val="0"/>
              </w:rPr>
              <w:t xml:space="preserve">” = Bank overdrafts + Loans and borrowings + Finance Leases + Deferred consideration payable – Cash and cash equivalents</w:t>
            </w:r>
          </w:p>
          <w:p w:rsidR="00000000" w:rsidDel="00000000" w:rsidP="00000000" w:rsidRDefault="00000000" w:rsidRPr="00000000" w14:paraId="000000F1">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The majority of the elements used to calculate the Free Cash Flow to Net Debt Ratio should be shown on the face of the Statement of Cash Flows and the Balance Sheet in a standard set of financial statements.</w:t>
            </w:r>
          </w:p>
          <w:p w:rsidR="00000000" w:rsidDel="00000000" w:rsidP="00000000" w:rsidRDefault="00000000" w:rsidRPr="00000000" w14:paraId="000000F2">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i w:val="1"/>
                <w:sz w:val="24"/>
                <w:szCs w:val="24"/>
                <w:u w:val="single"/>
                <w:rtl w:val="0"/>
              </w:rPr>
              <w:t xml:space="preserve">Net Cash Flow from Operating Activities</w:t>
            </w:r>
            <w:r w:rsidDel="00000000" w:rsidR="00000000" w:rsidRPr="00000000">
              <w:rPr>
                <w:sz w:val="24"/>
                <w:szCs w:val="24"/>
                <w:rtl w:val="0"/>
              </w:rPr>
              <w:t xml:space="preserve">: This should be stated after deduction of interest and tax paid.</w:t>
            </w:r>
          </w:p>
          <w:p w:rsidR="00000000" w:rsidDel="00000000" w:rsidP="00000000" w:rsidRDefault="00000000" w:rsidRPr="00000000" w14:paraId="000000F3">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i w:val="1"/>
                <w:sz w:val="24"/>
                <w:szCs w:val="24"/>
                <w:u w:val="single"/>
                <w:rtl w:val="0"/>
              </w:rPr>
              <w:t xml:space="preserve">Capital expenditure</w:t>
            </w:r>
            <w:r w:rsidDel="00000000" w:rsidR="00000000" w:rsidRPr="00000000">
              <w:rPr>
                <w:sz w:val="24"/>
                <w:szCs w:val="24"/>
                <w:rtl w:val="0"/>
              </w:rPr>
              <w:t xml:space="preserve">: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rsidR="00000000" w:rsidDel="00000000" w:rsidP="00000000" w:rsidRDefault="00000000" w:rsidRPr="00000000" w14:paraId="000000F4">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i w:val="1"/>
                <w:sz w:val="24"/>
                <w:szCs w:val="24"/>
                <w:u w:val="single"/>
                <w:rtl w:val="0"/>
              </w:rPr>
              <w:t xml:space="preserve">Net Debt</w:t>
            </w:r>
            <w:r w:rsidDel="00000000" w:rsidR="00000000" w:rsidRPr="00000000">
              <w:rPr>
                <w:sz w:val="24"/>
                <w:szCs w:val="24"/>
                <w:rtl w:val="0"/>
              </w:rPr>
              <w:t xml:space="preserve">: The elements of Net Debt may also be described slightly differently and should be found either on the face of the Balance Sheet or in the relevant note to the financial statements. All interest bearing liabilities (other than retirement benefit obligations) should be treated as borrowings as should, where disclosed, any liabilities (less any assets) in respect  of any hedges designated as linked to borrowings (but not non-designated hedges). Borrowings should also include balances owed to other group members.</w:t>
            </w:r>
          </w:p>
          <w:p w:rsidR="00000000" w:rsidDel="00000000" w:rsidP="00000000" w:rsidRDefault="00000000" w:rsidRPr="00000000" w14:paraId="000000F5">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Deferred consideration payable should be included in Net Debt despite typically being non-interest bearing.</w:t>
            </w:r>
          </w:p>
          <w:p w:rsidR="00000000" w:rsidDel="00000000" w:rsidP="00000000" w:rsidRDefault="00000000" w:rsidRPr="00000000" w14:paraId="000000F6">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Cash and cash equivalents should include short-term financial investments shown in current assets.</w:t>
            </w:r>
          </w:p>
          <w:p w:rsidR="00000000" w:rsidDel="00000000" w:rsidP="00000000" w:rsidRDefault="00000000" w:rsidRPr="00000000" w14:paraId="000000F7">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Where Net debt is negative (i.e. an entity has net cash), the relevant Financial Target Threshold should be treated as having been met.</w:t>
            </w:r>
          </w:p>
          <w:p w:rsidR="00000000" w:rsidDel="00000000" w:rsidP="00000000" w:rsidRDefault="00000000" w:rsidRPr="00000000" w14:paraId="000000F8">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OR</w:t>
            </w:r>
          </w:p>
          <w:p w:rsidR="00000000" w:rsidDel="00000000" w:rsidP="00000000" w:rsidRDefault="00000000" w:rsidRPr="00000000" w14:paraId="000000F9">
            <w:pPr>
              <w:pBdr>
                <w:top w:space="0" w:sz="0" w:val="nil"/>
                <w:left w:space="0" w:sz="0" w:val="nil"/>
                <w:bottom w:space="0" w:sz="0" w:val="nil"/>
                <w:right w:space="0" w:sz="0" w:val="nil"/>
                <w:between w:space="0" w:sz="0" w:val="nil"/>
              </w:pBdr>
              <w:spacing w:after="120" w:before="120" w:lineRule="auto"/>
              <w:jc w:val="left"/>
              <w:rPr>
                <w:i w:val="1"/>
                <w:sz w:val="24"/>
                <w:szCs w:val="24"/>
              </w:rPr>
            </w:pPr>
            <w:r w:rsidDel="00000000" w:rsidR="00000000" w:rsidRPr="00000000">
              <w:rPr>
                <w:i w:val="1"/>
                <w:sz w:val="24"/>
                <w:szCs w:val="24"/>
                <w:rtl w:val="0"/>
              </w:rPr>
              <w:t xml:space="preserve">“</w:t>
            </w:r>
            <w:r w:rsidDel="00000000" w:rsidR="00000000" w:rsidRPr="00000000">
              <w:rPr>
                <w:b w:val="1"/>
                <w:i w:val="1"/>
                <w:sz w:val="24"/>
                <w:szCs w:val="24"/>
                <w:rtl w:val="0"/>
              </w:rPr>
              <w:t xml:space="preserve">Net Debt</w:t>
            </w:r>
            <w:r w:rsidDel="00000000" w:rsidR="00000000" w:rsidRPr="00000000">
              <w:rPr>
                <w:i w:val="1"/>
                <w:sz w:val="24"/>
                <w:szCs w:val="24"/>
                <w:rtl w:val="0"/>
              </w:rPr>
              <w:t xml:space="preserve">” = Bank overdrafts + Loans and borrowings + Finance leases + Deferred consideration payable – Cash and cash equivalents</w:t>
            </w:r>
          </w:p>
          <w:p w:rsidR="00000000" w:rsidDel="00000000" w:rsidP="00000000" w:rsidRDefault="00000000" w:rsidRPr="00000000" w14:paraId="000000FA">
            <w:pPr>
              <w:pBdr>
                <w:top w:space="0" w:sz="0" w:val="nil"/>
                <w:left w:space="0" w:sz="0" w:val="nil"/>
                <w:bottom w:space="0" w:sz="0" w:val="nil"/>
                <w:right w:space="0" w:sz="0" w:val="nil"/>
                <w:between w:space="0" w:sz="0" w:val="nil"/>
              </w:pBdr>
              <w:spacing w:after="120" w:before="120" w:lineRule="auto"/>
              <w:jc w:val="left"/>
              <w:rPr>
                <w:i w:val="1"/>
                <w:sz w:val="24"/>
                <w:szCs w:val="24"/>
              </w:rPr>
            </w:pPr>
            <w:r w:rsidDel="00000000" w:rsidR="00000000" w:rsidRPr="00000000">
              <w:rPr>
                <w:i w:val="1"/>
                <w:sz w:val="24"/>
                <w:szCs w:val="24"/>
                <w:rtl w:val="0"/>
              </w:rPr>
              <w:t xml:space="preserve">“</w:t>
            </w:r>
            <w:r w:rsidDel="00000000" w:rsidR="00000000" w:rsidRPr="00000000">
              <w:rPr>
                <w:b w:val="1"/>
                <w:i w:val="1"/>
                <w:sz w:val="24"/>
                <w:szCs w:val="24"/>
                <w:rtl w:val="0"/>
              </w:rPr>
              <w:t xml:space="preserve">EBITDA</w:t>
            </w:r>
            <w:r w:rsidDel="00000000" w:rsidR="00000000" w:rsidRPr="00000000">
              <w:rPr>
                <w:i w:val="1"/>
                <w:sz w:val="24"/>
                <w:szCs w:val="24"/>
                <w:rtl w:val="0"/>
              </w:rPr>
              <w:t xml:space="preserve">” = Operating profit + Depreciation charge + Amortisation charge</w:t>
            </w:r>
          </w:p>
          <w:p w:rsidR="00000000" w:rsidDel="00000000" w:rsidP="00000000" w:rsidRDefault="00000000" w:rsidRPr="00000000" w14:paraId="000000FB">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The majority of the elements used to calculate the Net Debt to EBITDA Ratio should be shown on the face of the Balance sheet, Income statement and Statement of Cash Flows in a standard set of financial statements but will otherwise be found in the notes to the financial statements.</w:t>
            </w:r>
          </w:p>
          <w:p w:rsidR="00000000" w:rsidDel="00000000" w:rsidP="00000000" w:rsidRDefault="00000000" w:rsidRPr="00000000" w14:paraId="000000FC">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i w:val="1"/>
                <w:sz w:val="24"/>
                <w:szCs w:val="24"/>
                <w:u w:val="single"/>
                <w:rtl w:val="0"/>
              </w:rPr>
              <w:t xml:space="preserve">Net Debt</w:t>
            </w:r>
            <w:r w:rsidDel="00000000" w:rsidR="00000000" w:rsidRPr="00000000">
              <w:rPr>
                <w:sz w:val="24"/>
                <w:szCs w:val="24"/>
                <w:rtl w:val="0"/>
              </w:rPr>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rsidR="00000000" w:rsidDel="00000000" w:rsidP="00000000" w:rsidRDefault="00000000" w:rsidRPr="00000000" w14:paraId="000000FD">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Deferred consideration payable should be included in Net Debt despite typically being non-interest bearing.</w:t>
            </w:r>
          </w:p>
          <w:p w:rsidR="00000000" w:rsidDel="00000000" w:rsidP="00000000" w:rsidRDefault="00000000" w:rsidRPr="00000000" w14:paraId="000000FE">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Cash and cash equivalents should include short-term financial investments shown in current assets.</w:t>
            </w:r>
          </w:p>
          <w:p w:rsidR="00000000" w:rsidDel="00000000" w:rsidP="00000000" w:rsidRDefault="00000000" w:rsidRPr="00000000" w14:paraId="000000FF">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Where Net debt is negative (i.e. an entity has net cash), the relevant Financial Target Threshold should be treated as having been met. </w:t>
            </w:r>
          </w:p>
          <w:p w:rsidR="00000000" w:rsidDel="00000000" w:rsidP="00000000" w:rsidRDefault="00000000" w:rsidRPr="00000000" w14:paraId="00000100">
            <w:pPr>
              <w:pBdr>
                <w:top w:space="0" w:sz="0" w:val="nil"/>
                <w:left w:space="0" w:sz="0" w:val="nil"/>
                <w:bottom w:space="0" w:sz="0" w:val="nil"/>
                <w:right w:space="0" w:sz="0" w:val="nil"/>
                <w:between w:space="0" w:sz="0" w:val="nil"/>
              </w:pBdr>
              <w:spacing w:after="120" w:before="120" w:lineRule="auto"/>
              <w:jc w:val="left"/>
              <w:rPr>
                <w:i w:val="1"/>
                <w:sz w:val="24"/>
                <w:szCs w:val="24"/>
              </w:rPr>
            </w:pPr>
            <w:bookmarkStart w:colFirst="0" w:colLast="0" w:name="_heading=h.1pxezwc" w:id="34"/>
            <w:bookmarkEnd w:id="34"/>
            <w:r w:rsidDel="00000000" w:rsidR="00000000" w:rsidRPr="00000000">
              <w:rPr>
                <w:i w:val="1"/>
                <w:sz w:val="24"/>
                <w:szCs w:val="24"/>
                <w:u w:val="single"/>
                <w:rtl w:val="0"/>
              </w:rPr>
              <w:t xml:space="preserve">EBITDA</w:t>
            </w:r>
            <w:r w:rsidDel="00000000" w:rsidR="00000000" w:rsidRPr="00000000">
              <w:rPr>
                <w:sz w:val="24"/>
                <w:szCs w:val="24"/>
                <w:rtl w:val="0"/>
              </w:rPr>
              <w:t xml:space="preserve">: Operating profit should be shown on the face of the Income Statement and, for the purposes of calculating this Financial Indicator, should include the entity’s share of the results of any joint ventures or Associates. </w:t>
            </w:r>
            <w:r w:rsidDel="00000000" w:rsidR="00000000" w:rsidRPr="00000000">
              <w:rPr>
                <w:i w:val="1"/>
                <w:sz w:val="24"/>
                <w:szCs w:val="24"/>
                <w:rtl w:val="0"/>
              </w:rPr>
              <w:t xml:space="preserve">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trPr>
          <w:cantSplit w:val="0"/>
          <w:tblHeader w:val="0"/>
        </w:trPr>
        <w:tc>
          <w:tcPr/>
          <w:p w:rsidR="00000000" w:rsidDel="00000000" w:rsidP="00000000" w:rsidRDefault="00000000" w:rsidRPr="00000000" w14:paraId="00000101">
            <w:pPr>
              <w:pBdr>
                <w:top w:space="0" w:sz="0" w:val="nil"/>
                <w:left w:space="0" w:sz="0" w:val="nil"/>
                <w:bottom w:space="0" w:sz="0" w:val="nil"/>
                <w:right w:space="0" w:sz="0" w:val="nil"/>
                <w:between w:space="0" w:sz="0" w:val="nil"/>
              </w:pBdr>
              <w:spacing w:after="120" w:before="120" w:lineRule="auto"/>
              <w:jc w:val="left"/>
              <w:rPr>
                <w:b w:val="1"/>
                <w:sz w:val="24"/>
                <w:szCs w:val="24"/>
              </w:rPr>
            </w:pPr>
            <w:r w:rsidDel="00000000" w:rsidR="00000000" w:rsidRPr="00000000">
              <w:rPr>
                <w:b w:val="1"/>
                <w:sz w:val="24"/>
                <w:szCs w:val="24"/>
                <w:rtl w:val="0"/>
              </w:rPr>
              <w:t xml:space="preserve">3</w:t>
            </w:r>
          </w:p>
          <w:p w:rsidR="00000000" w:rsidDel="00000000" w:rsidP="00000000" w:rsidRDefault="00000000" w:rsidRPr="00000000" w14:paraId="00000102">
            <w:pPr>
              <w:pBdr>
                <w:top w:space="0" w:sz="0" w:val="nil"/>
                <w:left w:space="0" w:sz="0" w:val="nil"/>
                <w:bottom w:space="0" w:sz="0" w:val="nil"/>
                <w:right w:space="0" w:sz="0" w:val="nil"/>
                <w:between w:space="0" w:sz="0" w:val="nil"/>
              </w:pBdr>
              <w:spacing w:after="120" w:before="120" w:lineRule="auto"/>
              <w:jc w:val="left"/>
              <w:rPr>
                <w:b w:val="1"/>
                <w:sz w:val="24"/>
                <w:szCs w:val="24"/>
              </w:rPr>
            </w:pPr>
            <w:r w:rsidDel="00000000" w:rsidR="00000000" w:rsidRPr="00000000">
              <w:rPr>
                <w:b w:val="1"/>
                <w:sz w:val="24"/>
                <w:szCs w:val="24"/>
                <w:rtl w:val="0"/>
              </w:rPr>
              <w:t xml:space="preserve">Net Debt + Net  Pension Deficit to EBITDA ratio</w:t>
            </w:r>
          </w:p>
        </w:tc>
        <w:tc>
          <w:tcPr/>
          <w:p w:rsidR="00000000" w:rsidDel="00000000" w:rsidP="00000000" w:rsidRDefault="00000000" w:rsidRPr="00000000" w14:paraId="00000103">
            <w:pPr>
              <w:pBdr>
                <w:top w:space="0" w:sz="0" w:val="nil"/>
                <w:left w:space="0" w:sz="0" w:val="nil"/>
                <w:bottom w:space="0" w:sz="0" w:val="nil"/>
                <w:right w:space="0" w:sz="0" w:val="nil"/>
                <w:between w:space="0" w:sz="0" w:val="nil"/>
              </w:pBdr>
              <w:spacing w:after="120" w:before="120" w:lineRule="auto"/>
              <w:jc w:val="left"/>
              <w:rPr>
                <w:i w:val="1"/>
                <w:sz w:val="24"/>
                <w:szCs w:val="24"/>
              </w:rPr>
            </w:pPr>
            <w:r w:rsidDel="00000000" w:rsidR="00000000" w:rsidRPr="00000000">
              <w:rPr>
                <w:i w:val="1"/>
                <w:sz w:val="24"/>
                <w:szCs w:val="24"/>
                <w:rtl w:val="0"/>
              </w:rPr>
              <w:t xml:space="preserve">“</w:t>
            </w:r>
            <w:r w:rsidDel="00000000" w:rsidR="00000000" w:rsidRPr="00000000">
              <w:rPr>
                <w:b w:val="1"/>
                <w:i w:val="1"/>
                <w:sz w:val="24"/>
                <w:szCs w:val="24"/>
                <w:rtl w:val="0"/>
              </w:rPr>
              <w:t xml:space="preserve">Net Debt</w:t>
            </w:r>
            <w:r w:rsidDel="00000000" w:rsidR="00000000" w:rsidRPr="00000000">
              <w:rPr>
                <w:i w:val="1"/>
                <w:sz w:val="24"/>
                <w:szCs w:val="24"/>
                <w:rtl w:val="0"/>
              </w:rPr>
              <w:t xml:space="preserve">” = Bank overdrafts + Loans and borrowings + Finance leases + Deferred consideration payable – Cash and cash equivalents</w:t>
            </w:r>
          </w:p>
          <w:p w:rsidR="00000000" w:rsidDel="00000000" w:rsidP="00000000" w:rsidRDefault="00000000" w:rsidRPr="00000000" w14:paraId="00000104">
            <w:pPr>
              <w:pBdr>
                <w:top w:space="0" w:sz="0" w:val="nil"/>
                <w:left w:space="0" w:sz="0" w:val="nil"/>
                <w:bottom w:space="0" w:sz="0" w:val="nil"/>
                <w:right w:space="0" w:sz="0" w:val="nil"/>
                <w:between w:space="0" w:sz="0" w:val="nil"/>
              </w:pBdr>
              <w:spacing w:after="120" w:before="120" w:lineRule="auto"/>
              <w:jc w:val="left"/>
              <w:rPr>
                <w:i w:val="1"/>
                <w:sz w:val="24"/>
                <w:szCs w:val="24"/>
              </w:rPr>
            </w:pPr>
            <w:r w:rsidDel="00000000" w:rsidR="00000000" w:rsidRPr="00000000">
              <w:rPr>
                <w:i w:val="1"/>
                <w:sz w:val="24"/>
                <w:szCs w:val="24"/>
                <w:rtl w:val="0"/>
              </w:rPr>
              <w:t xml:space="preserve">“</w:t>
            </w:r>
            <w:r w:rsidDel="00000000" w:rsidR="00000000" w:rsidRPr="00000000">
              <w:rPr>
                <w:b w:val="1"/>
                <w:i w:val="1"/>
                <w:sz w:val="24"/>
                <w:szCs w:val="24"/>
                <w:rtl w:val="0"/>
              </w:rPr>
              <w:t xml:space="preserve">Net Pension Deficit</w:t>
            </w:r>
            <w:r w:rsidDel="00000000" w:rsidR="00000000" w:rsidRPr="00000000">
              <w:rPr>
                <w:i w:val="1"/>
                <w:sz w:val="24"/>
                <w:szCs w:val="24"/>
                <w:rtl w:val="0"/>
              </w:rPr>
              <w:t xml:space="preserve">” = Retirement Benefit Obligations – Retirement Benefit Assets</w:t>
            </w:r>
          </w:p>
          <w:p w:rsidR="00000000" w:rsidDel="00000000" w:rsidP="00000000" w:rsidRDefault="00000000" w:rsidRPr="00000000" w14:paraId="00000105">
            <w:pPr>
              <w:pBdr>
                <w:top w:space="0" w:sz="0" w:val="nil"/>
                <w:left w:space="0" w:sz="0" w:val="nil"/>
                <w:bottom w:space="0" w:sz="0" w:val="nil"/>
                <w:right w:space="0" w:sz="0" w:val="nil"/>
                <w:between w:space="0" w:sz="0" w:val="nil"/>
              </w:pBdr>
              <w:spacing w:after="120" w:before="120" w:lineRule="auto"/>
              <w:jc w:val="left"/>
              <w:rPr>
                <w:i w:val="1"/>
                <w:sz w:val="24"/>
                <w:szCs w:val="24"/>
              </w:rPr>
            </w:pPr>
            <w:r w:rsidDel="00000000" w:rsidR="00000000" w:rsidRPr="00000000">
              <w:rPr>
                <w:i w:val="1"/>
                <w:sz w:val="24"/>
                <w:szCs w:val="24"/>
                <w:rtl w:val="0"/>
              </w:rPr>
              <w:t xml:space="preserve">“</w:t>
            </w:r>
            <w:r w:rsidDel="00000000" w:rsidR="00000000" w:rsidRPr="00000000">
              <w:rPr>
                <w:b w:val="1"/>
                <w:i w:val="1"/>
                <w:sz w:val="24"/>
                <w:szCs w:val="24"/>
                <w:rtl w:val="0"/>
              </w:rPr>
              <w:t xml:space="preserve">EBITDA</w:t>
            </w:r>
            <w:r w:rsidDel="00000000" w:rsidR="00000000" w:rsidRPr="00000000">
              <w:rPr>
                <w:i w:val="1"/>
                <w:sz w:val="24"/>
                <w:szCs w:val="24"/>
                <w:rtl w:val="0"/>
              </w:rPr>
              <w:t xml:space="preserve">” = Operating profit + Depreciation charge + Amortisation charge</w:t>
            </w:r>
          </w:p>
          <w:p w:rsidR="00000000" w:rsidDel="00000000" w:rsidP="00000000" w:rsidRDefault="00000000" w:rsidRPr="00000000" w14:paraId="00000106">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The majority of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w:t>
            </w:r>
          </w:p>
          <w:p w:rsidR="00000000" w:rsidDel="00000000" w:rsidP="00000000" w:rsidRDefault="00000000" w:rsidRPr="00000000" w14:paraId="00000107">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i w:val="1"/>
                <w:sz w:val="24"/>
                <w:szCs w:val="24"/>
                <w:u w:val="single"/>
                <w:rtl w:val="0"/>
              </w:rPr>
              <w:t xml:space="preserve">Net Debt</w:t>
            </w:r>
            <w:r w:rsidDel="00000000" w:rsidR="00000000" w:rsidRPr="00000000">
              <w:rPr>
                <w:sz w:val="24"/>
                <w:szCs w:val="24"/>
                <w:rtl w:val="0"/>
              </w:rPr>
              <w:t xml:space="preserve">: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w:t>
            </w:r>
            <w:r w:rsidDel="00000000" w:rsidR="00000000" w:rsidRPr="00000000">
              <w:rPr>
                <w:i w:val="1"/>
                <w:sz w:val="24"/>
                <w:szCs w:val="24"/>
                <w:rtl w:val="0"/>
              </w:rPr>
              <w:t xml:space="preserve">not</w:t>
            </w:r>
            <w:r w:rsidDel="00000000" w:rsidR="00000000" w:rsidRPr="00000000">
              <w:rPr>
                <w:sz w:val="24"/>
                <w:szCs w:val="24"/>
                <w:rtl w:val="0"/>
              </w:rPr>
              <w:t xml:space="preserve"> non-designated hedges). Borrowings should also include balances owed to other group members.</w:t>
            </w:r>
          </w:p>
          <w:p w:rsidR="00000000" w:rsidDel="00000000" w:rsidP="00000000" w:rsidRDefault="00000000" w:rsidRPr="00000000" w14:paraId="00000108">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Deferred consideration payable should be included in Net Debt despite typically being non-interest bearing.</w:t>
            </w:r>
          </w:p>
          <w:p w:rsidR="00000000" w:rsidDel="00000000" w:rsidP="00000000" w:rsidRDefault="00000000" w:rsidRPr="00000000" w14:paraId="00000109">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Cash and cash equivalents should include short-term financial investments shown in current assets.</w:t>
            </w:r>
          </w:p>
          <w:p w:rsidR="00000000" w:rsidDel="00000000" w:rsidP="00000000" w:rsidRDefault="00000000" w:rsidRPr="00000000" w14:paraId="0000010A">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i w:val="1"/>
                <w:sz w:val="24"/>
                <w:szCs w:val="24"/>
                <w:u w:val="single"/>
                <w:rtl w:val="0"/>
              </w:rPr>
              <w:t xml:space="preserve">Net Pension Deficit</w:t>
            </w:r>
            <w:r w:rsidDel="00000000" w:rsidR="00000000" w:rsidRPr="00000000">
              <w:rPr>
                <w:sz w:val="24"/>
                <w:szCs w:val="24"/>
                <w:rtl w:val="0"/>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rsidR="00000000" w:rsidDel="00000000" w:rsidP="00000000" w:rsidRDefault="00000000" w:rsidRPr="00000000" w14:paraId="0000010B">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Where ‘Net Debt + Net Pension Deficit’ is negative, the relevant Financial Target Threshold should be treated as having been met.</w:t>
            </w:r>
          </w:p>
          <w:p w:rsidR="00000000" w:rsidDel="00000000" w:rsidP="00000000" w:rsidRDefault="00000000" w:rsidRPr="00000000" w14:paraId="0000010C">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i w:val="1"/>
                <w:sz w:val="24"/>
                <w:szCs w:val="24"/>
                <w:u w:val="single"/>
                <w:rtl w:val="0"/>
              </w:rPr>
              <w:t xml:space="preserve">EBITDA</w:t>
            </w:r>
            <w:r w:rsidDel="00000000" w:rsidR="00000000" w:rsidRPr="00000000">
              <w:rPr>
                <w:sz w:val="24"/>
                <w:szCs w:val="24"/>
                <w:rtl w:val="0"/>
              </w:rPr>
              <w:t xml:space="preserve">: Operating profit should be shown on the face of the Income Statement and, for the purposes of calculating this Financial Indicator, should include the entity’s share of the results of any joint ventures or Associates.</w:t>
            </w:r>
          </w:p>
          <w:p w:rsidR="00000000" w:rsidDel="00000000" w:rsidP="00000000" w:rsidRDefault="00000000" w:rsidRPr="00000000" w14:paraId="0000010D">
            <w:pPr>
              <w:pBdr>
                <w:top w:space="0" w:sz="0" w:val="nil"/>
                <w:left w:space="0" w:sz="0" w:val="nil"/>
                <w:bottom w:space="0" w:sz="0" w:val="nil"/>
                <w:right w:space="0" w:sz="0" w:val="nil"/>
                <w:between w:space="0" w:sz="0" w:val="nil"/>
              </w:pBdr>
              <w:spacing w:after="120" w:before="120" w:lineRule="auto"/>
              <w:jc w:val="left"/>
              <w:rPr>
                <w:sz w:val="24"/>
                <w:szCs w:val="24"/>
              </w:rPr>
            </w:pPr>
            <w:bookmarkStart w:colFirst="0" w:colLast="0" w:name="_heading=h.49x2ik5" w:id="35"/>
            <w:bookmarkEnd w:id="35"/>
            <w:r w:rsidDel="00000000" w:rsidR="00000000" w:rsidRPr="00000000">
              <w:rPr>
                <w:sz w:val="24"/>
                <w:szCs w:val="24"/>
                <w:rtl w:val="0"/>
              </w:rPr>
              <w:t xml:space="preserve">The depreciation and amortisation charges for the period may be found on the face of the Statement of Cash Flows or in a Note to the Accounts. </w:t>
            </w:r>
          </w:p>
          <w:p w:rsidR="00000000" w:rsidDel="00000000" w:rsidP="00000000" w:rsidRDefault="00000000" w:rsidRPr="00000000" w14:paraId="0000010E">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Where EBITDA is negative, the relevant Financial Target Threshold should be treated as not having been met (unless ‘Net Debt + Net Pension Deficit’ is also negative, in which case the relevant Financial Target Threshold should be regarded as having been met).</w:t>
            </w:r>
          </w:p>
        </w:tc>
      </w:tr>
      <w:tr>
        <w:trPr>
          <w:cantSplit w:val="0"/>
          <w:tblHeader w:val="0"/>
        </w:trPr>
        <w:tc>
          <w:tcPr>
            <w:vAlign w:val="center"/>
          </w:tcPr>
          <w:p w:rsidR="00000000" w:rsidDel="00000000" w:rsidP="00000000" w:rsidRDefault="00000000" w:rsidRPr="00000000" w14:paraId="0000010F">
            <w:pPr>
              <w:pBdr>
                <w:top w:space="0" w:sz="0" w:val="nil"/>
                <w:left w:space="0" w:sz="0" w:val="nil"/>
                <w:bottom w:space="0" w:sz="0" w:val="nil"/>
                <w:right w:space="0" w:sz="0" w:val="nil"/>
                <w:between w:space="0" w:sz="0" w:val="nil"/>
              </w:pBdr>
              <w:spacing w:after="120" w:before="120" w:lineRule="auto"/>
              <w:jc w:val="left"/>
              <w:rPr>
                <w:b w:val="1"/>
                <w:sz w:val="24"/>
                <w:szCs w:val="24"/>
              </w:rPr>
            </w:pPr>
            <w:r w:rsidDel="00000000" w:rsidR="00000000" w:rsidRPr="00000000">
              <w:rPr>
                <w:b w:val="1"/>
                <w:sz w:val="24"/>
                <w:szCs w:val="24"/>
                <w:rtl w:val="0"/>
              </w:rPr>
              <w:t xml:space="preserve">4</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after="120" w:before="120" w:lineRule="auto"/>
              <w:jc w:val="left"/>
              <w:rPr>
                <w:b w:val="1"/>
                <w:sz w:val="24"/>
                <w:szCs w:val="24"/>
              </w:rPr>
            </w:pPr>
            <w:r w:rsidDel="00000000" w:rsidR="00000000" w:rsidRPr="00000000">
              <w:rPr>
                <w:b w:val="1"/>
                <w:sz w:val="24"/>
                <w:szCs w:val="24"/>
                <w:rtl w:val="0"/>
              </w:rPr>
              <w:t xml:space="preserve">Net Interest Paid Cover</w:t>
            </w:r>
          </w:p>
        </w:tc>
        <w:tc>
          <w:tcPr/>
          <w:p w:rsidR="00000000" w:rsidDel="00000000" w:rsidP="00000000" w:rsidRDefault="00000000" w:rsidRPr="00000000" w14:paraId="00000111">
            <w:pPr>
              <w:pBdr>
                <w:top w:space="0" w:sz="0" w:val="nil"/>
                <w:left w:space="0" w:sz="0" w:val="nil"/>
                <w:bottom w:space="0" w:sz="0" w:val="nil"/>
                <w:right w:space="0" w:sz="0" w:val="nil"/>
                <w:between w:space="0" w:sz="0" w:val="nil"/>
              </w:pBdr>
              <w:spacing w:after="120" w:before="120" w:lineRule="auto"/>
              <w:jc w:val="left"/>
              <w:rPr>
                <w:i w:val="1"/>
                <w:sz w:val="24"/>
                <w:szCs w:val="24"/>
              </w:rPr>
            </w:pPr>
            <w:r w:rsidDel="00000000" w:rsidR="00000000" w:rsidRPr="00000000">
              <w:rPr>
                <w:i w:val="1"/>
                <w:sz w:val="24"/>
                <w:szCs w:val="24"/>
                <w:rtl w:val="0"/>
              </w:rPr>
              <w:t xml:space="preserve">“</w:t>
            </w:r>
            <w:r w:rsidDel="00000000" w:rsidR="00000000" w:rsidRPr="00000000">
              <w:rPr>
                <w:b w:val="1"/>
                <w:i w:val="1"/>
                <w:sz w:val="24"/>
                <w:szCs w:val="24"/>
                <w:rtl w:val="0"/>
              </w:rPr>
              <w:t xml:space="preserve">Earnings Before Interest and Tax</w:t>
            </w:r>
            <w:r w:rsidDel="00000000" w:rsidR="00000000" w:rsidRPr="00000000">
              <w:rPr>
                <w:i w:val="1"/>
                <w:sz w:val="24"/>
                <w:szCs w:val="24"/>
                <w:rtl w:val="0"/>
              </w:rPr>
              <w:t xml:space="preserve">” = Operating profit</w:t>
            </w:r>
          </w:p>
          <w:p w:rsidR="00000000" w:rsidDel="00000000" w:rsidP="00000000" w:rsidRDefault="00000000" w:rsidRPr="00000000" w14:paraId="00000112">
            <w:pPr>
              <w:pBdr>
                <w:top w:space="0" w:sz="0" w:val="nil"/>
                <w:left w:space="0" w:sz="0" w:val="nil"/>
                <w:bottom w:space="0" w:sz="0" w:val="nil"/>
                <w:right w:space="0" w:sz="0" w:val="nil"/>
                <w:between w:space="0" w:sz="0" w:val="nil"/>
              </w:pBdr>
              <w:spacing w:after="120" w:before="120" w:lineRule="auto"/>
              <w:jc w:val="left"/>
              <w:rPr>
                <w:i w:val="1"/>
                <w:sz w:val="24"/>
                <w:szCs w:val="24"/>
              </w:rPr>
            </w:pPr>
            <w:r w:rsidDel="00000000" w:rsidR="00000000" w:rsidRPr="00000000">
              <w:rPr>
                <w:i w:val="1"/>
                <w:sz w:val="24"/>
                <w:szCs w:val="24"/>
                <w:rtl w:val="0"/>
              </w:rPr>
              <w:t xml:space="preserve">“</w:t>
            </w:r>
            <w:r w:rsidDel="00000000" w:rsidR="00000000" w:rsidRPr="00000000">
              <w:rPr>
                <w:b w:val="1"/>
                <w:i w:val="1"/>
                <w:sz w:val="24"/>
                <w:szCs w:val="24"/>
                <w:rtl w:val="0"/>
              </w:rPr>
              <w:t xml:space="preserve">Net Interest Paid</w:t>
            </w:r>
            <w:r w:rsidDel="00000000" w:rsidR="00000000" w:rsidRPr="00000000">
              <w:rPr>
                <w:i w:val="1"/>
                <w:sz w:val="24"/>
                <w:szCs w:val="24"/>
                <w:rtl w:val="0"/>
              </w:rPr>
              <w:t xml:space="preserve">” = Interest paid – Interest received</w:t>
            </w:r>
          </w:p>
          <w:p w:rsidR="00000000" w:rsidDel="00000000" w:rsidP="00000000" w:rsidRDefault="00000000" w:rsidRPr="00000000" w14:paraId="00000113">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Operating profit should be shown on the face of the Income Statement in a standard set of financial statements and, for the purposes of calculating this Financial Indicator, should include the entity’s share of the results of any joint ventures or Associates.</w:t>
            </w:r>
          </w:p>
          <w:p w:rsidR="00000000" w:rsidDel="00000000" w:rsidP="00000000" w:rsidRDefault="00000000" w:rsidRPr="00000000" w14:paraId="00000114">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Interest received and interest paid should be shown on the face of the Cash Flow statement.</w:t>
            </w:r>
          </w:p>
          <w:p w:rsidR="00000000" w:rsidDel="00000000" w:rsidP="00000000" w:rsidRDefault="00000000" w:rsidRPr="00000000" w14:paraId="00000115">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Where Net interest paid is negative (i.e. the entity has net interest received), the relevant Financial Target Threshold should be treated as having been met.</w:t>
            </w:r>
          </w:p>
        </w:tc>
      </w:tr>
      <w:tr>
        <w:trPr>
          <w:cantSplit w:val="0"/>
          <w:tblHeader w:val="0"/>
        </w:trPr>
        <w:tc>
          <w:tcPr>
            <w:vAlign w:val="center"/>
          </w:tcPr>
          <w:p w:rsidR="00000000" w:rsidDel="00000000" w:rsidP="00000000" w:rsidRDefault="00000000" w:rsidRPr="00000000" w14:paraId="00000116">
            <w:pPr>
              <w:pBdr>
                <w:top w:space="0" w:sz="0" w:val="nil"/>
                <w:left w:space="0" w:sz="0" w:val="nil"/>
                <w:bottom w:space="0" w:sz="0" w:val="nil"/>
                <w:right w:space="0" w:sz="0" w:val="nil"/>
                <w:between w:space="0" w:sz="0" w:val="nil"/>
              </w:pBdr>
              <w:spacing w:after="120" w:before="120" w:lineRule="auto"/>
              <w:jc w:val="left"/>
              <w:rPr>
                <w:b w:val="1"/>
                <w:sz w:val="24"/>
                <w:szCs w:val="24"/>
              </w:rPr>
            </w:pPr>
            <w:r w:rsidDel="00000000" w:rsidR="00000000" w:rsidRPr="00000000">
              <w:rPr>
                <w:b w:val="1"/>
                <w:sz w:val="24"/>
                <w:szCs w:val="24"/>
                <w:rtl w:val="0"/>
              </w:rPr>
              <w:t xml:space="preserve">5</w:t>
            </w:r>
          </w:p>
          <w:p w:rsidR="00000000" w:rsidDel="00000000" w:rsidP="00000000" w:rsidRDefault="00000000" w:rsidRPr="00000000" w14:paraId="00000117">
            <w:pPr>
              <w:pBdr>
                <w:top w:space="0" w:sz="0" w:val="nil"/>
                <w:left w:space="0" w:sz="0" w:val="nil"/>
                <w:bottom w:space="0" w:sz="0" w:val="nil"/>
                <w:right w:space="0" w:sz="0" w:val="nil"/>
                <w:between w:space="0" w:sz="0" w:val="nil"/>
              </w:pBdr>
              <w:spacing w:after="120" w:before="120" w:lineRule="auto"/>
              <w:jc w:val="left"/>
              <w:rPr>
                <w:b w:val="1"/>
                <w:sz w:val="24"/>
                <w:szCs w:val="24"/>
              </w:rPr>
            </w:pPr>
            <w:r w:rsidDel="00000000" w:rsidR="00000000" w:rsidRPr="00000000">
              <w:rPr>
                <w:b w:val="1"/>
                <w:sz w:val="24"/>
                <w:szCs w:val="24"/>
                <w:rtl w:val="0"/>
              </w:rPr>
              <w:t xml:space="preserve">Acid Ratio</w:t>
            </w:r>
          </w:p>
        </w:tc>
        <w:tc>
          <w:tcPr/>
          <w:p w:rsidR="00000000" w:rsidDel="00000000" w:rsidP="00000000" w:rsidRDefault="00000000" w:rsidRPr="00000000" w14:paraId="00000118">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All elements that are used to calculate the Acid Ratio are available on the face of the Balance Sheet in a standard set of financial statements.</w:t>
            </w:r>
          </w:p>
        </w:tc>
      </w:tr>
      <w:tr>
        <w:trPr>
          <w:cantSplit w:val="0"/>
          <w:tblHeader w:val="0"/>
        </w:trPr>
        <w:tc>
          <w:tcPr>
            <w:vAlign w:val="center"/>
          </w:tcPr>
          <w:p w:rsidR="00000000" w:rsidDel="00000000" w:rsidP="00000000" w:rsidRDefault="00000000" w:rsidRPr="00000000" w14:paraId="00000119">
            <w:pPr>
              <w:pBdr>
                <w:top w:space="0" w:sz="0" w:val="nil"/>
                <w:left w:space="0" w:sz="0" w:val="nil"/>
                <w:bottom w:space="0" w:sz="0" w:val="nil"/>
                <w:right w:space="0" w:sz="0" w:val="nil"/>
                <w:between w:space="0" w:sz="0" w:val="nil"/>
              </w:pBdr>
              <w:spacing w:after="120" w:before="120" w:lineRule="auto"/>
              <w:jc w:val="left"/>
              <w:rPr>
                <w:b w:val="1"/>
                <w:sz w:val="24"/>
                <w:szCs w:val="24"/>
              </w:rPr>
            </w:pPr>
            <w:r w:rsidDel="00000000" w:rsidR="00000000" w:rsidRPr="00000000">
              <w:rPr>
                <w:b w:val="1"/>
                <w:sz w:val="24"/>
                <w:szCs w:val="24"/>
                <w:rtl w:val="0"/>
              </w:rPr>
              <w:t xml:space="preserve">6</w:t>
            </w:r>
          </w:p>
          <w:p w:rsidR="00000000" w:rsidDel="00000000" w:rsidP="00000000" w:rsidRDefault="00000000" w:rsidRPr="00000000" w14:paraId="0000011A">
            <w:pPr>
              <w:pBdr>
                <w:top w:space="0" w:sz="0" w:val="nil"/>
                <w:left w:space="0" w:sz="0" w:val="nil"/>
                <w:bottom w:space="0" w:sz="0" w:val="nil"/>
                <w:right w:space="0" w:sz="0" w:val="nil"/>
                <w:between w:space="0" w:sz="0" w:val="nil"/>
              </w:pBdr>
              <w:spacing w:after="120" w:before="120" w:lineRule="auto"/>
              <w:jc w:val="left"/>
              <w:rPr>
                <w:b w:val="1"/>
                <w:sz w:val="24"/>
                <w:szCs w:val="24"/>
              </w:rPr>
            </w:pPr>
            <w:r w:rsidDel="00000000" w:rsidR="00000000" w:rsidRPr="00000000">
              <w:rPr>
                <w:b w:val="1"/>
                <w:sz w:val="24"/>
                <w:szCs w:val="24"/>
                <w:rtl w:val="0"/>
              </w:rPr>
              <w:t xml:space="preserve">Net Asset value</w:t>
            </w:r>
          </w:p>
        </w:tc>
        <w:tc>
          <w:tcPr/>
          <w:p w:rsidR="00000000" w:rsidDel="00000000" w:rsidP="00000000" w:rsidRDefault="00000000" w:rsidRPr="00000000" w14:paraId="0000011B">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trPr>
          <w:cantSplit w:val="0"/>
          <w:tblHeader w:val="0"/>
        </w:trPr>
        <w:tc>
          <w:tcPr>
            <w:vAlign w:val="center"/>
          </w:tcPr>
          <w:p w:rsidR="00000000" w:rsidDel="00000000" w:rsidP="00000000" w:rsidRDefault="00000000" w:rsidRPr="00000000" w14:paraId="0000011C">
            <w:pPr>
              <w:pBdr>
                <w:top w:space="0" w:sz="0" w:val="nil"/>
                <w:left w:space="0" w:sz="0" w:val="nil"/>
                <w:bottom w:space="0" w:sz="0" w:val="nil"/>
                <w:right w:space="0" w:sz="0" w:val="nil"/>
                <w:between w:space="0" w:sz="0" w:val="nil"/>
              </w:pBdr>
              <w:spacing w:after="120" w:before="120" w:lineRule="auto"/>
              <w:jc w:val="left"/>
              <w:rPr>
                <w:b w:val="1"/>
                <w:sz w:val="24"/>
                <w:szCs w:val="24"/>
              </w:rPr>
            </w:pPr>
            <w:r w:rsidDel="00000000" w:rsidR="00000000" w:rsidRPr="00000000">
              <w:rPr>
                <w:b w:val="1"/>
                <w:sz w:val="24"/>
                <w:szCs w:val="24"/>
                <w:rtl w:val="0"/>
              </w:rPr>
              <w:t xml:space="preserve">7</w:t>
            </w:r>
          </w:p>
          <w:p w:rsidR="00000000" w:rsidDel="00000000" w:rsidP="00000000" w:rsidRDefault="00000000" w:rsidRPr="00000000" w14:paraId="0000011D">
            <w:pPr>
              <w:pBdr>
                <w:top w:space="0" w:sz="0" w:val="nil"/>
                <w:left w:space="0" w:sz="0" w:val="nil"/>
                <w:bottom w:space="0" w:sz="0" w:val="nil"/>
                <w:right w:space="0" w:sz="0" w:val="nil"/>
                <w:between w:space="0" w:sz="0" w:val="nil"/>
              </w:pBdr>
              <w:spacing w:after="120" w:before="120" w:lineRule="auto"/>
              <w:jc w:val="left"/>
              <w:rPr>
                <w:b w:val="1"/>
                <w:sz w:val="24"/>
                <w:szCs w:val="24"/>
              </w:rPr>
            </w:pPr>
            <w:r w:rsidDel="00000000" w:rsidR="00000000" w:rsidRPr="00000000">
              <w:rPr>
                <w:b w:val="1"/>
                <w:sz w:val="24"/>
                <w:szCs w:val="24"/>
                <w:rtl w:val="0"/>
              </w:rPr>
              <w:t xml:space="preserve">Group Exposure Ratio</w:t>
            </w:r>
          </w:p>
        </w:tc>
        <w:tc>
          <w:tcPr/>
          <w:p w:rsidR="00000000" w:rsidDel="00000000" w:rsidP="00000000" w:rsidRDefault="00000000" w:rsidRPr="00000000" w14:paraId="0000011E">
            <w:pPr>
              <w:pBdr>
                <w:top w:space="0" w:sz="0" w:val="nil"/>
                <w:left w:space="0" w:sz="0" w:val="nil"/>
                <w:bottom w:space="0" w:sz="0" w:val="nil"/>
                <w:right w:space="0" w:sz="0" w:val="nil"/>
                <w:between w:space="0" w:sz="0" w:val="nil"/>
              </w:pBdr>
              <w:spacing w:after="120" w:before="120" w:lineRule="auto"/>
              <w:jc w:val="left"/>
              <w:rPr>
                <w:i w:val="1"/>
                <w:sz w:val="24"/>
                <w:szCs w:val="24"/>
              </w:rPr>
            </w:pPr>
            <w:r w:rsidDel="00000000" w:rsidR="00000000" w:rsidRPr="00000000">
              <w:rPr>
                <w:i w:val="1"/>
                <w:sz w:val="24"/>
                <w:szCs w:val="24"/>
                <w:rtl w:val="0"/>
              </w:rPr>
              <w:t xml:space="preserve">“</w:t>
            </w:r>
            <w:r w:rsidDel="00000000" w:rsidR="00000000" w:rsidRPr="00000000">
              <w:rPr>
                <w:b w:val="1"/>
                <w:i w:val="1"/>
                <w:sz w:val="24"/>
                <w:szCs w:val="24"/>
                <w:rtl w:val="0"/>
              </w:rPr>
              <w:t xml:space="preserve">Group Exposure</w:t>
            </w:r>
            <w:r w:rsidDel="00000000" w:rsidR="00000000" w:rsidRPr="00000000">
              <w:rPr>
                <w:i w:val="1"/>
                <w:sz w:val="24"/>
                <w:szCs w:val="24"/>
                <w:rtl w:val="0"/>
              </w:rPr>
              <w:t xml:space="preserve">” = Balances owed by Group Undertakings + Contingent liabilities assumed in support of Group Undertakings</w:t>
            </w:r>
          </w:p>
          <w:p w:rsidR="00000000" w:rsidDel="00000000" w:rsidP="00000000" w:rsidRDefault="00000000" w:rsidRPr="00000000" w14:paraId="0000011F">
            <w:pPr>
              <w:pBdr>
                <w:top w:space="0" w:sz="0" w:val="nil"/>
                <w:left w:space="0" w:sz="0" w:val="nil"/>
                <w:bottom w:space="0" w:sz="0" w:val="nil"/>
                <w:right w:space="0" w:sz="0" w:val="nil"/>
                <w:between w:space="0" w:sz="0" w:val="nil"/>
              </w:pBdr>
              <w:spacing w:after="120" w:before="120" w:lineRule="auto"/>
              <w:jc w:val="left"/>
              <w:rPr>
                <w:i w:val="1"/>
                <w:sz w:val="24"/>
                <w:szCs w:val="24"/>
              </w:rPr>
            </w:pPr>
            <w:r w:rsidDel="00000000" w:rsidR="00000000" w:rsidRPr="00000000">
              <w:rPr>
                <w:i w:val="1"/>
                <w:sz w:val="24"/>
                <w:szCs w:val="24"/>
                <w:rtl w:val="0"/>
              </w:rPr>
              <w:t xml:space="preserve">“</w:t>
            </w:r>
            <w:r w:rsidDel="00000000" w:rsidR="00000000" w:rsidRPr="00000000">
              <w:rPr>
                <w:b w:val="1"/>
                <w:i w:val="1"/>
                <w:sz w:val="24"/>
                <w:szCs w:val="24"/>
                <w:rtl w:val="0"/>
              </w:rPr>
              <w:t xml:space="preserve">Gross Assets</w:t>
            </w:r>
            <w:r w:rsidDel="00000000" w:rsidR="00000000" w:rsidRPr="00000000">
              <w:rPr>
                <w:i w:val="1"/>
                <w:sz w:val="24"/>
                <w:szCs w:val="24"/>
                <w:rtl w:val="0"/>
              </w:rPr>
              <w:t xml:space="preserve">” = Fixed Assets + Current Assets</w:t>
            </w:r>
          </w:p>
          <w:p w:rsidR="00000000" w:rsidDel="00000000" w:rsidP="00000000" w:rsidRDefault="00000000" w:rsidRPr="00000000" w14:paraId="00000120">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i w:val="1"/>
                <w:sz w:val="24"/>
                <w:szCs w:val="24"/>
                <w:u w:val="single"/>
                <w:rtl w:val="0"/>
              </w:rPr>
              <w:t xml:space="preserve">Group Exposure</w:t>
            </w:r>
            <w:r w:rsidDel="00000000" w:rsidR="00000000" w:rsidRPr="00000000">
              <w:rPr>
                <w:sz w:val="24"/>
                <w:szCs w:val="24"/>
                <w:rtl w:val="0"/>
              </w:rPr>
              <w:t xml:space="preserve">:  Balances owed by (ie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rsidR="00000000" w:rsidDel="00000000" w:rsidP="00000000" w:rsidRDefault="00000000" w:rsidRPr="00000000" w14:paraId="00000121">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rsidR="00000000" w:rsidDel="00000000" w:rsidP="00000000" w:rsidRDefault="00000000" w:rsidRPr="00000000" w14:paraId="00000122">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sz w:val="24"/>
                <w:szCs w:val="24"/>
                <w:rtl w:val="0"/>
              </w:rPr>
              <w:t xml:space="preserve">In many cases an entity may not have assumed any contingent liabilities in support of Group Undertakings, in particular where an entity is not a member of a group or is itself the ultimate holding company of the group.</w:t>
            </w:r>
          </w:p>
          <w:p w:rsidR="00000000" w:rsidDel="00000000" w:rsidP="00000000" w:rsidRDefault="00000000" w:rsidRPr="00000000" w14:paraId="00000123">
            <w:pPr>
              <w:pBdr>
                <w:top w:space="0" w:sz="0" w:val="nil"/>
                <w:left w:space="0" w:sz="0" w:val="nil"/>
                <w:bottom w:space="0" w:sz="0" w:val="nil"/>
                <w:right w:space="0" w:sz="0" w:val="nil"/>
                <w:between w:space="0" w:sz="0" w:val="nil"/>
              </w:pBdr>
              <w:spacing w:after="120" w:before="120" w:lineRule="auto"/>
              <w:jc w:val="left"/>
              <w:rPr>
                <w:sz w:val="24"/>
                <w:szCs w:val="24"/>
              </w:rPr>
            </w:pPr>
            <w:r w:rsidDel="00000000" w:rsidR="00000000" w:rsidRPr="00000000">
              <w:rPr>
                <w:i w:val="1"/>
                <w:sz w:val="24"/>
                <w:szCs w:val="24"/>
                <w:u w:val="single"/>
                <w:rtl w:val="0"/>
              </w:rPr>
              <w:t xml:space="preserve">Gross Assets</w:t>
            </w:r>
            <w:r w:rsidDel="00000000" w:rsidR="00000000" w:rsidRPr="00000000">
              <w:rPr>
                <w:sz w:val="24"/>
                <w:szCs w:val="24"/>
                <w:rtl w:val="0"/>
              </w:rPr>
              <w:t xml:space="preserve">: Both Fixed assets and Current assets are shown on the face of the Balance Sheet</w:t>
            </w:r>
          </w:p>
        </w:tc>
      </w:tr>
    </w:tbl>
    <w:p w:rsidR="00000000" w:rsidDel="00000000" w:rsidP="00000000" w:rsidRDefault="00000000" w:rsidRPr="00000000" w14:paraId="00000124">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p w:rsidR="00000000" w:rsidDel="00000000" w:rsidP="00000000" w:rsidRDefault="00000000" w:rsidRPr="00000000" w14:paraId="00000125">
      <w:pPr>
        <w:spacing w:after="120" w:before="120" w:lineRule="auto"/>
        <w:jc w:val="left"/>
        <w:rPr/>
      </w:pPr>
      <w:r w:rsidDel="00000000" w:rsidR="00000000" w:rsidRPr="00000000">
        <w:br w:type="page"/>
      </w:r>
      <w:r w:rsidDel="00000000" w:rsidR="00000000" w:rsidRPr="00000000">
        <w:rPr>
          <w:rtl w:val="0"/>
        </w:rPr>
      </w:r>
    </w:p>
    <w:p w:rsidR="00000000" w:rsidDel="00000000" w:rsidP="00000000" w:rsidRDefault="00000000" w:rsidRPr="00000000" w14:paraId="00000126">
      <w:pPr>
        <w:pBdr>
          <w:top w:space="0" w:sz="0" w:val="nil"/>
          <w:left w:space="0" w:sz="0" w:val="nil"/>
          <w:bottom w:space="0" w:sz="0" w:val="nil"/>
          <w:right w:space="0" w:sz="0" w:val="nil"/>
          <w:between w:space="0" w:sz="0" w:val="nil"/>
        </w:pBdr>
        <w:spacing w:after="120" w:before="120" w:lineRule="auto"/>
        <w:jc w:val="left"/>
        <w:rPr>
          <w:b w:val="1"/>
          <w:sz w:val="36"/>
          <w:szCs w:val="36"/>
        </w:rPr>
      </w:pPr>
      <w:bookmarkStart w:colFirst="0" w:colLast="0" w:name="_heading=h.2p2csry" w:id="36"/>
      <w:bookmarkEnd w:id="36"/>
      <w:r w:rsidDel="00000000" w:rsidR="00000000" w:rsidRPr="00000000">
        <w:rPr>
          <w:b w:val="1"/>
          <w:sz w:val="36"/>
          <w:szCs w:val="36"/>
          <w:rtl w:val="0"/>
        </w:rPr>
        <w:t xml:space="preserve">Annex 4: Board Confirmation</w:t>
      </w:r>
    </w:p>
    <w:p w:rsidR="00000000" w:rsidDel="00000000" w:rsidP="00000000" w:rsidRDefault="00000000" w:rsidRPr="00000000" w14:paraId="00000127">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p w:rsidR="00000000" w:rsidDel="00000000" w:rsidP="00000000" w:rsidRDefault="00000000" w:rsidRPr="00000000" w14:paraId="00000128">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Supplier Name:</w:t>
      </w:r>
    </w:p>
    <w:p w:rsidR="00000000" w:rsidDel="00000000" w:rsidP="00000000" w:rsidRDefault="00000000" w:rsidRPr="00000000" w14:paraId="00000129">
      <w:pPr>
        <w:pBdr>
          <w:top w:space="0" w:sz="0" w:val="nil"/>
          <w:left w:space="0" w:sz="0" w:val="nil"/>
          <w:bottom w:space="0" w:sz="0" w:val="nil"/>
          <w:right w:space="0" w:sz="0" w:val="nil"/>
          <w:between w:space="0" w:sz="0" w:val="nil"/>
        </w:pBdr>
        <w:spacing w:after="120" w:before="120" w:lineRule="auto"/>
        <w:jc w:val="left"/>
        <w:rPr>
          <w:b w:val="1"/>
        </w:rPr>
      </w:pPr>
      <w:r w:rsidDel="00000000" w:rsidR="00000000" w:rsidRPr="00000000">
        <w:rPr>
          <w:b w:val="1"/>
          <w:rtl w:val="0"/>
        </w:rPr>
        <w:t xml:space="preserve">Contract Reference Number:</w:t>
      </w:r>
    </w:p>
    <w:p w:rsidR="00000000" w:rsidDel="00000000" w:rsidP="00000000" w:rsidRDefault="00000000" w:rsidRPr="00000000" w14:paraId="0000012A">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p w:rsidR="00000000" w:rsidDel="00000000" w:rsidP="00000000" w:rsidRDefault="00000000" w:rsidRPr="00000000" w14:paraId="0000012B">
      <w:pPr>
        <w:pBdr>
          <w:top w:space="0" w:sz="0" w:val="nil"/>
          <w:left w:space="0" w:sz="0" w:val="nil"/>
          <w:bottom w:space="0" w:sz="0" w:val="nil"/>
          <w:right w:space="0" w:sz="0" w:val="nil"/>
          <w:between w:space="0" w:sz="0" w:val="nil"/>
        </w:pBdr>
        <w:spacing w:after="120" w:before="120" w:lineRule="auto"/>
        <w:ind w:left="720" w:firstLine="0"/>
        <w:jc w:val="left"/>
        <w:rPr/>
      </w:pPr>
      <w:bookmarkStart w:colFirst="0" w:colLast="0" w:name="_heading=h.147n2zr" w:id="37"/>
      <w:bookmarkEnd w:id="37"/>
      <w:r w:rsidDel="00000000" w:rsidR="00000000" w:rsidRPr="00000000">
        <w:rPr>
          <w:rtl w:val="0"/>
        </w:rPr>
        <w:t xml:space="preserve">The Board of Directors acknowledge the requirements set out at paragraph 8 of Joint Schedule 7 (</w:t>
      </w:r>
      <w:r w:rsidDel="00000000" w:rsidR="00000000" w:rsidRPr="00000000">
        <w:rPr>
          <w:i w:val="1"/>
          <w:rtl w:val="0"/>
        </w:rPr>
        <w:t xml:space="preserve">Financial Distress</w:t>
      </w:r>
      <w:r w:rsidDel="00000000" w:rsidR="00000000" w:rsidRPr="00000000">
        <w:rPr>
          <w:rtl w:val="0"/>
        </w:rPr>
        <w:t xml:space="preserve">) and confirm that the Supplier has exercised due care and diligence and made reasonable enquiry of all relevant Supplier Staff and other persons as is reasonably necessary to enable the Board to prepare this statement.</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after="120" w:before="120" w:lineRule="auto"/>
        <w:ind w:left="720" w:firstLine="0"/>
        <w:jc w:val="left"/>
        <w:rPr/>
      </w:pPr>
      <w:r w:rsidDel="00000000" w:rsidR="00000000" w:rsidRPr="00000000">
        <w:rPr>
          <w:rtl w:val="0"/>
        </w:rPr>
        <w:t xml:space="preserve">The Board of Directors confirms, to the best of its knowledge and belief, that as at the date of this Board Confirmation it is not aware of and has no knowledge:</w:t>
      </w:r>
    </w:p>
    <w:p w:rsidR="00000000" w:rsidDel="00000000" w:rsidP="00000000" w:rsidRDefault="00000000" w:rsidRPr="00000000" w14:paraId="0000012D">
      <w:pPr>
        <w:numPr>
          <w:ilvl w:val="3"/>
          <w:numId w:val="1"/>
        </w:numPr>
        <w:pBdr>
          <w:top w:space="0" w:sz="0" w:val="nil"/>
          <w:left w:space="0" w:sz="0" w:val="nil"/>
          <w:bottom w:space="0" w:sz="0" w:val="nil"/>
          <w:right w:space="0" w:sz="0" w:val="nil"/>
          <w:between w:space="0" w:sz="0" w:val="nil"/>
        </w:pBdr>
        <w:tabs>
          <w:tab w:val="left" w:leader="none" w:pos="720"/>
          <w:tab w:val="left" w:leader="none" w:pos="1803"/>
        </w:tabs>
        <w:spacing w:after="120" w:before="120" w:lineRule="auto"/>
        <w:ind w:left="1803" w:hanging="1083"/>
        <w:jc w:val="left"/>
        <w:rPr/>
      </w:pPr>
      <w:r w:rsidDel="00000000" w:rsidR="00000000" w:rsidRPr="00000000">
        <w:rPr>
          <w:rtl w:val="0"/>
        </w:rPr>
        <w:t xml:space="preserve">that a Financial Distress Event has occurred since the later of the previous Board Confirmation and the Effective Date or is subsisting; or</w:t>
      </w:r>
    </w:p>
    <w:p w:rsidR="00000000" w:rsidDel="00000000" w:rsidP="00000000" w:rsidRDefault="00000000" w:rsidRPr="00000000" w14:paraId="0000012E">
      <w:pPr>
        <w:numPr>
          <w:ilvl w:val="3"/>
          <w:numId w:val="1"/>
        </w:numPr>
        <w:pBdr>
          <w:top w:space="0" w:sz="0" w:val="nil"/>
          <w:left w:space="0" w:sz="0" w:val="nil"/>
          <w:bottom w:space="0" w:sz="0" w:val="nil"/>
          <w:right w:space="0" w:sz="0" w:val="nil"/>
          <w:between w:space="0" w:sz="0" w:val="nil"/>
        </w:pBdr>
        <w:tabs>
          <w:tab w:val="left" w:leader="none" w:pos="720"/>
          <w:tab w:val="left" w:leader="none" w:pos="1803"/>
        </w:tabs>
        <w:spacing w:after="120" w:before="120" w:lineRule="auto"/>
        <w:ind w:left="1803" w:hanging="1083"/>
        <w:jc w:val="left"/>
        <w:rPr/>
      </w:pPr>
      <w:r w:rsidDel="00000000" w:rsidR="00000000" w:rsidRPr="00000000">
        <w:rPr>
          <w:rtl w:val="0"/>
        </w:rPr>
        <w:t xml:space="preserve">of any matters which have occurred or are subsisting that could reasonably be expected to cause a Financial Distress Event</w:t>
      </w:r>
    </w:p>
    <w:p w:rsidR="00000000" w:rsidDel="00000000" w:rsidP="00000000" w:rsidRDefault="00000000" w:rsidRPr="00000000" w14:paraId="0000012F">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p w:rsidR="00000000" w:rsidDel="00000000" w:rsidP="00000000" w:rsidRDefault="00000000" w:rsidRPr="00000000" w14:paraId="00000130">
      <w:pPr>
        <w:pBdr>
          <w:top w:space="0" w:sz="0" w:val="nil"/>
          <w:left w:space="0" w:sz="0" w:val="nil"/>
          <w:bottom w:space="0" w:sz="0" w:val="nil"/>
          <w:right w:space="0" w:sz="0" w:val="nil"/>
          <w:between w:space="0" w:sz="0" w:val="nil"/>
        </w:pBdr>
        <w:spacing w:after="120" w:before="120" w:lineRule="auto"/>
        <w:ind w:left="720" w:firstLine="0"/>
        <w:jc w:val="left"/>
        <w:rPr/>
      </w:pPr>
      <w:r w:rsidDel="00000000" w:rsidR="00000000" w:rsidRPr="00000000">
        <w:rPr>
          <w:rtl w:val="0"/>
        </w:rPr>
        <w:t xml:space="preserve">On behalf of the Board of Directors:</w:t>
      </w:r>
    </w:p>
    <w:p w:rsidR="00000000" w:rsidDel="00000000" w:rsidP="00000000" w:rsidRDefault="00000000" w:rsidRPr="00000000" w14:paraId="00000131">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p w:rsidR="00000000" w:rsidDel="00000000" w:rsidP="00000000" w:rsidRDefault="00000000" w:rsidRPr="00000000" w14:paraId="00000132">
      <w:pPr>
        <w:pBdr>
          <w:top w:space="0" w:sz="0" w:val="nil"/>
          <w:left w:space="0" w:sz="0" w:val="nil"/>
          <w:bottom w:space="0" w:sz="0" w:val="nil"/>
          <w:right w:space="0" w:sz="0" w:val="nil"/>
          <w:between w:space="0" w:sz="0" w:val="nil"/>
        </w:pBdr>
        <w:spacing w:after="120" w:before="120" w:lineRule="auto"/>
        <w:ind w:left="1803" w:firstLine="0"/>
        <w:jc w:val="left"/>
        <w:rPr/>
      </w:pPr>
      <w:r w:rsidDel="00000000" w:rsidR="00000000" w:rsidRPr="00000000">
        <w:rPr>
          <w:rtl w:val="0"/>
        </w:rPr>
        <w:t xml:space="preserve">Chair</w:t>
        <w:tab/>
        <w:tab/>
        <w:t xml:space="preserve">…………………………………</w:t>
      </w:r>
    </w:p>
    <w:p w:rsidR="00000000" w:rsidDel="00000000" w:rsidP="00000000" w:rsidRDefault="00000000" w:rsidRPr="00000000" w14:paraId="00000133">
      <w:pPr>
        <w:pBdr>
          <w:top w:space="0" w:sz="0" w:val="nil"/>
          <w:left w:space="0" w:sz="0" w:val="nil"/>
          <w:bottom w:space="0" w:sz="0" w:val="nil"/>
          <w:right w:space="0" w:sz="0" w:val="nil"/>
          <w:between w:space="0" w:sz="0" w:val="nil"/>
        </w:pBdr>
        <w:spacing w:after="120" w:before="120" w:lineRule="auto"/>
        <w:ind w:left="1803" w:firstLine="0"/>
        <w:jc w:val="left"/>
        <w:rPr/>
      </w:pPr>
      <w:r w:rsidDel="00000000" w:rsidR="00000000" w:rsidRPr="00000000">
        <w:rPr>
          <w:rtl w:val="0"/>
        </w:rPr>
        <w:t xml:space="preserve">Signed</w:t>
        <w:tab/>
        <w:tab/>
        <w:t xml:space="preserve">…………………………………</w:t>
      </w:r>
    </w:p>
    <w:p w:rsidR="00000000" w:rsidDel="00000000" w:rsidP="00000000" w:rsidRDefault="00000000" w:rsidRPr="00000000" w14:paraId="00000134">
      <w:pPr>
        <w:pBdr>
          <w:top w:space="0" w:sz="0" w:val="nil"/>
          <w:left w:space="0" w:sz="0" w:val="nil"/>
          <w:bottom w:space="0" w:sz="0" w:val="nil"/>
          <w:right w:space="0" w:sz="0" w:val="nil"/>
          <w:between w:space="0" w:sz="0" w:val="nil"/>
        </w:pBdr>
        <w:spacing w:after="120" w:before="120" w:lineRule="auto"/>
        <w:ind w:left="1803" w:firstLine="0"/>
        <w:jc w:val="left"/>
        <w:rPr/>
      </w:pPr>
      <w:r w:rsidDel="00000000" w:rsidR="00000000" w:rsidRPr="00000000">
        <w:rPr>
          <w:rtl w:val="0"/>
        </w:rPr>
        <w:t xml:space="preserve">Date</w:t>
        <w:tab/>
        <w:tab/>
        <w:t xml:space="preserve">…………………………………</w:t>
      </w:r>
    </w:p>
    <w:p w:rsidR="00000000" w:rsidDel="00000000" w:rsidP="00000000" w:rsidRDefault="00000000" w:rsidRPr="00000000" w14:paraId="00000135">
      <w:pPr>
        <w:pBdr>
          <w:top w:space="0" w:sz="0" w:val="nil"/>
          <w:left w:space="0" w:sz="0" w:val="nil"/>
          <w:bottom w:space="0" w:sz="0" w:val="nil"/>
          <w:right w:space="0" w:sz="0" w:val="nil"/>
          <w:between w:space="0" w:sz="0" w:val="nil"/>
        </w:pBdr>
        <w:spacing w:after="120" w:before="120" w:lineRule="auto"/>
        <w:jc w:val="left"/>
        <w:rPr/>
      </w:pPr>
      <w:r w:rsidDel="00000000" w:rsidR="00000000" w:rsidRPr="00000000">
        <w:rPr>
          <w:rtl w:val="0"/>
        </w:rPr>
      </w:r>
    </w:p>
    <w:p w:rsidR="00000000" w:rsidDel="00000000" w:rsidP="00000000" w:rsidRDefault="00000000" w:rsidRPr="00000000" w14:paraId="00000136">
      <w:pPr>
        <w:pBdr>
          <w:top w:space="0" w:sz="0" w:val="nil"/>
          <w:left w:space="0" w:sz="0" w:val="nil"/>
          <w:bottom w:space="0" w:sz="0" w:val="nil"/>
          <w:right w:space="0" w:sz="0" w:val="nil"/>
          <w:between w:space="0" w:sz="0" w:val="nil"/>
        </w:pBdr>
        <w:spacing w:after="120" w:before="120" w:lineRule="auto"/>
        <w:ind w:left="1803" w:firstLine="0"/>
        <w:jc w:val="left"/>
        <w:rPr/>
      </w:pPr>
      <w:r w:rsidDel="00000000" w:rsidR="00000000" w:rsidRPr="00000000">
        <w:rPr>
          <w:rtl w:val="0"/>
        </w:rPr>
        <w:t xml:space="preserve">Director</w:t>
        <w:tab/>
        <w:tab/>
        <w:t xml:space="preserve">…………………………………</w:t>
      </w:r>
    </w:p>
    <w:p w:rsidR="00000000" w:rsidDel="00000000" w:rsidP="00000000" w:rsidRDefault="00000000" w:rsidRPr="00000000" w14:paraId="00000137">
      <w:pPr>
        <w:pBdr>
          <w:top w:space="0" w:sz="0" w:val="nil"/>
          <w:left w:space="0" w:sz="0" w:val="nil"/>
          <w:bottom w:space="0" w:sz="0" w:val="nil"/>
          <w:right w:space="0" w:sz="0" w:val="nil"/>
          <w:between w:space="0" w:sz="0" w:val="nil"/>
        </w:pBdr>
        <w:spacing w:after="120" w:before="120" w:lineRule="auto"/>
        <w:ind w:left="1803" w:firstLine="0"/>
        <w:jc w:val="left"/>
        <w:rPr/>
      </w:pPr>
      <w:r w:rsidDel="00000000" w:rsidR="00000000" w:rsidRPr="00000000">
        <w:rPr>
          <w:rtl w:val="0"/>
        </w:rPr>
        <w:t xml:space="preserve">Signed</w:t>
        <w:tab/>
        <w:tab/>
        <w:t xml:space="preserve">…………………………………</w:t>
      </w:r>
    </w:p>
    <w:p w:rsidR="00000000" w:rsidDel="00000000" w:rsidP="00000000" w:rsidRDefault="00000000" w:rsidRPr="00000000" w14:paraId="00000138">
      <w:pPr>
        <w:pBdr>
          <w:top w:space="0" w:sz="0" w:val="nil"/>
          <w:left w:space="0" w:sz="0" w:val="nil"/>
          <w:bottom w:space="0" w:sz="0" w:val="nil"/>
          <w:right w:space="0" w:sz="0" w:val="nil"/>
          <w:between w:space="0" w:sz="0" w:val="nil"/>
        </w:pBdr>
        <w:spacing w:after="120" w:before="120" w:lineRule="auto"/>
        <w:ind w:left="1803" w:firstLine="0"/>
        <w:jc w:val="left"/>
        <w:rPr/>
      </w:pPr>
      <w:r w:rsidDel="00000000" w:rsidR="00000000" w:rsidRPr="00000000">
        <w:rPr>
          <w:rtl w:val="0"/>
        </w:rPr>
        <w:t xml:space="preserve">Date</w:t>
        <w:tab/>
        <w:tab/>
        <w:t xml:space="preserve">…………………………………</w:t>
      </w:r>
    </w:p>
    <w:p w:rsidR="00000000" w:rsidDel="00000000" w:rsidP="00000000" w:rsidRDefault="00000000" w:rsidRPr="00000000" w14:paraId="00000139">
      <w:pPr>
        <w:spacing w:after="120" w:before="120" w:lineRule="auto"/>
        <w:jc w:val="left"/>
        <w:rPr/>
      </w:pPr>
      <w:bookmarkStart w:colFirst="0" w:colLast="0" w:name="_heading=h.4i7ojhp" w:id="38"/>
      <w:bookmarkEnd w:id="38"/>
      <w:r w:rsidDel="00000000" w:rsidR="00000000" w:rsidRPr="00000000">
        <w:rPr>
          <w:rtl w:val="0"/>
        </w:rPr>
      </w:r>
    </w:p>
    <w:sectPr>
      <w:headerReference r:id="rId8" w:type="defaul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D">
    <w:pPr>
      <w:tabs>
        <w:tab w:val="center" w:leader="none" w:pos="4513"/>
        <w:tab w:val="right" w:leader="none" w:pos="9026"/>
      </w:tabs>
      <w:spacing w:after="0" w:lineRule="auto"/>
      <w:rPr>
        <w:sz w:val="20"/>
        <w:szCs w:val="20"/>
      </w:rPr>
    </w:pPr>
    <w:r w:rsidDel="00000000" w:rsidR="00000000" w:rsidRPr="00000000">
      <w:rPr>
        <w:rtl w:val="0"/>
      </w:rPr>
    </w:r>
  </w:p>
  <w:p w:rsidR="00000000" w:rsidDel="00000000" w:rsidP="00000000" w:rsidRDefault="00000000" w:rsidRPr="00000000" w14:paraId="0000013E">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RM6347</w:t>
      <w:tab/>
      <w:t xml:space="preserve">                                           </w:t>
    </w:r>
  </w:p>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sz w:val="20"/>
        <w:szCs w:val="20"/>
      </w:rPr>
    </w:pPr>
    <w:r w:rsidDel="00000000" w:rsidR="00000000" w:rsidRPr="00000000">
      <w:rPr>
        <w:sz w:val="20"/>
        <w:szCs w:val="20"/>
        <w:rtl w:val="0"/>
      </w:rPr>
      <w:t xml:space="preserve">Project Version: v1.1</w:t>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0">
    <w:pPr>
      <w:spacing w:after="0" w:lineRule="auto"/>
      <w:rPr>
        <w:sz w:val="20"/>
        <w:szCs w:val="20"/>
      </w:rPr>
    </w:pPr>
    <w:r w:rsidDel="00000000" w:rsidR="00000000" w:rsidRPr="00000000">
      <w:rPr>
        <w:sz w:val="20"/>
        <w:szCs w:val="20"/>
        <w:rtl w:val="0"/>
      </w:rPr>
      <w:t xml:space="preserve">Model Version: v1.0 PA</w:t>
      <w:tab/>
      <w:tab/>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tabs>
        <w:tab w:val="center" w:leader="none" w:pos="4513"/>
        <w:tab w:val="right" w:leader="none" w:pos="9026"/>
      </w:tabs>
      <w:spacing w:after="0" w:lineRule="auto"/>
      <w:rPr>
        <w:color w:val="bfbfbf"/>
      </w:rPr>
    </w:pPr>
    <w:r w:rsidDel="00000000" w:rsidR="00000000" w:rsidRPr="00000000">
      <w:rPr>
        <w:color w:val="bfbfbf"/>
        <w:rtl w:val="0"/>
      </w:rPr>
      <w:t xml:space="preserve">Framework Ref: RM</w:t>
      <w:tab/>
      <w:t xml:space="preserve">                                           </w:t>
    </w:r>
  </w:p>
  <w:p w:rsidR="00000000" w:rsidDel="00000000" w:rsidP="00000000" w:rsidRDefault="00000000" w:rsidRPr="00000000" w14:paraId="00000142">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bfbfbf"/>
      </w:rPr>
    </w:pPr>
    <w:r w:rsidDel="00000000" w:rsidR="00000000" w:rsidRPr="00000000">
      <w:rPr>
        <w:color w:val="bfbfbf"/>
        <w:rtl w:val="0"/>
      </w:rPr>
      <w:t xml:space="preserve">Project Version: v1.0</w:t>
      <w:tab/>
      <w:tab/>
      <w:tab/>
      <w:t xml:space="preserve"> </w:t>
    </w:r>
    <w:r w:rsidDel="00000000" w:rsidR="00000000" w:rsidRPr="00000000">
      <w:rPr>
        <w:color w:val="bfbfbf"/>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43">
    <w:pPr>
      <w:spacing w:after="0" w:lineRule="auto"/>
      <w:rPr>
        <w:color w:val="bfbfbf"/>
        <w:sz w:val="20"/>
        <w:szCs w:val="20"/>
      </w:rPr>
    </w:pPr>
    <w:r w:rsidDel="00000000" w:rsidR="00000000" w:rsidRPr="00000000">
      <w:rPr>
        <w:color w:val="bfbfbf"/>
        <w:rtl w:val="0"/>
      </w:rPr>
      <w:t xml:space="preserve">Model Version : v3.0</w:t>
      <w:tab/>
      <w:tab/>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sz w:val="22"/>
        <w:szCs w:val="22"/>
      </w:rPr>
    </w:pPr>
    <w:r w:rsidDel="00000000" w:rsidR="00000000" w:rsidRPr="00000000">
      <w:rPr>
        <w:b w:val="1"/>
        <w:sz w:val="22"/>
        <w:szCs w:val="22"/>
        <w:rtl w:val="0"/>
      </w:rPr>
      <w:t xml:space="preserve">Joint Schedule 7 (Financial Difficulties)</w:t>
    </w:r>
    <w:r w:rsidDel="00000000" w:rsidR="00000000" w:rsidRPr="00000000">
      <w:rPr>
        <w:rtl w:val="0"/>
      </w:rPr>
    </w:r>
  </w:p>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sz w:val="22"/>
        <w:szCs w:val="22"/>
      </w:rPr>
    </w:pPr>
    <w:r w:rsidDel="00000000" w:rsidR="00000000" w:rsidRPr="00000000">
      <w:rPr>
        <w:sz w:val="22"/>
        <w:szCs w:val="22"/>
        <w:rtl w:val="0"/>
      </w:rPr>
      <w:t xml:space="preserve">Crown Copyright 2025</w:t>
    </w:r>
  </w:p>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1803" w:hanging="1083"/>
      </w:pPr>
      <w:rPr/>
    </w:lvl>
    <w:lvl w:ilvl="3">
      <w:start w:val="1"/>
      <w:numFmt w:val="lowerLetter"/>
      <w:lvlText w:val="(%4)"/>
      <w:lvlJc w:val="left"/>
      <w:pPr>
        <w:ind w:left="1803" w:hanging="1083"/>
      </w:pPr>
      <w:rPr/>
    </w:lvl>
    <w:lvl w:ilvl="4">
      <w:start w:val="1"/>
      <w:numFmt w:val="lowerRoman"/>
      <w:lvlText w:val="(%5)"/>
      <w:lvlJc w:val="left"/>
      <w:pPr>
        <w:ind w:left="2523" w:hanging="720"/>
      </w:pPr>
      <w:rPr/>
    </w:lvl>
    <w:lvl w:ilvl="5">
      <w:start w:val="1"/>
      <w:numFmt w:val="upperLetter"/>
      <w:lvlText w:val="(%6)"/>
      <w:lvlJc w:val="left"/>
      <w:pPr>
        <w:ind w:left="3243" w:hanging="720"/>
      </w:pPr>
      <w:rPr/>
    </w:lvl>
    <w:lvl w:ilvl="6">
      <w:start w:val="1"/>
      <w:numFmt w:val="decimal"/>
      <w:lvlText w:val=""/>
      <w:lvlJc w:val="left"/>
      <w:pPr>
        <w:ind w:left="2523" w:hanging="720"/>
      </w:pPr>
      <w:rPr/>
    </w:lvl>
    <w:lvl w:ilvl="7">
      <w:start w:val="1"/>
      <w:numFmt w:val="decimal"/>
      <w:lvlText w:val=""/>
      <w:lvlJc w:val="left"/>
      <w:pPr>
        <w:ind w:left="2523" w:hanging="720"/>
      </w:pPr>
      <w:rPr/>
    </w:lvl>
    <w:lvl w:ilvl="8">
      <w:start w:val="1"/>
      <w:numFmt w:val="decimal"/>
      <w:lvlText w:val=""/>
      <w:lvlJc w:val="left"/>
      <w:pPr>
        <w:ind w:left="2523" w:hanging="720"/>
      </w:pPr>
      <w:rPr/>
    </w:lvl>
  </w:abstractNum>
  <w:abstractNum w:abstractNumId="2">
    <w:lvl w:ilvl="0">
      <w:start w:val="1"/>
      <w:numFmt w:val="decimal"/>
      <w:lvlText w:val="%1."/>
      <w:lvlJc w:val="left"/>
      <w:pPr>
        <w:ind w:left="360" w:hanging="360"/>
      </w:pPr>
      <w:rPr>
        <w:rFonts w:ascii="Arial" w:cs="Arial" w:eastAsia="Arial" w:hAnsi="Arial"/>
        <w:b w:val="1"/>
        <w:i w:val="0"/>
        <w:smallCaps w:val="0"/>
        <w:strike w:val="0"/>
        <w:color w:val="000000"/>
        <w:sz w:val="24"/>
        <w:szCs w:val="24"/>
        <w:u w:val="none"/>
        <w:vertAlign w:val="baseline"/>
      </w:rPr>
    </w:lvl>
    <w:lvl w:ilvl="1">
      <w:start w:val="1"/>
      <w:numFmt w:val="decimal"/>
      <w:lvlText w:val="%1.%2"/>
      <w:lvlJc w:val="left"/>
      <w:pPr>
        <w:ind w:left="644" w:hanging="357.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cs="Arial" w:eastAsia="Arial" w:hAnsi="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cs="Arial" w:eastAsia="Arial" w:hAnsi="Arial"/>
        <w:b w:val="0"/>
        <w:i w:val="0"/>
        <w:smallCaps w:val="0"/>
        <w:strike w:val="0"/>
        <w:color w:val="000000"/>
        <w:sz w:val="24"/>
        <w:szCs w:val="24"/>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rPr/>
    </w:lvl>
    <w:lvl w:ilvl="7">
      <w:start w:val="1"/>
      <w:numFmt w:val="decimal"/>
      <w:lvlText w:val="%1.%2.%3.%4.%5.%6.%7.%8"/>
      <w:lvlJc w:val="left"/>
      <w:pPr>
        <w:ind w:left="1800" w:hanging="1440"/>
      </w:pPr>
      <w:rPr/>
    </w:lvl>
    <w:lvl w:ilvl="8">
      <w:start w:val="1"/>
      <w:numFmt w:val="decimal"/>
      <w:lvlText w:val="%1.%2.%3.%4.%5.%6.%7.%8.%9"/>
      <w:lvlJc w:val="left"/>
      <w:pPr>
        <w:ind w:left="216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40"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MarginText" w:customStyle="1">
    <w:name w:val="Margin Text"/>
    <w:basedOn w:val="Normal"/>
    <w:link w:val="MarginTextChar"/>
    <w:pPr>
      <w:keepNext w:val="1"/>
      <w:overflowPunct w:val="1"/>
      <w:autoSpaceDE w:val="1"/>
      <w:autoSpaceDN w:val="1"/>
      <w:spacing w:after="120" w:before="240"/>
      <w:ind w:left="142"/>
      <w:textAlignment w:val="auto"/>
    </w:pPr>
    <w:rPr>
      <w:rFonts w:cs="Times New Roman" w:eastAsia="STZhongsong"/>
      <w:szCs w:val="18"/>
      <w:lang w:eastAsia="zh-CN"/>
    </w:rPr>
  </w:style>
  <w:style w:type="character" w:styleId="MarginTextChar" w:customStyle="1">
    <w:name w:val="Margin Text Char"/>
    <w:link w:val="MarginText"/>
    <w:locked w:val="1"/>
    <w:rPr>
      <w:rFonts w:ascii="Calibri" w:cs="Times New Roman" w:eastAsia="STZhongsong" w:hAnsi="Calibri"/>
      <w:szCs w:val="18"/>
      <w:lang w:eastAsia="zh-CN"/>
    </w:rPr>
  </w:style>
  <w:style w:type="paragraph" w:styleId="GPSL1CLAUSEHEADING" w:customStyle="1">
    <w:name w:val="GPS L1 CLAUSE HEADING"/>
    <w:basedOn w:val="Normal"/>
    <w:next w:val="Normal"/>
    <w:qFormat w:val="1"/>
    <w:rsid w:val="00A96D9C"/>
    <w:pPr>
      <w:numPr>
        <w:numId w:val="2"/>
      </w:numPr>
      <w:tabs>
        <w:tab w:val="left" w:pos="142"/>
      </w:tabs>
      <w:overflowPunct w:val="1"/>
      <w:autoSpaceDE w:val="1"/>
      <w:autoSpaceDN w:val="1"/>
      <w:spacing w:before="120"/>
      <w:textAlignment w:val="auto"/>
      <w:outlineLvl w:val="1"/>
    </w:pPr>
    <w:rPr>
      <w:rFonts w:eastAsia="STZhongsong"/>
      <w:b w:val="1"/>
      <w:caps w:val="1"/>
      <w:lang w:eastAsia="zh-CN"/>
    </w:rPr>
  </w:style>
  <w:style w:type="paragraph" w:styleId="GPSL3numberedclause" w:customStyle="1">
    <w:name w:val="GPS L3 numbered clause"/>
    <w:basedOn w:val="Normal"/>
    <w:link w:val="GPSL3numberedclauseChar"/>
    <w:qFormat w:val="1"/>
    <w:rsid w:val="00A96D9C"/>
    <w:pPr>
      <w:numPr>
        <w:ilvl w:val="2"/>
        <w:numId w:val="2"/>
      </w:numPr>
      <w:tabs>
        <w:tab w:val="left" w:pos="1985"/>
      </w:tabs>
      <w:overflowPunct w:val="1"/>
      <w:autoSpaceDE w:val="1"/>
      <w:autoSpaceDN w:val="1"/>
      <w:spacing w:after="120" w:before="120"/>
      <w:textAlignment w:val="auto"/>
    </w:pPr>
    <w:rPr>
      <w:lang w:eastAsia="zh-CN"/>
    </w:rPr>
  </w:style>
  <w:style w:type="paragraph" w:styleId="GPSL4numberedclause" w:customStyle="1">
    <w:name w:val="GPS L4 numbered clause"/>
    <w:basedOn w:val="GPSL3numberedclause"/>
    <w:link w:val="GPSL4numberedclauseChar"/>
    <w:qFormat w:val="1"/>
    <w:rsid w:val="00A96D9C"/>
    <w:pPr>
      <w:numPr>
        <w:ilvl w:val="3"/>
      </w:numPr>
      <w:tabs>
        <w:tab w:val="clear" w:pos="1985"/>
      </w:tabs>
    </w:p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link w:val="GPSL2NumberedBoldHeadingChar"/>
    <w:qFormat w:val="1"/>
    <w:rsid w:val="00A96D9C"/>
    <w:pPr>
      <w:numPr>
        <w:ilvl w:val="1"/>
        <w:numId w:val="2"/>
      </w:numPr>
      <w:tabs>
        <w:tab w:val="left" w:pos="1134"/>
      </w:tabs>
      <w:overflowPunct w:val="1"/>
      <w:autoSpaceDE w:val="1"/>
      <w:autoSpaceDN w:val="1"/>
      <w:spacing w:after="120" w:before="120"/>
      <w:ind w:hanging="218"/>
      <w:textAlignment w:val="auto"/>
    </w:pPr>
    <w:rPr>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character" w:styleId="GPSL3numberedclauseChar" w:customStyle="1">
    <w:name w:val="GPS L3 numbered clause Char"/>
    <w:link w:val="GPSL3numberedclause"/>
    <w:locked w:val="1"/>
    <w:rPr>
      <w:rFonts w:ascii="Calibri" w:cs="Arial" w:eastAsia="Times New Roman" w:hAnsi="Calibri"/>
      <w:lang w:eastAsia="zh-CN"/>
    </w:rPr>
  </w:style>
  <w:style w:type="paragraph" w:styleId="GPsDefinition" w:customStyle="1">
    <w:name w:val="GPs Definition"/>
    <w:basedOn w:val="Normal"/>
    <w:qFormat w:val="1"/>
    <w:rsid w:val="00A96D9C"/>
    <w:pPr>
      <w:numPr>
        <w:numId w:val="1"/>
      </w:numPr>
      <w:tabs>
        <w:tab w:val="left" w:pos="175"/>
      </w:tabs>
      <w:spacing w:after="120"/>
    </w:pPr>
  </w:style>
  <w:style w:type="paragraph" w:styleId="GPSDefinitionL2" w:customStyle="1">
    <w:name w:val="GPS Definition L2"/>
    <w:basedOn w:val="GPsDefinition"/>
    <w:qFormat w:val="1"/>
    <w:pPr>
      <w:numPr>
        <w:ilvl w:val="1"/>
      </w:numPr>
    </w:pPr>
  </w:style>
  <w:style w:type="paragraph" w:styleId="GPSDefinitionL3" w:customStyle="1">
    <w:name w:val="GPS Definition L3"/>
    <w:basedOn w:val="GPSDefinitionL2"/>
    <w:qFormat w:val="1"/>
    <w:pPr>
      <w:numPr>
        <w:ilvl w:val="2"/>
      </w:numPr>
    </w:pPr>
  </w:style>
  <w:style w:type="paragraph" w:styleId="GPSDefinitionL4" w:customStyle="1">
    <w:name w:val="GPS Definition L4"/>
    <w:basedOn w:val="GPSDefinitionL3"/>
    <w:qFormat w:val="1"/>
    <w:pPr>
      <w:numPr>
        <w:ilvl w:val="3"/>
      </w:numPr>
    </w:pPr>
  </w:style>
  <w:style w:type="paragraph" w:styleId="GPSDefinitionTerm" w:customStyle="1">
    <w:name w:val="GPS Definition Term"/>
    <w:basedOn w:val="Normal"/>
    <w:qFormat w:val="1"/>
    <w:pPr>
      <w:spacing w:after="120"/>
      <w:ind w:left="-108"/>
      <w:jc w:val="left"/>
    </w:pPr>
    <w:rPr>
      <w:b w:val="1"/>
    </w:rPr>
  </w:style>
  <w:style w:type="paragraph" w:styleId="GPSL1SCHEDULEHeading" w:customStyle="1">
    <w:name w:val="GPS L1 SCHEDULE Heading"/>
    <w:basedOn w:val="GPSL1CLAUSEHEADING"/>
    <w:link w:val="GPSL1SCHEDULEHeadingChar"/>
    <w:qFormat w:val="1"/>
    <w:pPr>
      <w:outlineLvl w:val="9"/>
    </w:pPr>
  </w:style>
  <w:style w:type="paragraph" w:styleId="GPSL2Indent" w:customStyle="1">
    <w:name w:val="GPS L2 Indent"/>
    <w:basedOn w:val="Normal"/>
    <w:link w:val="GPSL2IndentChar"/>
    <w:qFormat w:val="1"/>
    <w:pPr>
      <w:tabs>
        <w:tab w:val="left" w:pos="3402"/>
      </w:tabs>
      <w:spacing w:after="220"/>
      <w:ind w:left="1134"/>
    </w:pPr>
  </w:style>
  <w:style w:type="paragraph" w:styleId="GPSL3Indent" w:customStyle="1">
    <w:name w:val="GPS L3 Indent"/>
    <w:basedOn w:val="Normal"/>
    <w:link w:val="GPSL3IndentChar"/>
    <w:pPr>
      <w:overflowPunct w:val="1"/>
      <w:autoSpaceDE w:val="1"/>
      <w:autoSpaceDN w:val="1"/>
      <w:spacing w:after="120" w:before="120"/>
      <w:ind w:left="1985"/>
      <w:textAlignment w:val="auto"/>
    </w:pPr>
    <w:rPr>
      <w:lang w:eastAsia="zh-CN" w:val="en-US"/>
    </w:rPr>
  </w:style>
  <w:style w:type="paragraph" w:styleId="GPSmacrorestart" w:customStyle="1">
    <w:name w:val="GPS macro restart"/>
    <w:basedOn w:val="Normal"/>
    <w:qFormat w:val="1"/>
    <w:pPr>
      <w:spacing w:after="0"/>
    </w:pPr>
    <w:rPr>
      <w:color w:val="ffffff"/>
      <w:sz w:val="16"/>
      <w:szCs w:val="16"/>
    </w:rPr>
  </w:style>
  <w:style w:type="paragraph" w:styleId="GPSSchAnnexname" w:customStyle="1">
    <w:name w:val="GPS Sch Annex name"/>
    <w:basedOn w:val="Normal"/>
    <w:link w:val="GPSSchAnnexnameChar"/>
    <w:qFormat w:val="1"/>
    <w:pPr>
      <w:keepNext w:val="1"/>
      <w:overflowPunct w:val="1"/>
      <w:autoSpaceDE w:val="1"/>
      <w:autoSpaceDN w:val="1"/>
      <w:ind w:firstLine="426"/>
      <w:jc w:val="center"/>
      <w:textAlignment w:val="auto"/>
      <w:outlineLvl w:val="1"/>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rsid w:val="00A96D9C"/>
    <w:pPr>
      <w:tabs>
        <w:tab w:val="clear" w:pos="1134"/>
      </w:tabs>
      <w:ind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character" w:styleId="GPSL3IndentChar" w:customStyle="1">
    <w:name w:val="GPS L3 Indent Char"/>
    <w:link w:val="GPSL3Indent"/>
    <w:locked w:val="1"/>
    <w:rPr>
      <w:rFonts w:ascii="Calibri" w:cs="Arial" w:eastAsia="Times New Roman" w:hAnsi="Calibri"/>
      <w:lang w:eastAsia="zh-CN" w:val="en-US"/>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character" w:styleId="GPSL2IndentChar" w:customStyle="1">
    <w:name w:val="GPS L2 Indent Char"/>
    <w:link w:val="GPSL2Indent"/>
    <w:rPr>
      <w:rFonts w:ascii="Calibri" w:cs="Arial" w:eastAsia="Times New Roman" w:hAnsi="Calibri"/>
      <w:szCs w:val="24"/>
    </w:rPr>
  </w:style>
  <w:style w:type="character" w:styleId="GPSSchAnnexnameChar" w:customStyle="1">
    <w:name w:val="GPS Sch Annex name Char"/>
    <w:link w:val="GPSSchAnnexname"/>
    <w:rPr>
      <w:rFonts w:ascii="Arial Bold" w:cs="Times New Roman" w:eastAsia="STZhongsong" w:hAnsi="Arial Bold"/>
      <w:b w:val="1"/>
      <w:caps w:val="1"/>
      <w:lang w:eastAsia="zh-CN"/>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character" w:styleId="GPSL2NumberedBoldHeadingChar" w:customStyle="1">
    <w:name w:val="GPS L2 Numbered Bold Heading Char"/>
    <w:link w:val="GPSL2NumberedBoldHeading"/>
    <w:locked w:val="1"/>
    <w:rPr>
      <w:rFonts w:ascii="Calibri" w:cs="Arial" w:eastAsia="Times New Roman" w:hAnsi="Calibri"/>
      <w:b w:val="1"/>
      <w:lang w:eastAsia="zh-CN"/>
    </w:rPr>
  </w:style>
  <w:style w:type="character" w:styleId="CommentReference">
    <w:name w:val="annotation reference"/>
    <w:basedOn w:val="DefaultParagraphFont"/>
    <w:uiPriority w:val="99"/>
    <w:semiHidden w:val="1"/>
    <w:unhideWhenUsed w:val="1"/>
    <w:rPr>
      <w:sz w:val="16"/>
      <w:szCs w:val="16"/>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character" w:styleId="Hyperlink">
    <w:name w:val="Hyperlink"/>
    <w:basedOn w:val="DefaultParagraphFont"/>
    <w:uiPriority w:val="99"/>
    <w:semiHidden w:val="1"/>
    <w:unhideWhenUsed w:val="1"/>
    <w:rPr>
      <w:color w:val="0000ff"/>
      <w:u w:val="single"/>
    </w:rPr>
  </w:style>
  <w:style w:type="table" w:styleId="TableGrid">
    <w:name w:val="Table Grid"/>
    <w:basedOn w:val="TableNormal"/>
    <w:uiPriority w:val="59"/>
    <w:pPr>
      <w:spacing w:after="0"/>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pPr>
      <w:spacing w:after="0"/>
    </w:pPr>
    <w:rPr>
      <w:rFonts w:eastAsia="Times New Roman"/>
    </w:rPr>
  </w:style>
  <w:style w:type="paragraph" w:styleId="StdBodyText" w:customStyle="1">
    <w:name w:val="Std Body Text"/>
    <w:basedOn w:val="Normal"/>
    <w:uiPriority w:val="99"/>
    <w:qFormat w:val="1"/>
    <w:rsid w:val="00106E9B"/>
    <w:pPr>
      <w:overflowPunct w:val="1"/>
      <w:autoSpaceDE w:val="1"/>
      <w:autoSpaceDN w:val="1"/>
      <w:adjustRightInd w:val="1"/>
      <w:spacing w:after="200" w:before="100"/>
      <w:jc w:val="left"/>
      <w:textAlignment w:val="auto"/>
    </w:pPr>
    <w:rPr>
      <w:rFonts w:cs="Times New Roman"/>
    </w:rPr>
  </w:style>
  <w:style w:type="paragraph" w:styleId="StdBodyTextBold" w:customStyle="1">
    <w:name w:val="Std Body Text Bold"/>
    <w:basedOn w:val="Normal"/>
    <w:next w:val="StdBodyText"/>
    <w:link w:val="StdBodyTextBoldChar"/>
    <w:qFormat w:val="1"/>
    <w:rsid w:val="00106E9B"/>
    <w:pPr>
      <w:overflowPunct w:val="1"/>
      <w:autoSpaceDE w:val="1"/>
      <w:autoSpaceDN w:val="1"/>
      <w:adjustRightInd w:val="1"/>
      <w:spacing w:after="200" w:before="100"/>
      <w:jc w:val="left"/>
      <w:textAlignment w:val="auto"/>
    </w:pPr>
    <w:rPr>
      <w:rFonts w:cs="Times New Roman"/>
      <w:b w:val="1"/>
    </w:rPr>
  </w:style>
  <w:style w:type="character" w:styleId="StdBodyTextBoldChar" w:customStyle="1">
    <w:name w:val="Std Body Text Bold Char"/>
    <w:basedOn w:val="DefaultParagraphFont"/>
    <w:link w:val="StdBodyTextBold"/>
    <w:rsid w:val="00106E9B"/>
    <w:rPr>
      <w:rFonts w:ascii="Arial" w:cs="Times New Roman" w:eastAsia="Times New Roman" w:hAnsi="Arial"/>
      <w:b w:val="1"/>
      <w:sz w:val="24"/>
      <w:szCs w:val="24"/>
      <w:lang w:eastAsia="en-GB"/>
    </w:rPr>
  </w:style>
  <w:style w:type="paragraph" w:styleId="StdBodyText1" w:customStyle="1">
    <w:name w:val="Std Body Text 1"/>
    <w:basedOn w:val="StdBodyText"/>
    <w:rsid w:val="005F1595"/>
    <w:pPr>
      <w:ind w:left="720"/>
    </w:pPr>
  </w:style>
  <w:style w:type="paragraph" w:styleId="AnnexHeading" w:customStyle="1">
    <w:name w:val="Annex Heading"/>
    <w:basedOn w:val="Normal"/>
    <w:next w:val="Normal"/>
    <w:rsid w:val="006B02AC"/>
    <w:pPr>
      <w:numPr>
        <w:numId w:val="3"/>
      </w:numPr>
      <w:overflowPunct w:val="1"/>
      <w:autoSpaceDE w:val="1"/>
      <w:autoSpaceDN w:val="1"/>
      <w:adjustRightInd w:val="1"/>
      <w:spacing w:after="300" w:before="100"/>
      <w:jc w:val="center"/>
      <w:textAlignment w:val="auto"/>
    </w:pPr>
    <w:rPr>
      <w:rFonts w:ascii="Arial Bold" w:cs="Times New Roman" w:hAnsi="Arial Bold"/>
      <w:b w:val="1"/>
      <w:caps w:val="1"/>
    </w:rPr>
  </w:style>
  <w:style w:type="paragraph" w:styleId="AppendixText1" w:customStyle="1">
    <w:name w:val="Appendix Text 1"/>
    <w:basedOn w:val="Normal"/>
    <w:next w:val="StdBodyText1"/>
    <w:rsid w:val="006B02AC"/>
    <w:pPr>
      <w:tabs>
        <w:tab w:val="num" w:pos="720"/>
      </w:tabs>
      <w:overflowPunct w:val="1"/>
      <w:autoSpaceDE w:val="1"/>
      <w:autoSpaceDN w:val="1"/>
      <w:adjustRightInd w:val="1"/>
      <w:spacing w:after="200" w:before="100"/>
      <w:ind w:left="720" w:hanging="720"/>
      <w:jc w:val="left"/>
      <w:textAlignment w:val="auto"/>
    </w:pPr>
    <w:rPr>
      <w:rFonts w:cs="Times New Roman"/>
      <w:b w:val="1"/>
    </w:rPr>
  </w:style>
  <w:style w:type="paragraph" w:styleId="AppendixText2" w:customStyle="1">
    <w:name w:val="Appendix Text 2"/>
    <w:basedOn w:val="AppendixText1"/>
    <w:next w:val="Normal"/>
    <w:rsid w:val="006B02AC"/>
    <w:pPr>
      <w:numPr>
        <w:ilvl w:val="1"/>
      </w:numPr>
      <w:tabs>
        <w:tab w:val="num" w:pos="720"/>
      </w:tabs>
      <w:ind w:left="720" w:hanging="720"/>
    </w:pPr>
    <w:rPr>
      <w:b w:val="0"/>
    </w:rPr>
  </w:style>
  <w:style w:type="paragraph" w:styleId="AppendixText3" w:customStyle="1">
    <w:name w:val="Appendix Text 3"/>
    <w:basedOn w:val="Normal"/>
    <w:next w:val="Normal"/>
    <w:rsid w:val="006B02AC"/>
    <w:pPr>
      <w:numPr>
        <w:ilvl w:val="2"/>
        <w:numId w:val="4"/>
      </w:numPr>
      <w:tabs>
        <w:tab w:val="left" w:pos="720"/>
        <w:tab w:val="left" w:pos="1803"/>
      </w:tabs>
      <w:overflowPunct w:val="1"/>
      <w:autoSpaceDE w:val="1"/>
      <w:autoSpaceDN w:val="1"/>
      <w:adjustRightInd w:val="1"/>
      <w:spacing w:after="200" w:before="100"/>
      <w:jc w:val="left"/>
      <w:textAlignment w:val="auto"/>
    </w:pPr>
    <w:rPr>
      <w:rFonts w:cs="Times New Roman"/>
    </w:rPr>
  </w:style>
  <w:style w:type="paragraph" w:styleId="AppendixText4" w:customStyle="1">
    <w:name w:val="Appendix Text 4"/>
    <w:basedOn w:val="Normal"/>
    <w:next w:val="Normal"/>
    <w:rsid w:val="006B02AC"/>
    <w:pPr>
      <w:numPr>
        <w:ilvl w:val="3"/>
        <w:numId w:val="4"/>
      </w:numPr>
      <w:tabs>
        <w:tab w:val="left" w:pos="720"/>
        <w:tab w:val="left" w:pos="1803"/>
      </w:tabs>
      <w:overflowPunct w:val="1"/>
      <w:autoSpaceDE w:val="1"/>
      <w:autoSpaceDN w:val="1"/>
      <w:adjustRightInd w:val="1"/>
      <w:spacing w:after="200" w:before="100"/>
      <w:jc w:val="left"/>
      <w:textAlignment w:val="auto"/>
    </w:pPr>
    <w:rPr>
      <w:rFonts w:cs="Times New Roman"/>
    </w:rPr>
  </w:style>
  <w:style w:type="paragraph" w:styleId="AppendixText5" w:customStyle="1">
    <w:name w:val="Appendix Text 5"/>
    <w:basedOn w:val="Normal"/>
    <w:next w:val="Normal"/>
    <w:rsid w:val="006B02AC"/>
    <w:pPr>
      <w:numPr>
        <w:ilvl w:val="4"/>
        <w:numId w:val="4"/>
      </w:numPr>
      <w:tabs>
        <w:tab w:val="left" w:pos="720"/>
        <w:tab w:val="left" w:pos="2523"/>
      </w:tabs>
      <w:overflowPunct w:val="1"/>
      <w:autoSpaceDE w:val="1"/>
      <w:autoSpaceDN w:val="1"/>
      <w:adjustRightInd w:val="1"/>
      <w:spacing w:after="200" w:before="100"/>
      <w:jc w:val="left"/>
      <w:textAlignment w:val="auto"/>
    </w:pPr>
    <w:rPr>
      <w:rFonts w:cs="Times New Roman"/>
    </w:rPr>
  </w:style>
  <w:style w:type="paragraph" w:styleId="AppendixText6" w:customStyle="1">
    <w:name w:val="Appendix Text 6"/>
    <w:basedOn w:val="AppendixText5"/>
    <w:rsid w:val="006B02AC"/>
    <w:pPr>
      <w:numPr>
        <w:ilvl w:val="5"/>
      </w:numPr>
    </w:pPr>
  </w:style>
  <w:style w:type="numbering" w:styleId="Level" w:customStyle="1">
    <w:name w:val="Level"/>
    <w:uiPriority w:val="99"/>
    <w:rsid w:val="0034142A"/>
  </w:style>
  <w:style w:type="numbering" w:styleId="Scheduleheading" w:customStyle="1">
    <w:name w:val="Schedule heading"/>
    <w:uiPriority w:val="99"/>
    <w:rsid w:val="0034142A"/>
  </w:style>
  <w:style w:type="paragraph" w:styleId="StdBodyText4" w:customStyle="1">
    <w:name w:val="Std Body Text 4"/>
    <w:basedOn w:val="Normal"/>
    <w:rsid w:val="0034142A"/>
    <w:pPr>
      <w:overflowPunct w:val="1"/>
      <w:autoSpaceDE w:val="1"/>
      <w:autoSpaceDN w:val="1"/>
      <w:adjustRightInd w:val="1"/>
      <w:spacing w:after="200" w:before="100"/>
      <w:ind w:left="1803"/>
      <w:jc w:val="left"/>
      <w:textAlignment w:val="auto"/>
    </w:pPr>
    <w:rPr>
      <w:rFonts w:cs="Times New Roman"/>
    </w:rPr>
  </w:style>
  <w:style w:type="character" w:styleId="Heading1Char" w:customStyle="1">
    <w:name w:val="Heading 1 Char"/>
    <w:basedOn w:val="DefaultParagraphFont"/>
    <w:link w:val="Heading1"/>
    <w:rsid w:val="00A96D9C"/>
    <w:rPr>
      <w:rFonts w:ascii="Calibri" w:cs="Arial" w:eastAsia="Times New Roman" w:hAnsi="Calibri"/>
      <w:b w:val="1"/>
      <w:sz w:val="48"/>
      <w:szCs w:val="48"/>
      <w:lang w:eastAsia="en-GB"/>
    </w:rPr>
  </w:style>
  <w:style w:type="character" w:styleId="Heading2Char" w:customStyle="1">
    <w:name w:val="Heading 2 Char"/>
    <w:basedOn w:val="DefaultParagraphFont"/>
    <w:link w:val="Heading2"/>
    <w:rsid w:val="00A96D9C"/>
    <w:rPr>
      <w:rFonts w:ascii="Calibri" w:cs="Arial" w:eastAsia="Times New Roman" w:hAnsi="Calibri"/>
      <w:b w:val="1"/>
      <w:sz w:val="36"/>
      <w:szCs w:val="36"/>
      <w:lang w:eastAsia="en-GB"/>
    </w:rPr>
  </w:style>
  <w:style w:type="character" w:styleId="Heading3Char" w:customStyle="1">
    <w:name w:val="Heading 3 Char"/>
    <w:basedOn w:val="DefaultParagraphFont"/>
    <w:link w:val="Heading3"/>
    <w:rsid w:val="00A96D9C"/>
    <w:rPr>
      <w:rFonts w:ascii="Calibri" w:cs="Arial" w:eastAsia="Times New Roman" w:hAnsi="Calibri"/>
      <w:b w:val="1"/>
      <w:sz w:val="28"/>
      <w:szCs w:val="28"/>
      <w:lang w:eastAsia="en-GB"/>
    </w:rPr>
  </w:style>
  <w:style w:type="character" w:styleId="Heading4Char" w:customStyle="1">
    <w:name w:val="Heading 4 Char"/>
    <w:basedOn w:val="DefaultParagraphFont"/>
    <w:link w:val="Heading4"/>
    <w:rsid w:val="00A96D9C"/>
    <w:rPr>
      <w:rFonts w:ascii="Calibri" w:cs="Arial" w:eastAsia="Times New Roman" w:hAnsi="Calibri"/>
      <w:b w:val="1"/>
      <w:sz w:val="24"/>
      <w:szCs w:val="24"/>
      <w:lang w:eastAsia="en-GB"/>
    </w:rPr>
  </w:style>
  <w:style w:type="character" w:styleId="Heading5Char" w:customStyle="1">
    <w:name w:val="Heading 5 Char"/>
    <w:basedOn w:val="DefaultParagraphFont"/>
    <w:link w:val="Heading5"/>
    <w:rsid w:val="00A96D9C"/>
    <w:rPr>
      <w:rFonts w:ascii="Calibri" w:cs="Arial" w:eastAsia="Times New Roman" w:hAnsi="Calibri"/>
      <w:b w:val="1"/>
      <w:lang w:eastAsia="en-GB"/>
    </w:rPr>
  </w:style>
  <w:style w:type="character" w:styleId="Heading6Char" w:customStyle="1">
    <w:name w:val="Heading 6 Char"/>
    <w:basedOn w:val="DefaultParagraphFont"/>
    <w:link w:val="Heading6"/>
    <w:rsid w:val="00A96D9C"/>
    <w:rPr>
      <w:rFonts w:ascii="Calibri" w:cs="Arial" w:eastAsia="Times New Roman" w:hAnsi="Calibri"/>
      <w:b w:val="1"/>
      <w:sz w:val="20"/>
      <w:szCs w:val="20"/>
      <w:lang w:eastAsia="en-GB"/>
    </w:rPr>
  </w:style>
  <w:style w:type="character" w:styleId="TitleChar" w:customStyle="1">
    <w:name w:val="Title Char"/>
    <w:basedOn w:val="DefaultParagraphFont"/>
    <w:link w:val="Title"/>
    <w:rsid w:val="00A96D9C"/>
    <w:rPr>
      <w:rFonts w:ascii="Calibri" w:cs="Arial" w:eastAsia="Times New Roman" w:hAnsi="Calibri"/>
      <w:b w:val="1"/>
      <w:sz w:val="72"/>
      <w:szCs w:val="72"/>
      <w:lang w:eastAsia="en-GB"/>
    </w:rPr>
  </w:style>
  <w:style w:type="character" w:styleId="SubtitleChar" w:customStyle="1">
    <w:name w:val="Subtitle Char"/>
    <w:basedOn w:val="DefaultParagraphFont"/>
    <w:link w:val="Subtitle"/>
    <w:rsid w:val="00A96D9C"/>
    <w:rPr>
      <w:rFonts w:ascii="Georgia" w:cs="Georgia" w:eastAsia="Georgia" w:hAnsi="Georgia"/>
      <w:i w:val="1"/>
      <w:color w:val="666666"/>
      <w:sz w:val="48"/>
      <w:szCs w:val="48"/>
      <w:lang w:eastAsia="en-GB"/>
    </w:rPr>
  </w:style>
  <w:style w:type="table" w:styleId="a" w:customStyle="1">
    <w:basedOn w:val="TableNormal"/>
    <w:pPr>
      <w:spacing w:after="0"/>
    </w:pPr>
    <w:rPr>
      <w:sz w:val="20"/>
      <w:szCs w:val="20"/>
    </w:rPr>
    <w:tblPr>
      <w:tblStyleRowBandSize w:val="1"/>
      <w:tblStyleColBandSize w:val="1"/>
    </w:tblPr>
  </w:style>
  <w:style w:type="table" w:styleId="a0" w:customStyle="1">
    <w:basedOn w:val="TableNormal"/>
    <w:pPr>
      <w:spacing w:after="0"/>
    </w:pPr>
    <w:rPr>
      <w:sz w:val="20"/>
      <w:szCs w:val="20"/>
    </w:rPr>
    <w:tblPr>
      <w:tblStyleRowBandSize w:val="1"/>
      <w:tblStyleColBandSize w:val="1"/>
    </w:tblPr>
  </w:style>
  <w:style w:type="table" w:styleId="a1" w:customStyle="1">
    <w:basedOn w:val="TableNormal"/>
    <w:pPr>
      <w:spacing w:after="0"/>
    </w:pPr>
    <w:rPr>
      <w:sz w:val="20"/>
      <w:szCs w:val="20"/>
    </w:rPr>
    <w:tblPr>
      <w:tblStyleRowBandSize w:val="1"/>
      <w:tblStyleColBandSize w:val="1"/>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pPr>
      <w:spacing w:after="0"/>
    </w:pPr>
    <w:rPr>
      <w:sz w:val="20"/>
      <w:szCs w:val="20"/>
    </w:rPr>
    <w:tblPr>
      <w:tblStyleRowBandSize w:val="1"/>
      <w:tblStyleColBandSize w:val="1"/>
    </w:tblPr>
  </w:style>
  <w:style w:type="paragraph" w:styleId="Numbered1" w:customStyle="1">
    <w:name w:val="Numbered 1"/>
    <w:qFormat w:val="1"/>
    <w:rsid w:val="00E06007"/>
    <w:pPr>
      <w:keepNext w:val="1"/>
      <w:keepLines w:val="1"/>
      <w:tabs>
        <w:tab w:val="num" w:pos="720"/>
      </w:tabs>
      <w:autoSpaceDE w:val="0"/>
      <w:autoSpaceDN w:val="0"/>
      <w:spacing w:after="200" w:before="100"/>
      <w:ind w:left="720" w:hanging="720"/>
      <w:jc w:val="left"/>
      <w:outlineLvl w:val="1"/>
    </w:pPr>
    <w:rPr>
      <w:b w:val="1"/>
      <w:bCs w:val="1"/>
      <w:color w:val="1f497d" w:themeColor="text2"/>
      <w:lang w:bidi="en-US" w:eastAsia="en-US"/>
    </w:rPr>
  </w:style>
  <w:style w:type="paragraph" w:styleId="Numbered11" w:customStyle="1">
    <w:name w:val="Numbered 1.1"/>
    <w:qFormat w:val="1"/>
    <w:rsid w:val="00E06007"/>
    <w:pPr>
      <w:widowControl w:val="0"/>
      <w:numPr>
        <w:ilvl w:val="1"/>
        <w:numId w:val="5"/>
      </w:numPr>
      <w:autoSpaceDE w:val="0"/>
      <w:autoSpaceDN w:val="0"/>
      <w:spacing w:after="200" w:before="100"/>
      <w:jc w:val="left"/>
      <w:outlineLvl w:val="2"/>
    </w:pPr>
    <w:rPr>
      <w:rFonts w:asciiTheme="minorHAnsi" w:cstheme="minorHAnsi" w:hAnsiTheme="minorHAnsi"/>
      <w:lang w:bidi="en-US" w:eastAsia="en-US"/>
    </w:rPr>
  </w:style>
  <w:style w:type="paragraph" w:styleId="Numbered111" w:customStyle="1">
    <w:name w:val="Numbered 1.1.1"/>
    <w:next w:val="Numbered111a"/>
    <w:qFormat w:val="1"/>
    <w:rsid w:val="00E06007"/>
    <w:pPr>
      <w:widowControl w:val="0"/>
      <w:tabs>
        <w:tab w:val="num" w:pos="2160"/>
      </w:tabs>
      <w:autoSpaceDE w:val="0"/>
      <w:autoSpaceDN w:val="0"/>
      <w:spacing w:after="200" w:before="100"/>
      <w:ind w:left="2160" w:hanging="720"/>
      <w:jc w:val="left"/>
    </w:pPr>
    <w:rPr>
      <w:lang w:bidi="en-US" w:eastAsia="en-US"/>
    </w:rPr>
  </w:style>
  <w:style w:type="paragraph" w:styleId="Numbered111a" w:customStyle="1">
    <w:name w:val="Numbered 1.1.1(a)"/>
    <w:qFormat w:val="1"/>
    <w:rsid w:val="00E06007"/>
    <w:pPr>
      <w:widowControl w:val="0"/>
      <w:tabs>
        <w:tab w:val="num" w:pos="2880"/>
      </w:tabs>
      <w:autoSpaceDE w:val="0"/>
      <w:autoSpaceDN w:val="0"/>
      <w:spacing w:after="200" w:before="100"/>
      <w:ind w:left="2880" w:hanging="720"/>
      <w:jc w:val="left"/>
    </w:pPr>
    <w:rPr>
      <w:lang w:bidi="en-US" w:eastAsia="en-US"/>
    </w:rPr>
  </w:style>
  <w:style w:type="paragraph" w:styleId="Numbered111ai" w:customStyle="1">
    <w:name w:val="Numbered 1.1.1(a)(i)"/>
    <w:basedOn w:val="ListParagraph"/>
    <w:qFormat w:val="1"/>
    <w:rsid w:val="00E06007"/>
    <w:pPr>
      <w:widowControl w:val="0"/>
      <w:tabs>
        <w:tab w:val="num" w:pos="360"/>
        <w:tab w:val="num" w:pos="3600"/>
      </w:tabs>
      <w:overflowPunct w:val="1"/>
      <w:adjustRightInd w:val="1"/>
      <w:spacing w:after="200" w:before="100"/>
      <w:contextualSpacing w:val="0"/>
      <w:jc w:val="left"/>
      <w:textAlignment w:val="auto"/>
    </w:pPr>
    <w:rPr>
      <w:rFonts w:asciiTheme="minorHAnsi" w:cstheme="minorHAnsi" w:hAnsiTheme="minorHAnsi"/>
      <w:lang w:bidi="en-US" w:eastAsia="en-US"/>
    </w:rPr>
  </w:style>
  <w:style w:type="paragraph" w:styleId="ListParagraph">
    <w:name w:val="List Paragraph"/>
    <w:basedOn w:val="Normal"/>
    <w:uiPriority w:val="34"/>
    <w:qFormat w:val="1"/>
    <w:rsid w:val="00E06007"/>
    <w:pPr>
      <w:ind w:left="720"/>
      <w:contextualSpacing w:val="1"/>
    </w:pPr>
  </w:style>
  <w:style w:type="table" w:styleId="a4" w:customStyle="1">
    <w:basedOn w:val="TableNormal"/>
    <w:pPr>
      <w:spacing w:after="0"/>
    </w:pPr>
    <w:rPr>
      <w:sz w:val="20"/>
      <w:szCs w:val="20"/>
    </w:rPr>
    <w:tblPr>
      <w:tblStyleRowBandSize w:val="1"/>
      <w:tblStyleColBandSize w:val="1"/>
    </w:tblPr>
  </w:style>
  <w:style w:type="table" w:styleId="a5" w:customStyle="1">
    <w:basedOn w:val="TableNormal"/>
    <w:pPr>
      <w:spacing w:after="0"/>
    </w:pPr>
    <w:rPr>
      <w:sz w:val="20"/>
      <w:szCs w:val="20"/>
    </w:rPr>
    <w:tblPr>
      <w:tblStyleRowBandSize w:val="1"/>
      <w:tblStyleColBandSize w:val="1"/>
    </w:tblPr>
  </w:style>
  <w:style w:type="table" w:styleId="a6" w:customStyle="1">
    <w:basedOn w:val="TableNormal"/>
    <w:pPr>
      <w:spacing w:after="0"/>
    </w:pPr>
    <w:rPr>
      <w:sz w:val="20"/>
      <w:szCs w:val="20"/>
    </w:rPr>
    <w:tblPr>
      <w:tblStyleRowBandSize w:val="1"/>
      <w:tblStyleColBandSize w:val="1"/>
    </w:tblPr>
  </w:style>
  <w:style w:type="table" w:styleId="a7" w:customStyle="1">
    <w:basedOn w:val="TableNormal"/>
    <w:tblPr>
      <w:tblStyleRowBandSize w:val="1"/>
      <w:tblStyleColBandSize w:val="1"/>
      <w:tblCellMar>
        <w:left w:w="115.0" w:type="dxa"/>
        <w:right w:w="115.0" w:type="dxa"/>
      </w:tblCellMar>
    </w:tblPr>
  </w:style>
  <w:style w:type="table" w:styleId="a8" w:customStyle="1">
    <w:basedOn w:val="TableNormal"/>
    <w:pPr>
      <w:spacing w:after="0"/>
    </w:pPr>
    <w:rPr>
      <w:sz w:val="20"/>
      <w:szCs w:val="20"/>
    </w:rPr>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Rule="auto"/>
    </w:pPr>
    <w:rPr>
      <w:sz w:val="20"/>
      <w:szCs w:val="20"/>
    </w:r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pPr>
    <w:rPr>
      <w:sz w:val="20"/>
      <w:szCs w:val="20"/>
    </w:r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pPr>
    <w:rPr>
      <w:sz w:val="20"/>
      <w:szCs w:val="20"/>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pPr>
      <w:spacing w:after="0" w:lineRule="auto"/>
    </w:pPr>
    <w:rPr>
      <w:sz w:val="20"/>
      <w:szCs w:val="20"/>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uk/government/publications/strategic-suppliers"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B9UOG6AlJyxuMt26cjmzVigfxQ==">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2025-04-17T10:49:00Z</dcterms:created>
  <dc:creator>Lianne Garvey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ContentTypeId">
    <vt:lpwstr>0x010100D917CB7B15B2604192F9A6A01BB658E6</vt:lpwstr>
  </property>
</Properties>
</file>