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Call-Off Schedule 14 (Service Levels)</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p>
    <w:p w:rsidR="00000000" w:rsidDel="00000000" w:rsidP="00000000" w:rsidRDefault="00000000" w:rsidRPr="00000000" w14:paraId="0000000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following words shall have the following meanings and they shall supplement Joint Schedule 1 (Definitions):</w:t>
      </w:r>
    </w:p>
    <w:tbl>
      <w:tblPr>
        <w:tblStyle w:val="Table1"/>
        <w:tblW w:w="8363.0" w:type="dxa"/>
        <w:jc w:val="left"/>
        <w:tblInd w:w="959.0" w:type="dxa"/>
        <w:tblLayout w:type="fixed"/>
        <w:tblLook w:val="0400"/>
      </w:tblPr>
      <w:tblGrid>
        <w:gridCol w:w="2410"/>
        <w:gridCol w:w="5953"/>
        <w:tblGridChange w:id="0">
          <w:tblGrid>
            <w:gridCol w:w="2410"/>
            <w:gridCol w:w="5953"/>
          </w:tblGrid>
        </w:tblGridChange>
      </w:tblGrid>
      <w:tr>
        <w:trPr>
          <w:cantSplit w:val="0"/>
          <w:tblHeader w:val="0"/>
        </w:trPr>
        <w:tc>
          <w:tcPr>
            <w:shd w:fill="auto" w:val="clear"/>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“Critical Service Level Failure”</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left" w:leader="none" w:pos="-9"/>
                <w:tab w:val="left" w:leader="none" w:pos="-17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left" w:leader="none" w:pos="-9"/>
                <w:tab w:val="left" w:leader="none" w:pos="-17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the Order Form;</w:t>
            </w:r>
          </w:p>
        </w:tc>
      </w:tr>
      <w:tr>
        <w:trPr>
          <w:cantSplit w:val="0"/>
          <w:tblHeader w:val="0"/>
        </w:trPr>
        <w:tc>
          <w:tcPr>
            <w:shd w:fill="auto" w:val="clear"/>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"Service Credits"</w:t>
            </w:r>
          </w:p>
        </w:tc>
        <w:tc>
          <w:tcPr>
            <w:shd w:fill="auto" w:val="clear"/>
          </w:tcPr>
          <w:p w:rsidR="00000000" w:rsidDel="00000000" w:rsidP="00000000" w:rsidRDefault="00000000" w:rsidRPr="00000000" w14:paraId="0000000B">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 w:val="left" w:leader="none" w:pos="-17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service credits specified in the Annex to Part A of this Schedule being payable by the Supplier to the Buyer in respect of any failure by the Supplier to meet one or more Service Levels;</w:t>
            </w:r>
          </w:p>
        </w:tc>
      </w:tr>
      <w:tr>
        <w:trPr>
          <w:cantSplit w:val="0"/>
          <w:trHeight w:val="359" w:hRule="atLeast"/>
          <w:tblHeader w:val="0"/>
        </w:trPr>
        <w:tc>
          <w:tcPr>
            <w:shd w:fill="auto" w:val="clea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"Service Credit Cap"</w:t>
            </w:r>
          </w:p>
        </w:tc>
        <w:tc>
          <w:tcPr>
            <w:shd w:fill="auto" w:val="clear"/>
          </w:tcPr>
          <w:p w:rsidR="00000000" w:rsidDel="00000000" w:rsidP="00000000" w:rsidRDefault="00000000" w:rsidRPr="00000000" w14:paraId="0000000D">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 w:val="left" w:leader="none" w:pos="-17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the Order Form;</w:t>
            </w:r>
          </w:p>
        </w:tc>
      </w:tr>
      <w:tr>
        <w:trPr>
          <w:cantSplit w:val="0"/>
          <w:tblHeader w:val="0"/>
        </w:trPr>
        <w:tc>
          <w:tcPr>
            <w:shd w:fill="auto" w:val="clear"/>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0F">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 w:val="left" w:leader="none" w:pos="-17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"Service Level Failure"</w:t>
            </w:r>
          </w:p>
        </w:tc>
        <w:tc>
          <w:tcPr>
            <w:shd w:fill="auto" w:val="clear"/>
          </w:tcPr>
          <w:p w:rsidR="00000000" w:rsidDel="00000000" w:rsidP="00000000" w:rsidRDefault="00000000" w:rsidRPr="00000000" w14:paraId="00000011">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 w:val="left" w:leader="none" w:pos="-17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a failure to meet the Service Level Performance Measure in respect of a Service Level;</w:t>
            </w:r>
          </w:p>
        </w:tc>
      </w:tr>
      <w:tr>
        <w:trPr>
          <w:cantSplit w:val="0"/>
          <w:tblHeader w:val="0"/>
        </w:trPr>
        <w:tc>
          <w:tcPr>
            <w:shd w:fill="auto" w:val="clear"/>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"Service Level Performance Measure"</w:t>
            </w:r>
          </w:p>
        </w:tc>
        <w:tc>
          <w:tcPr>
            <w:shd w:fill="auto" w:val="clear"/>
          </w:tcPr>
          <w:p w:rsidR="00000000" w:rsidDel="00000000" w:rsidP="00000000" w:rsidRDefault="00000000" w:rsidRPr="00000000" w14:paraId="00000013">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 w:val="left" w:leader="none" w:pos="-17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be as set out against the relevant Service Level in the Annex to Part A of this Schedule; and</w:t>
            </w:r>
          </w:p>
        </w:tc>
      </w:tr>
      <w:tr>
        <w:trPr>
          <w:cantSplit w:val="0"/>
          <w:tblHeader w:val="0"/>
        </w:trPr>
        <w:tc>
          <w:tcPr>
            <w:shd w:fill="auto" w:val="clear"/>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"Service Level Threshold"</w:t>
            </w:r>
          </w:p>
        </w:tc>
        <w:tc>
          <w:tcPr>
            <w:shd w:fill="auto" w:val="clear"/>
          </w:tcPr>
          <w:p w:rsidR="00000000" w:rsidDel="00000000" w:rsidP="00000000" w:rsidRDefault="00000000" w:rsidRPr="00000000" w14:paraId="00000015">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 w:val="left" w:leader="none" w:pos="-17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be as set out against the relevant Service Level in the Annex to Part A of this Schedule.</w:t>
            </w:r>
          </w:p>
        </w:tc>
      </w:tr>
    </w:tbl>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 happens if you don’t meet the Service Levels</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at all times provide the Deliverables to meet or exceed the Service Level Performance Measure for each Service Level.</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send Performance Monitoring Reports to the Buyer detailing the level of service which was achieved in accordance with the provisions of Part B (Performance Monitoring) of this Schedule.</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Service Credit shall be the Buyer’s exclusive financial remedy for a Service Level Failure except where:</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has over the previous (twelve) 12 Month period exceeded the Service Credit Cap; and/or</w:t>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Service Level Failure:</w:t>
      </w:r>
    </w:p>
    <w:p w:rsidR="00000000" w:rsidDel="00000000" w:rsidP="00000000" w:rsidRDefault="00000000" w:rsidRPr="00000000" w14:paraId="0000001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exceeds the relevant Service Level Threshold;</w:t>
      </w:r>
    </w:p>
    <w:p w:rsidR="00000000" w:rsidDel="00000000" w:rsidP="00000000" w:rsidRDefault="00000000" w:rsidRPr="00000000" w14:paraId="0000001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arisen due to a Prohibited Act or wilful Default by the Supplier; </w:t>
      </w:r>
    </w:p>
    <w:p w:rsidR="00000000" w:rsidDel="00000000" w:rsidP="00000000" w:rsidRDefault="00000000" w:rsidRPr="00000000" w14:paraId="0000001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results in the corruption or loss of any Government Data; and/or</w:t>
      </w:r>
    </w:p>
    <w:p w:rsidR="00000000" w:rsidDel="00000000" w:rsidP="00000000" w:rsidRDefault="00000000" w:rsidRPr="00000000" w14:paraId="0000002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results in the Buyer being required to make a compensation payment to one or more third parties; and/or</w:t>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is entitled to or does terminate this Contract pursuant to Clause 10.4 (CCS and Buyer Termination Rights).</w:t>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rsidR="00000000" w:rsidDel="00000000" w:rsidP="00000000" w:rsidRDefault="00000000" w:rsidRPr="00000000" w14:paraId="0000002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total number of Service Levels for which the weighting is to be changed does not exceed the number applicable as at the Start Date; </w:t>
      </w:r>
    </w:p>
    <w:p w:rsidR="00000000" w:rsidDel="00000000" w:rsidP="00000000" w:rsidRDefault="00000000" w:rsidRPr="00000000" w14:paraId="0000002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principal purpose of the change is to reflect changes in the Buyer's business requirements and/or priorities or to reflect changing industry standards; and</w:t>
      </w:r>
    </w:p>
    <w:p w:rsidR="00000000" w:rsidDel="00000000" w:rsidP="00000000" w:rsidRDefault="00000000" w:rsidRPr="00000000" w14:paraId="0000002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is no change to the Service Credit Cap.</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Critical Service Level Failure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the occurrence of a Critical Service Level Failure:</w:t>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Service Credits that would otherwise have accrued during the relevant Service Period shall not accrue; and</w:t>
      </w:r>
    </w:p>
    <w:p w:rsidR="00000000" w:rsidDel="00000000" w:rsidP="00000000" w:rsidRDefault="00000000" w:rsidRPr="00000000" w14:paraId="000000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(subject to the Service Credit Cap) be entitled to withhold and retain as compensation a sum equal to any Charges which would otherwise have been due to the Supplier in respect of that Service Period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Compensation for Critical Service Level Failure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2"/>
        </w:tabs>
        <w:spacing w:after="22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provided that the operation of this paragraph 3 shall be without prejudice to the right of the Buyer to terminate this Contract and/or to claim damages from the Supplier for material Default.</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426"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Part A: Service Levels and Service Credits </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Service Levels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level of performance of the Supplier:</w:t>
      </w:r>
    </w:p>
    <w:p w:rsidR="00000000" w:rsidDel="00000000" w:rsidP="00000000" w:rsidRDefault="00000000" w:rsidRPr="00000000" w14:paraId="0000002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likely to or fails to meet any Service Level Performance Measure; or</w:t>
      </w:r>
    </w:p>
    <w:p w:rsidR="00000000" w:rsidDel="00000000" w:rsidP="00000000" w:rsidRDefault="00000000" w:rsidRPr="00000000" w14:paraId="0000003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likely to cause or causes a Critical Service Failure to occur,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immediately notify the Buyer in writing and the Buyer, in its absolute discretion and without limiting any other of its rights, may:</w:t>
      </w:r>
    </w:p>
    <w:p w:rsidR="00000000" w:rsidDel="00000000" w:rsidP="00000000" w:rsidRDefault="00000000" w:rsidRPr="00000000" w14:paraId="00000032">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require the Supplier to immediately take all remedial action that is reasonable to mitigate the impact on the Buyer and to rectify or prevent a Service Level Failure or Critical Service Level Failure from taking place or recurring; </w:t>
      </w:r>
    </w:p>
    <w:p w:rsidR="00000000" w:rsidDel="00000000" w:rsidP="00000000" w:rsidRDefault="00000000" w:rsidRPr="00000000" w14:paraId="00000033">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instruct the Supplier to comply with the Rectification Plan Process; </w:t>
      </w:r>
    </w:p>
    <w:p w:rsidR="00000000" w:rsidDel="00000000" w:rsidP="00000000" w:rsidRDefault="00000000" w:rsidRPr="00000000" w14:paraId="00000034">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Service Level Failure has occurred, deduct the applicable Service Level Credits payable by the Supplier to the Buyer; and/or</w:t>
      </w:r>
    </w:p>
    <w:p w:rsidR="00000000" w:rsidDel="00000000" w:rsidP="00000000" w:rsidRDefault="00000000" w:rsidRPr="00000000" w14:paraId="00000035">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Critical Service Level Failure has occurred, exercise its right to Compensation for Critical Service Level Failure (including the right to terminate for material Default).</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Service Credits</w:t>
      </w:r>
    </w:p>
    <w:p w:rsidR="00000000" w:rsidDel="00000000" w:rsidP="00000000" w:rsidRDefault="00000000" w:rsidRPr="00000000" w14:paraId="0000003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use the Performance Monitoring Reports supplied by the Supplier to verify the calculation and accuracy of the Service Credits, if any, applicable to each Service Period.</w:t>
      </w:r>
    </w:p>
    <w:p w:rsidR="00000000" w:rsidDel="00000000" w:rsidP="00000000" w:rsidRDefault="00000000" w:rsidRPr="00000000" w14:paraId="0000003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Service Credits are a reduction of the amounts payable in respect of the Deliverables and do not include VAT. The Supplier shall set-off the value of any Service Credits against the appropriate invoice in accordance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 calculation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formula in the Annex A to Part A of this Schedule. </w:t>
      </w:r>
    </w:p>
    <w:p w:rsidR="00000000" w:rsidDel="00000000" w:rsidP="00000000" w:rsidRDefault="00000000" w:rsidRPr="00000000" w14:paraId="00000039">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Annex A to Part A: Service Levels and Service Credits Table</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before="100" w:lineRule="auto"/>
        <w:rPr>
          <w:rFonts w:ascii="Arial" w:cs="Arial" w:eastAsia="Arial" w:hAnsi="Arial"/>
          <w:color w:val="000000"/>
          <w:sz w:val="24"/>
          <w:szCs w:val="24"/>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Buyer Guidance Note</w:t>
      </w:r>
      <w:r w:rsidDel="00000000" w:rsidR="00000000" w:rsidRPr="00000000">
        <w:rPr>
          <w:rFonts w:ascii="Arial" w:cs="Arial" w:eastAsia="Arial" w:hAnsi="Arial"/>
          <w:sz w:val="24"/>
          <w:szCs w:val="24"/>
          <w:highlight w:val="yellow"/>
          <w:rtl w:val="0"/>
        </w:rPr>
        <w:t xml:space="preserve">: The following table and calculation are included by way of example only. Procurement-specific Service Levels (or KPIs) and formulae, including Service Levels relating to Social Value, should be incorporated. In line with the </w:t>
      </w:r>
      <w:hyperlink r:id="rId7">
        <w:r w:rsidDel="00000000" w:rsidR="00000000" w:rsidRPr="00000000">
          <w:rPr>
            <w:rFonts w:ascii="Arial" w:cs="Arial" w:eastAsia="Arial" w:hAnsi="Arial"/>
            <w:color w:val="0000ff"/>
            <w:sz w:val="24"/>
            <w:szCs w:val="24"/>
            <w:highlight w:val="yellow"/>
            <w:u w:val="single"/>
            <w:rtl w:val="0"/>
          </w:rPr>
          <w:t xml:space="preserve">Sourcing Playbook</w:t>
        </w:r>
      </w:hyperlink>
      <w:r w:rsidDel="00000000" w:rsidR="00000000" w:rsidRPr="00000000">
        <w:rPr>
          <w:rFonts w:ascii="Arial" w:cs="Arial" w:eastAsia="Arial" w:hAnsi="Arial"/>
          <w:sz w:val="24"/>
          <w:szCs w:val="24"/>
          <w:highlight w:val="yellow"/>
          <w:rtl w:val="0"/>
        </w:rPr>
        <w:t xml:space="preserve">, it is HMG’s intention to publish the top Service Levels for the Government’s most important contracts. Where this publication requirement applies to this Contract, the Buyer must select at least three Service Levels which shall be publishable and must also select the single most important Social Value Service Level, which shall also be publishable (four Service Levels in total). Buyers can indicate which are publishable in the table below.</w:t>
      </w:r>
      <w:r w:rsidDel="00000000" w:rsidR="00000000" w:rsidRPr="00000000">
        <w:rPr>
          <w:rtl w:val="0"/>
        </w:rPr>
      </w:r>
    </w:p>
    <w:p w:rsidR="00000000" w:rsidDel="00000000" w:rsidP="00000000" w:rsidRDefault="00000000" w:rsidRPr="00000000" w14:paraId="0000003B">
      <w:pPr>
        <w:ind w:left="709" w:firstLine="0"/>
        <w:rPr>
          <w:rFonts w:ascii="Arial" w:cs="Arial" w:eastAsia="Arial" w:hAnsi="Arial"/>
          <w:sz w:val="24"/>
          <w:szCs w:val="24"/>
        </w:rPr>
      </w:pPr>
      <w:r w:rsidDel="00000000" w:rsidR="00000000" w:rsidRPr="00000000">
        <w:rPr>
          <w:rtl w:val="0"/>
        </w:rPr>
      </w:r>
    </w:p>
    <w:tbl>
      <w:tblPr>
        <w:tblStyle w:val="Table2"/>
        <w:tblW w:w="1060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3"/>
        <w:gridCol w:w="1571"/>
        <w:gridCol w:w="1701"/>
        <w:gridCol w:w="1418"/>
        <w:gridCol w:w="2102"/>
        <w:gridCol w:w="2102"/>
        <w:tblGridChange w:id="0">
          <w:tblGrid>
            <w:gridCol w:w="1713"/>
            <w:gridCol w:w="1571"/>
            <w:gridCol w:w="1701"/>
            <w:gridCol w:w="1418"/>
            <w:gridCol w:w="2102"/>
            <w:gridCol w:w="2102"/>
          </w:tblGrid>
        </w:tblGridChange>
      </w:tblGrid>
      <w:tr>
        <w:trPr>
          <w:cantSplit w:val="0"/>
          <w:trHeight w:val="1213" w:hRule="atLeast"/>
          <w:tblHeader w:val="1"/>
        </w:trPr>
        <w:tc>
          <w:tcPr>
            <w:gridSpan w:val="4"/>
            <w:shd w:fill="d9d9d9" w:val="clear"/>
          </w:tcPr>
          <w:p w:rsidR="00000000" w:rsidDel="00000000" w:rsidP="00000000" w:rsidRDefault="00000000" w:rsidRPr="00000000" w14:paraId="0000003C">
            <w:pPr>
              <w:ind w:left="9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Service Levels</w:t>
            </w:r>
          </w:p>
        </w:tc>
        <w:tc>
          <w:tcPr>
            <w:vMerge w:val="restart"/>
            <w:shd w:fill="d9d9d9" w:val="clear"/>
            <w:vAlign w:val="center"/>
          </w:tcPr>
          <w:p w:rsidR="00000000" w:rsidDel="00000000" w:rsidP="00000000" w:rsidRDefault="00000000" w:rsidRPr="00000000" w14:paraId="00000040">
            <w:pPr>
              <w:ind w:left="9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Service Credit for each Service Period</w:t>
            </w:r>
          </w:p>
          <w:p w:rsidR="00000000" w:rsidDel="00000000" w:rsidP="00000000" w:rsidRDefault="00000000" w:rsidRPr="00000000" w14:paraId="00000041">
            <w:pPr>
              <w:ind w:left="95" w:firstLine="0"/>
              <w:rPr>
                <w:rFonts w:ascii="Arial" w:cs="Arial" w:eastAsia="Arial" w:hAnsi="Arial"/>
                <w:sz w:val="24"/>
                <w:szCs w:val="24"/>
              </w:rPr>
            </w:pPr>
            <w:r w:rsidDel="00000000" w:rsidR="00000000" w:rsidRPr="00000000">
              <w:rPr>
                <w:rtl w:val="0"/>
              </w:rPr>
            </w:r>
          </w:p>
        </w:tc>
        <w:tc>
          <w:tcPr>
            <w:shd w:fill="d9d9d9" w:val="clear"/>
          </w:tcPr>
          <w:p w:rsidR="00000000" w:rsidDel="00000000" w:rsidP="00000000" w:rsidRDefault="00000000" w:rsidRPr="00000000" w14:paraId="00000042">
            <w:pPr>
              <w:ind w:left="95" w:firstLine="0"/>
              <w:rPr>
                <w:rFonts w:ascii="Arial" w:cs="Arial" w:eastAsia="Arial" w:hAnsi="Arial"/>
                <w:sz w:val="24"/>
                <w:szCs w:val="24"/>
              </w:rPr>
            </w:pPr>
            <w:r w:rsidDel="00000000" w:rsidR="00000000" w:rsidRPr="00000000">
              <w:rPr>
                <w:rtl w:val="0"/>
              </w:rPr>
            </w:r>
          </w:p>
        </w:tc>
      </w:tr>
      <w:tr>
        <w:trPr>
          <w:cantSplit w:val="0"/>
          <w:trHeight w:val="1213" w:hRule="atLeast"/>
          <w:tblHeader w:val="1"/>
        </w:trPr>
        <w:tc>
          <w:tcPr>
            <w:shd w:fill="d9d9d9" w:val="clear"/>
            <w:vAlign w:val="center"/>
          </w:tcPr>
          <w:p w:rsidR="00000000" w:rsidDel="00000000" w:rsidP="00000000" w:rsidRDefault="00000000" w:rsidRPr="00000000" w14:paraId="00000043">
            <w:pPr>
              <w:ind w:left="6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Service Level Performance Criterion</w:t>
            </w:r>
          </w:p>
        </w:tc>
        <w:tc>
          <w:tcPr>
            <w:shd w:fill="d9d9d9" w:val="clear"/>
            <w:vAlign w:val="center"/>
          </w:tcPr>
          <w:p w:rsidR="00000000" w:rsidDel="00000000" w:rsidP="00000000" w:rsidRDefault="00000000" w:rsidRPr="00000000" w14:paraId="00000044">
            <w:pPr>
              <w:ind w:left="9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Key Indicator</w:t>
            </w:r>
          </w:p>
        </w:tc>
        <w:tc>
          <w:tcPr>
            <w:shd w:fill="d9d9d9" w:val="clear"/>
            <w:vAlign w:val="center"/>
          </w:tcPr>
          <w:p w:rsidR="00000000" w:rsidDel="00000000" w:rsidP="00000000" w:rsidRDefault="00000000" w:rsidRPr="00000000" w14:paraId="00000045">
            <w:pPr>
              <w:rPr>
                <w:rFonts w:ascii="Arial" w:cs="Arial" w:eastAsia="Arial" w:hAnsi="Arial"/>
                <w:sz w:val="24"/>
                <w:szCs w:val="24"/>
              </w:rPr>
            </w:pPr>
            <w:r w:rsidDel="00000000" w:rsidR="00000000" w:rsidRPr="00000000">
              <w:rPr>
                <w:rFonts w:ascii="Arial" w:cs="Arial" w:eastAsia="Arial" w:hAnsi="Arial"/>
                <w:sz w:val="24"/>
                <w:szCs w:val="24"/>
                <w:rtl w:val="0"/>
              </w:rPr>
              <w:t xml:space="preserve">Service Level Performance Measure</w:t>
            </w:r>
          </w:p>
        </w:tc>
        <w:tc>
          <w:tcPr>
            <w:shd w:fill="d9d9d9" w:val="clear"/>
          </w:tcPr>
          <w:p w:rsidR="00000000" w:rsidDel="00000000" w:rsidP="00000000" w:rsidRDefault="00000000" w:rsidRPr="00000000" w14:paraId="00000046">
            <w:pPr>
              <w:ind w:left="9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Service Level Threshold</w:t>
            </w:r>
          </w:p>
        </w:tc>
        <w:tc>
          <w:tcPr>
            <w:vMerge w:val="continue"/>
            <w:shd w:fill="d9d9d9" w:val="clear"/>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d9d9d9" w:val="clear"/>
          </w:tcPr>
          <w:p w:rsidR="00000000" w:rsidDel="00000000" w:rsidP="00000000" w:rsidRDefault="00000000" w:rsidRPr="00000000" w14:paraId="00000048">
            <w:pPr>
              <w:ind w:left="9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Publishable? </w:t>
            </w:r>
          </w:p>
        </w:tc>
      </w:tr>
      <w:tr>
        <w:trPr>
          <w:cantSplit w:val="0"/>
          <w:trHeight w:val="1474" w:hRule="atLeast"/>
          <w:tblHeader w:val="0"/>
        </w:trPr>
        <w:tc>
          <w:tcPr/>
          <w:p w:rsidR="00000000" w:rsidDel="00000000" w:rsidP="00000000" w:rsidRDefault="00000000" w:rsidRPr="00000000" w14:paraId="00000049">
            <w:pPr>
              <w:spacing w:after="120" w:lineRule="auto"/>
              <w:ind w:left="6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highlight w:val="yellow"/>
                <w:rtl w:val="0"/>
              </w:rPr>
              <w:t xml:space="preserve">Accurate and timely billing of Buyer</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4A">
            <w:pPr>
              <w:spacing w:after="120" w:lineRule="auto"/>
              <w:ind w:left="61" w:firstLine="0"/>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4B">
            <w:pPr>
              <w:spacing w:after="120" w:lineRule="auto"/>
              <w:ind w:left="9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highlight w:val="yellow"/>
                <w:rtl w:val="0"/>
              </w:rPr>
              <w:t xml:space="preserve">Accuracy /Timelines</w:t>
            </w:r>
            <w:r w:rsidDel="00000000" w:rsidR="00000000" w:rsidRPr="00000000">
              <w:rPr>
                <w:rFonts w:ascii="Arial" w:cs="Arial" w:eastAsia="Arial" w:hAnsi="Arial"/>
                <w:sz w:val="24"/>
                <w:szCs w:val="24"/>
                <w:rtl w:val="0"/>
              </w:rPr>
              <w:t xml:space="preserve">s]</w:t>
            </w:r>
          </w:p>
          <w:p w:rsidR="00000000" w:rsidDel="00000000" w:rsidP="00000000" w:rsidRDefault="00000000" w:rsidRPr="00000000" w14:paraId="0000004C">
            <w:pPr>
              <w:spacing w:after="120" w:lineRule="auto"/>
              <w:ind w:left="95" w:firstLine="0"/>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4D">
            <w:pPr>
              <w:spacing w:after="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highlight w:val="yellow"/>
                <w:rtl w:val="0"/>
              </w:rPr>
              <w:t xml:space="preserve">at least 98% at all times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4E">
            <w:pPr>
              <w:spacing w:after="12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4F">
            <w:pPr>
              <w:spacing w:after="120" w:lineRule="auto"/>
              <w:ind w:left="95" w:firstLine="0"/>
              <w:rPr>
                <w:rFonts w:ascii="Arial" w:cs="Arial" w:eastAsia="Arial" w:hAnsi="Arial"/>
                <w:sz w:val="24"/>
                <w:szCs w:val="24"/>
              </w:rPr>
            </w:pPr>
            <w:r w:rsidDel="00000000" w:rsidR="00000000" w:rsidRPr="00000000">
              <w:rPr>
                <w:rFonts w:ascii="Arial" w:cs="Arial" w:eastAsia="Arial" w:hAnsi="Arial"/>
                <w:highlight w:val="yellow"/>
                <w:rtl w:val="0"/>
              </w:rPr>
              <w:t xml:space="preserve">[  ]</w:t>
            </w:r>
            <w:r w:rsidDel="00000000" w:rsidR="00000000" w:rsidRPr="00000000">
              <w:rPr>
                <w:rtl w:val="0"/>
              </w:rPr>
            </w:r>
          </w:p>
        </w:tc>
        <w:tc>
          <w:tcPr/>
          <w:p w:rsidR="00000000" w:rsidDel="00000000" w:rsidP="00000000" w:rsidRDefault="00000000" w:rsidRPr="00000000" w14:paraId="00000050">
            <w:pPr>
              <w:spacing w:after="120" w:lineRule="auto"/>
              <w:ind w:left="9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highlight w:val="yellow"/>
                <w:rtl w:val="0"/>
              </w:rPr>
              <w:t xml:space="preserve">0.5% Service Credit gained for each percentage under the specified Service Level Performance Measure</w:t>
            </w: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051">
            <w:pPr>
              <w:spacing w:after="120" w:lineRule="auto"/>
              <w:ind w:left="95" w:firstLine="0"/>
              <w:rPr>
                <w:rFonts w:ascii="Arial" w:cs="Arial" w:eastAsia="Arial" w:hAnsi="Arial"/>
                <w:sz w:val="24"/>
                <w:szCs w:val="24"/>
              </w:rPr>
            </w:pPr>
            <w:r w:rsidDel="00000000" w:rsidR="00000000" w:rsidRPr="00000000">
              <w:rPr>
                <w:rFonts w:ascii="Arial" w:cs="Arial" w:eastAsia="Arial" w:hAnsi="Arial"/>
                <w:rtl w:val="0"/>
              </w:rPr>
              <w:t xml:space="preserve">[Yes/No]</w:t>
            </w:r>
            <w:r w:rsidDel="00000000" w:rsidR="00000000" w:rsidRPr="00000000">
              <w:rPr>
                <w:rtl w:val="0"/>
              </w:rPr>
            </w:r>
          </w:p>
        </w:tc>
      </w:tr>
      <w:tr>
        <w:trPr>
          <w:cantSplit w:val="0"/>
          <w:trHeight w:val="1474" w:hRule="atLeast"/>
          <w:tblHeader w:val="0"/>
        </w:trPr>
        <w:tc>
          <w:tcPr/>
          <w:p w:rsidR="00000000" w:rsidDel="00000000" w:rsidP="00000000" w:rsidRDefault="00000000" w:rsidRPr="00000000" w14:paraId="00000052">
            <w:pPr>
              <w:spacing w:after="120" w:lineRule="auto"/>
              <w:ind w:left="6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highlight w:val="yellow"/>
                <w:rtl w:val="0"/>
              </w:rPr>
              <w:t xml:space="preserve">Access to Buyer support</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53">
            <w:pPr>
              <w:spacing w:after="120" w:lineRule="auto"/>
              <w:ind w:left="61" w:firstLine="0"/>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54">
            <w:pPr>
              <w:spacing w:after="120" w:lineRule="auto"/>
              <w:ind w:left="9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highlight w:val="yellow"/>
                <w:rtl w:val="0"/>
              </w:rPr>
              <w:t xml:space="preserve">Availability</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55">
            <w:pPr>
              <w:spacing w:after="120" w:lineRule="auto"/>
              <w:ind w:left="95"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6">
            <w:pPr>
              <w:spacing w:after="120" w:lineRule="auto"/>
              <w:ind w:left="95" w:firstLine="0"/>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57">
            <w:pPr>
              <w:spacing w:after="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highlight w:val="yellow"/>
                <w:rtl w:val="0"/>
              </w:rPr>
              <w:t xml:space="preserve">at least 98% at all times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58">
            <w:pPr>
              <w:spacing w:after="12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59">
            <w:pPr>
              <w:spacing w:after="120" w:lineRule="auto"/>
              <w:ind w:left="95" w:firstLine="0"/>
              <w:rPr>
                <w:rFonts w:ascii="Arial" w:cs="Arial" w:eastAsia="Arial" w:hAnsi="Arial"/>
                <w:sz w:val="24"/>
                <w:szCs w:val="24"/>
              </w:rPr>
            </w:pPr>
            <w:r w:rsidDel="00000000" w:rsidR="00000000" w:rsidRPr="00000000">
              <w:rPr>
                <w:rFonts w:ascii="Arial" w:cs="Arial" w:eastAsia="Arial" w:hAnsi="Arial"/>
                <w:highlight w:val="yellow"/>
                <w:rtl w:val="0"/>
              </w:rPr>
              <w:t xml:space="preserve">[  ]</w:t>
            </w:r>
            <w:r w:rsidDel="00000000" w:rsidR="00000000" w:rsidRPr="00000000">
              <w:rPr>
                <w:rtl w:val="0"/>
              </w:rPr>
            </w:r>
          </w:p>
        </w:tc>
        <w:tc>
          <w:tcPr/>
          <w:p w:rsidR="00000000" w:rsidDel="00000000" w:rsidP="00000000" w:rsidRDefault="00000000" w:rsidRPr="00000000" w14:paraId="0000005A">
            <w:pPr>
              <w:spacing w:after="120" w:lineRule="auto"/>
              <w:ind w:left="9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highlight w:val="yellow"/>
                <w:rtl w:val="0"/>
              </w:rPr>
              <w:t xml:space="preserve">0.5% Service Credit gained for each percentage under the specified Service Level Performance Measure</w:t>
            </w: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05B">
            <w:pPr>
              <w:spacing w:after="120" w:lineRule="auto"/>
              <w:ind w:left="95" w:firstLine="0"/>
              <w:rPr>
                <w:rFonts w:ascii="Arial" w:cs="Arial" w:eastAsia="Arial" w:hAnsi="Arial"/>
                <w:sz w:val="24"/>
                <w:szCs w:val="24"/>
              </w:rPr>
            </w:pPr>
            <w:r w:rsidDel="00000000" w:rsidR="00000000" w:rsidRPr="00000000">
              <w:rPr>
                <w:rFonts w:ascii="Arial" w:cs="Arial" w:eastAsia="Arial" w:hAnsi="Arial"/>
                <w:rtl w:val="0"/>
              </w:rPr>
              <w:t xml:space="preserve">[Yes/No]</w:t>
            </w:r>
            <w:r w:rsidDel="00000000" w:rsidR="00000000" w:rsidRPr="00000000">
              <w:rPr>
                <w:rtl w:val="0"/>
              </w:rPr>
            </w:r>
          </w:p>
        </w:tc>
      </w:tr>
      <w:tr>
        <w:trPr>
          <w:cantSplit w:val="0"/>
          <w:trHeight w:val="1165" w:hRule="atLeast"/>
          <w:tblHeader w:val="0"/>
        </w:trPr>
        <w:tc>
          <w:tcPr/>
          <w:p w:rsidR="00000000" w:rsidDel="00000000" w:rsidP="00000000" w:rsidRDefault="00000000" w:rsidRPr="00000000" w14:paraId="0000005C">
            <w:pPr>
              <w:spacing w:after="120" w:lineRule="auto"/>
              <w:ind w:left="6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[Definition]</w:t>
            </w:r>
          </w:p>
        </w:tc>
        <w:tc>
          <w:tcPr/>
          <w:p w:rsidR="00000000" w:rsidDel="00000000" w:rsidP="00000000" w:rsidRDefault="00000000" w:rsidRPr="00000000" w14:paraId="0000005D">
            <w:pPr>
              <w:spacing w:after="120" w:lineRule="auto"/>
              <w:ind w:left="95" w:firstLine="0"/>
              <w:rPr>
                <w:rFonts w:ascii="Arial" w:cs="Arial" w:eastAsia="Arial" w:hAnsi="Arial"/>
                <w:sz w:val="24"/>
                <w:szCs w:val="24"/>
              </w:rPr>
            </w:pPr>
            <w:r w:rsidDel="00000000" w:rsidR="00000000" w:rsidRPr="00000000">
              <w:rPr>
                <w:rFonts w:ascii="Arial" w:cs="Arial" w:eastAsia="Arial" w:hAnsi="Arial"/>
                <w:highlight w:val="yellow"/>
                <w:rtl w:val="0"/>
              </w:rPr>
              <w:t xml:space="preserve">[  ]</w:t>
            </w:r>
            <w:r w:rsidDel="00000000" w:rsidR="00000000" w:rsidRPr="00000000">
              <w:rPr>
                <w:rtl w:val="0"/>
              </w:rPr>
            </w:r>
          </w:p>
        </w:tc>
        <w:tc>
          <w:tcPr/>
          <w:p w:rsidR="00000000" w:rsidDel="00000000" w:rsidP="00000000" w:rsidRDefault="00000000" w:rsidRPr="00000000" w14:paraId="0000005E">
            <w:pPr>
              <w:spacing w:after="120" w:lineRule="auto"/>
              <w:rPr>
                <w:rFonts w:ascii="Arial" w:cs="Arial" w:eastAsia="Arial" w:hAnsi="Arial"/>
                <w:sz w:val="24"/>
                <w:szCs w:val="24"/>
              </w:rPr>
            </w:pPr>
            <w:r w:rsidDel="00000000" w:rsidR="00000000" w:rsidRPr="00000000">
              <w:rPr>
                <w:rFonts w:ascii="Arial" w:cs="Arial" w:eastAsia="Arial" w:hAnsi="Arial"/>
                <w:highlight w:val="yellow"/>
                <w:rtl w:val="0"/>
              </w:rPr>
              <w:t xml:space="preserve">[  ]</w:t>
            </w:r>
            <w:r w:rsidDel="00000000" w:rsidR="00000000" w:rsidRPr="00000000">
              <w:rPr>
                <w:rtl w:val="0"/>
              </w:rPr>
            </w:r>
          </w:p>
        </w:tc>
        <w:tc>
          <w:tcPr/>
          <w:p w:rsidR="00000000" w:rsidDel="00000000" w:rsidP="00000000" w:rsidRDefault="00000000" w:rsidRPr="00000000" w14:paraId="0000005F">
            <w:pPr>
              <w:spacing w:after="120" w:lineRule="auto"/>
              <w:ind w:left="95" w:firstLine="0"/>
              <w:rPr>
                <w:rFonts w:ascii="Arial" w:cs="Arial" w:eastAsia="Arial" w:hAnsi="Arial"/>
                <w:sz w:val="24"/>
                <w:szCs w:val="24"/>
              </w:rPr>
            </w:pPr>
            <w:r w:rsidDel="00000000" w:rsidR="00000000" w:rsidRPr="00000000">
              <w:rPr>
                <w:rFonts w:ascii="Arial" w:cs="Arial" w:eastAsia="Arial" w:hAnsi="Arial"/>
                <w:highlight w:val="yellow"/>
                <w:rtl w:val="0"/>
              </w:rPr>
              <w:t xml:space="preserve">[  ]</w:t>
            </w:r>
            <w:r w:rsidDel="00000000" w:rsidR="00000000" w:rsidRPr="00000000">
              <w:rPr>
                <w:rtl w:val="0"/>
              </w:rPr>
            </w:r>
          </w:p>
        </w:tc>
        <w:tc>
          <w:tcPr/>
          <w:p w:rsidR="00000000" w:rsidDel="00000000" w:rsidP="00000000" w:rsidRDefault="00000000" w:rsidRPr="00000000" w14:paraId="00000060">
            <w:pPr>
              <w:spacing w:after="120" w:lineRule="auto"/>
              <w:ind w:left="95" w:firstLine="0"/>
              <w:rPr>
                <w:rFonts w:ascii="Arial" w:cs="Arial" w:eastAsia="Arial" w:hAnsi="Arial"/>
                <w:sz w:val="24"/>
                <w:szCs w:val="24"/>
              </w:rPr>
            </w:pPr>
            <w:r w:rsidDel="00000000" w:rsidR="00000000" w:rsidRPr="00000000">
              <w:rPr>
                <w:rFonts w:ascii="Arial" w:cs="Arial" w:eastAsia="Arial" w:hAnsi="Arial"/>
                <w:highlight w:val="yellow"/>
                <w:rtl w:val="0"/>
              </w:rPr>
              <w:t xml:space="preserve">[  ]</w:t>
            </w:r>
            <w:r w:rsidDel="00000000" w:rsidR="00000000" w:rsidRPr="00000000">
              <w:rPr>
                <w:rtl w:val="0"/>
              </w:rPr>
            </w:r>
          </w:p>
        </w:tc>
        <w:tc>
          <w:tcPr/>
          <w:p w:rsidR="00000000" w:rsidDel="00000000" w:rsidP="00000000" w:rsidRDefault="00000000" w:rsidRPr="00000000" w14:paraId="00000061">
            <w:pPr>
              <w:spacing w:after="120" w:lineRule="auto"/>
              <w:ind w:left="95" w:firstLine="0"/>
              <w:rPr>
                <w:rFonts w:ascii="Arial" w:cs="Arial" w:eastAsia="Arial" w:hAnsi="Arial"/>
              </w:rPr>
            </w:pPr>
            <w:r w:rsidDel="00000000" w:rsidR="00000000" w:rsidRPr="00000000">
              <w:rPr>
                <w:rFonts w:ascii="Arial" w:cs="Arial" w:eastAsia="Arial" w:hAnsi="Arial"/>
                <w:rtl w:val="0"/>
              </w:rPr>
              <w:t xml:space="preserve">[Yes/No]</w:t>
            </w:r>
          </w:p>
        </w:tc>
      </w:tr>
      <w:tr>
        <w:trPr>
          <w:cantSplit w:val="0"/>
          <w:trHeight w:val="1474" w:hRule="atLeast"/>
          <w:tblHeader w:val="0"/>
        </w:trPr>
        <w:tc>
          <w:tcPr/>
          <w:p w:rsidR="00000000" w:rsidDel="00000000" w:rsidP="00000000" w:rsidRDefault="00000000" w:rsidRPr="00000000" w14:paraId="00000062">
            <w:pPr>
              <w:spacing w:after="120" w:lineRule="auto"/>
              <w:ind w:left="61" w:firstLine="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highlight w:val="yellow"/>
                <w:rtl w:val="0"/>
              </w:rPr>
              <w:t xml:space="preserve">Social Value  1]</w:t>
            </w:r>
            <w:r w:rsidDel="00000000" w:rsidR="00000000" w:rsidRPr="00000000">
              <w:rPr>
                <w:rtl w:val="0"/>
              </w:rPr>
            </w:r>
          </w:p>
        </w:tc>
        <w:tc>
          <w:tcPr/>
          <w:p w:rsidR="00000000" w:rsidDel="00000000" w:rsidP="00000000" w:rsidRDefault="00000000" w:rsidRPr="00000000" w14:paraId="00000063">
            <w:pPr>
              <w:spacing w:after="120" w:lineRule="auto"/>
              <w:ind w:left="95" w:firstLine="0"/>
              <w:rPr>
                <w:rFonts w:ascii="Arial" w:cs="Arial" w:eastAsia="Arial" w:hAnsi="Arial"/>
                <w:highlight w:val="yellow"/>
              </w:rPr>
            </w:pPr>
            <w:r w:rsidDel="00000000" w:rsidR="00000000" w:rsidRPr="00000000">
              <w:rPr>
                <w:rFonts w:ascii="Arial" w:cs="Arial" w:eastAsia="Arial" w:hAnsi="Arial"/>
                <w:highlight w:val="yellow"/>
                <w:rtl w:val="0"/>
              </w:rPr>
              <w:t xml:space="preserve">[  ]</w:t>
            </w:r>
          </w:p>
        </w:tc>
        <w:tc>
          <w:tcPr/>
          <w:p w:rsidR="00000000" w:rsidDel="00000000" w:rsidP="00000000" w:rsidRDefault="00000000" w:rsidRPr="00000000" w14:paraId="00000064">
            <w:pPr>
              <w:spacing w:after="120" w:lineRule="auto"/>
              <w:rPr>
                <w:rFonts w:ascii="Arial" w:cs="Arial" w:eastAsia="Arial" w:hAnsi="Arial"/>
                <w:highlight w:val="yellow"/>
              </w:rPr>
            </w:pPr>
            <w:r w:rsidDel="00000000" w:rsidR="00000000" w:rsidRPr="00000000">
              <w:rPr>
                <w:rFonts w:ascii="Arial" w:cs="Arial" w:eastAsia="Arial" w:hAnsi="Arial"/>
                <w:highlight w:val="yellow"/>
                <w:rtl w:val="0"/>
              </w:rPr>
              <w:t xml:space="preserve">[  ]</w:t>
            </w:r>
          </w:p>
        </w:tc>
        <w:tc>
          <w:tcPr/>
          <w:p w:rsidR="00000000" w:rsidDel="00000000" w:rsidP="00000000" w:rsidRDefault="00000000" w:rsidRPr="00000000" w14:paraId="00000065">
            <w:pPr>
              <w:spacing w:after="120" w:lineRule="auto"/>
              <w:ind w:left="95" w:firstLine="0"/>
              <w:rPr>
                <w:rFonts w:ascii="Arial" w:cs="Arial" w:eastAsia="Arial" w:hAnsi="Arial"/>
                <w:highlight w:val="yellow"/>
              </w:rPr>
            </w:pPr>
            <w:r w:rsidDel="00000000" w:rsidR="00000000" w:rsidRPr="00000000">
              <w:rPr>
                <w:rFonts w:ascii="Arial" w:cs="Arial" w:eastAsia="Arial" w:hAnsi="Arial"/>
                <w:highlight w:val="yellow"/>
                <w:rtl w:val="0"/>
              </w:rPr>
              <w:t xml:space="preserve">[  ]</w:t>
            </w:r>
          </w:p>
        </w:tc>
        <w:tc>
          <w:tcPr/>
          <w:p w:rsidR="00000000" w:rsidDel="00000000" w:rsidP="00000000" w:rsidRDefault="00000000" w:rsidRPr="00000000" w14:paraId="00000066">
            <w:pPr>
              <w:spacing w:after="120" w:lineRule="auto"/>
              <w:ind w:left="95" w:firstLine="0"/>
              <w:rPr>
                <w:rFonts w:ascii="Arial" w:cs="Arial" w:eastAsia="Arial" w:hAnsi="Arial"/>
                <w:highlight w:val="yellow"/>
              </w:rPr>
            </w:pPr>
            <w:r w:rsidDel="00000000" w:rsidR="00000000" w:rsidRPr="00000000">
              <w:rPr>
                <w:rFonts w:ascii="Arial" w:cs="Arial" w:eastAsia="Arial" w:hAnsi="Arial"/>
                <w:highlight w:val="yellow"/>
                <w:rtl w:val="0"/>
              </w:rPr>
              <w:t xml:space="preserve">[  ]</w:t>
            </w:r>
          </w:p>
        </w:tc>
        <w:tc>
          <w:tcPr/>
          <w:p w:rsidR="00000000" w:rsidDel="00000000" w:rsidP="00000000" w:rsidRDefault="00000000" w:rsidRPr="00000000" w14:paraId="00000067">
            <w:pPr>
              <w:spacing w:after="120" w:lineRule="auto"/>
              <w:ind w:left="95" w:firstLine="0"/>
              <w:rPr>
                <w:rFonts w:ascii="Arial" w:cs="Arial" w:eastAsia="Arial" w:hAnsi="Arial"/>
              </w:rPr>
            </w:pPr>
            <w:r w:rsidDel="00000000" w:rsidR="00000000" w:rsidRPr="00000000">
              <w:rPr>
                <w:rFonts w:ascii="Arial" w:cs="Arial" w:eastAsia="Arial" w:hAnsi="Arial"/>
                <w:rtl w:val="0"/>
              </w:rPr>
              <w:t xml:space="preserve">[Yes/No]</w:t>
            </w:r>
          </w:p>
        </w:tc>
      </w:tr>
      <w:tr>
        <w:trPr>
          <w:cantSplit w:val="0"/>
          <w:trHeight w:val="1474" w:hRule="atLeast"/>
          <w:tblHeader w:val="0"/>
        </w:trPr>
        <w:tc>
          <w:tcPr/>
          <w:p w:rsidR="00000000" w:rsidDel="00000000" w:rsidP="00000000" w:rsidRDefault="00000000" w:rsidRPr="00000000" w14:paraId="00000068">
            <w:pPr>
              <w:spacing w:after="120" w:lineRule="auto"/>
              <w:ind w:left="61" w:firstLine="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highlight w:val="yellow"/>
                <w:rtl w:val="0"/>
              </w:rPr>
              <w:t xml:space="preserve">Social Value  2]</w:t>
            </w:r>
            <w:r w:rsidDel="00000000" w:rsidR="00000000" w:rsidRPr="00000000">
              <w:rPr>
                <w:rtl w:val="0"/>
              </w:rPr>
            </w:r>
          </w:p>
        </w:tc>
        <w:tc>
          <w:tcPr/>
          <w:p w:rsidR="00000000" w:rsidDel="00000000" w:rsidP="00000000" w:rsidRDefault="00000000" w:rsidRPr="00000000" w14:paraId="00000069">
            <w:pPr>
              <w:spacing w:after="120" w:lineRule="auto"/>
              <w:ind w:left="95" w:firstLine="0"/>
              <w:rPr>
                <w:rFonts w:ascii="Arial" w:cs="Arial" w:eastAsia="Arial" w:hAnsi="Arial"/>
                <w:highlight w:val="yellow"/>
              </w:rPr>
            </w:pPr>
            <w:r w:rsidDel="00000000" w:rsidR="00000000" w:rsidRPr="00000000">
              <w:rPr>
                <w:rFonts w:ascii="Arial" w:cs="Arial" w:eastAsia="Arial" w:hAnsi="Arial"/>
                <w:highlight w:val="yellow"/>
                <w:rtl w:val="0"/>
              </w:rPr>
              <w:t xml:space="preserve">[  ]</w:t>
            </w:r>
          </w:p>
        </w:tc>
        <w:tc>
          <w:tcPr/>
          <w:p w:rsidR="00000000" w:rsidDel="00000000" w:rsidP="00000000" w:rsidRDefault="00000000" w:rsidRPr="00000000" w14:paraId="0000006A">
            <w:pPr>
              <w:spacing w:after="120" w:lineRule="auto"/>
              <w:rPr>
                <w:rFonts w:ascii="Arial" w:cs="Arial" w:eastAsia="Arial" w:hAnsi="Arial"/>
                <w:highlight w:val="yellow"/>
              </w:rPr>
            </w:pPr>
            <w:r w:rsidDel="00000000" w:rsidR="00000000" w:rsidRPr="00000000">
              <w:rPr>
                <w:rFonts w:ascii="Arial" w:cs="Arial" w:eastAsia="Arial" w:hAnsi="Arial"/>
                <w:highlight w:val="yellow"/>
                <w:rtl w:val="0"/>
              </w:rPr>
              <w:t xml:space="preserve">[  ]</w:t>
            </w:r>
          </w:p>
        </w:tc>
        <w:tc>
          <w:tcPr/>
          <w:p w:rsidR="00000000" w:rsidDel="00000000" w:rsidP="00000000" w:rsidRDefault="00000000" w:rsidRPr="00000000" w14:paraId="0000006B">
            <w:pPr>
              <w:spacing w:after="120" w:lineRule="auto"/>
              <w:ind w:left="95" w:firstLine="0"/>
              <w:rPr>
                <w:rFonts w:ascii="Arial" w:cs="Arial" w:eastAsia="Arial" w:hAnsi="Arial"/>
                <w:highlight w:val="yellow"/>
              </w:rPr>
            </w:pPr>
            <w:r w:rsidDel="00000000" w:rsidR="00000000" w:rsidRPr="00000000">
              <w:rPr>
                <w:rFonts w:ascii="Arial" w:cs="Arial" w:eastAsia="Arial" w:hAnsi="Arial"/>
                <w:highlight w:val="yellow"/>
                <w:rtl w:val="0"/>
              </w:rPr>
              <w:t xml:space="preserve">[  ]</w:t>
            </w:r>
          </w:p>
        </w:tc>
        <w:tc>
          <w:tcPr/>
          <w:p w:rsidR="00000000" w:rsidDel="00000000" w:rsidP="00000000" w:rsidRDefault="00000000" w:rsidRPr="00000000" w14:paraId="0000006C">
            <w:pPr>
              <w:spacing w:after="120" w:lineRule="auto"/>
              <w:ind w:left="95" w:firstLine="0"/>
              <w:rPr>
                <w:rFonts w:ascii="Arial" w:cs="Arial" w:eastAsia="Arial" w:hAnsi="Arial"/>
                <w:highlight w:val="yellow"/>
              </w:rPr>
            </w:pPr>
            <w:r w:rsidDel="00000000" w:rsidR="00000000" w:rsidRPr="00000000">
              <w:rPr>
                <w:rFonts w:ascii="Arial" w:cs="Arial" w:eastAsia="Arial" w:hAnsi="Arial"/>
                <w:highlight w:val="yellow"/>
                <w:rtl w:val="0"/>
              </w:rPr>
              <w:t xml:space="preserve">[  ]</w:t>
            </w:r>
          </w:p>
        </w:tc>
        <w:tc>
          <w:tcPr/>
          <w:p w:rsidR="00000000" w:rsidDel="00000000" w:rsidP="00000000" w:rsidRDefault="00000000" w:rsidRPr="00000000" w14:paraId="0000006D">
            <w:pPr>
              <w:spacing w:after="120" w:lineRule="auto"/>
              <w:ind w:left="95" w:firstLine="0"/>
              <w:rPr>
                <w:rFonts w:ascii="Arial" w:cs="Arial" w:eastAsia="Arial" w:hAnsi="Arial"/>
              </w:rPr>
            </w:pPr>
            <w:r w:rsidDel="00000000" w:rsidR="00000000" w:rsidRPr="00000000">
              <w:rPr>
                <w:rFonts w:ascii="Arial" w:cs="Arial" w:eastAsia="Arial" w:hAnsi="Arial"/>
                <w:rtl w:val="0"/>
              </w:rPr>
              <w:t xml:space="preserve">[Yes/No]</w:t>
            </w:r>
          </w:p>
        </w:tc>
      </w:tr>
      <w:tr>
        <w:trPr>
          <w:cantSplit w:val="0"/>
          <w:trHeight w:val="1474" w:hRule="atLeast"/>
          <w:tblHeader w:val="0"/>
        </w:trPr>
        <w:tc>
          <w:tcPr/>
          <w:p w:rsidR="00000000" w:rsidDel="00000000" w:rsidP="00000000" w:rsidRDefault="00000000" w:rsidRPr="00000000" w14:paraId="0000006E">
            <w:pPr>
              <w:spacing w:after="120" w:lineRule="auto"/>
              <w:ind w:left="61" w:firstLine="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highlight w:val="yellow"/>
                <w:rtl w:val="0"/>
              </w:rPr>
              <w:t xml:space="preserve">Social Value I 3]</w:t>
            </w:r>
            <w:r w:rsidDel="00000000" w:rsidR="00000000" w:rsidRPr="00000000">
              <w:rPr>
                <w:rtl w:val="0"/>
              </w:rPr>
            </w:r>
          </w:p>
        </w:tc>
        <w:tc>
          <w:tcPr/>
          <w:p w:rsidR="00000000" w:rsidDel="00000000" w:rsidP="00000000" w:rsidRDefault="00000000" w:rsidRPr="00000000" w14:paraId="0000006F">
            <w:pPr>
              <w:spacing w:after="120" w:lineRule="auto"/>
              <w:ind w:left="95" w:firstLine="0"/>
              <w:rPr>
                <w:rFonts w:ascii="Arial" w:cs="Arial" w:eastAsia="Arial" w:hAnsi="Arial"/>
                <w:highlight w:val="yellow"/>
              </w:rPr>
            </w:pPr>
            <w:r w:rsidDel="00000000" w:rsidR="00000000" w:rsidRPr="00000000">
              <w:rPr>
                <w:rFonts w:ascii="Arial" w:cs="Arial" w:eastAsia="Arial" w:hAnsi="Arial"/>
                <w:highlight w:val="yellow"/>
                <w:rtl w:val="0"/>
              </w:rPr>
              <w:t xml:space="preserve">[  ]</w:t>
            </w:r>
          </w:p>
        </w:tc>
        <w:tc>
          <w:tcPr/>
          <w:p w:rsidR="00000000" w:rsidDel="00000000" w:rsidP="00000000" w:rsidRDefault="00000000" w:rsidRPr="00000000" w14:paraId="00000070">
            <w:pPr>
              <w:spacing w:after="120" w:lineRule="auto"/>
              <w:rPr>
                <w:rFonts w:ascii="Arial" w:cs="Arial" w:eastAsia="Arial" w:hAnsi="Arial"/>
                <w:highlight w:val="yellow"/>
              </w:rPr>
            </w:pPr>
            <w:r w:rsidDel="00000000" w:rsidR="00000000" w:rsidRPr="00000000">
              <w:rPr>
                <w:rFonts w:ascii="Arial" w:cs="Arial" w:eastAsia="Arial" w:hAnsi="Arial"/>
                <w:highlight w:val="yellow"/>
                <w:rtl w:val="0"/>
              </w:rPr>
              <w:t xml:space="preserve">[  ]</w:t>
            </w:r>
          </w:p>
        </w:tc>
        <w:tc>
          <w:tcPr/>
          <w:p w:rsidR="00000000" w:rsidDel="00000000" w:rsidP="00000000" w:rsidRDefault="00000000" w:rsidRPr="00000000" w14:paraId="00000071">
            <w:pPr>
              <w:spacing w:after="120" w:lineRule="auto"/>
              <w:ind w:left="95" w:firstLine="0"/>
              <w:rPr>
                <w:rFonts w:ascii="Arial" w:cs="Arial" w:eastAsia="Arial" w:hAnsi="Arial"/>
                <w:highlight w:val="yellow"/>
              </w:rPr>
            </w:pPr>
            <w:r w:rsidDel="00000000" w:rsidR="00000000" w:rsidRPr="00000000">
              <w:rPr>
                <w:rFonts w:ascii="Arial" w:cs="Arial" w:eastAsia="Arial" w:hAnsi="Arial"/>
                <w:highlight w:val="yellow"/>
                <w:rtl w:val="0"/>
              </w:rPr>
              <w:t xml:space="preserve">[  ]</w:t>
            </w:r>
          </w:p>
        </w:tc>
        <w:tc>
          <w:tcPr/>
          <w:p w:rsidR="00000000" w:rsidDel="00000000" w:rsidP="00000000" w:rsidRDefault="00000000" w:rsidRPr="00000000" w14:paraId="00000072">
            <w:pPr>
              <w:spacing w:after="120" w:lineRule="auto"/>
              <w:ind w:left="95" w:firstLine="0"/>
              <w:rPr>
                <w:rFonts w:ascii="Arial" w:cs="Arial" w:eastAsia="Arial" w:hAnsi="Arial"/>
                <w:highlight w:val="yellow"/>
              </w:rPr>
            </w:pPr>
            <w:r w:rsidDel="00000000" w:rsidR="00000000" w:rsidRPr="00000000">
              <w:rPr>
                <w:rFonts w:ascii="Arial" w:cs="Arial" w:eastAsia="Arial" w:hAnsi="Arial"/>
                <w:highlight w:val="yellow"/>
                <w:rtl w:val="0"/>
              </w:rPr>
              <w:t xml:space="preserve">[  ]</w:t>
            </w:r>
          </w:p>
        </w:tc>
        <w:tc>
          <w:tcPr/>
          <w:p w:rsidR="00000000" w:rsidDel="00000000" w:rsidP="00000000" w:rsidRDefault="00000000" w:rsidRPr="00000000" w14:paraId="00000073">
            <w:pPr>
              <w:spacing w:after="120" w:lineRule="auto"/>
              <w:ind w:left="95" w:firstLine="0"/>
              <w:rPr>
                <w:rFonts w:ascii="Arial" w:cs="Arial" w:eastAsia="Arial" w:hAnsi="Arial"/>
              </w:rPr>
            </w:pPr>
            <w:r w:rsidDel="00000000" w:rsidR="00000000" w:rsidRPr="00000000">
              <w:rPr>
                <w:rFonts w:ascii="Arial" w:cs="Arial" w:eastAsia="Arial" w:hAnsi="Arial"/>
                <w:rtl w:val="0"/>
              </w:rPr>
              <w:t xml:space="preserve">[Yes/No]</w:t>
            </w:r>
          </w:p>
        </w:tc>
      </w:tr>
    </w:tbl>
    <w:p w:rsidR="00000000" w:rsidDel="00000000" w:rsidP="00000000" w:rsidRDefault="00000000" w:rsidRPr="00000000" w14:paraId="00000074">
      <w:pPr>
        <w:ind w:left="709" w:firstLine="0"/>
        <w:rPr>
          <w:rFonts w:ascii="Arial" w:cs="Arial" w:eastAsia="Arial" w:hAnsi="Arial"/>
          <w:sz w:val="24"/>
          <w:szCs w:val="24"/>
          <w:highlight w:val="green"/>
        </w:rPr>
      </w:pPr>
      <w:r w:rsidDel="00000000" w:rsidR="00000000" w:rsidRPr="00000000">
        <w:rPr>
          <w:rtl w:val="0"/>
        </w:rPr>
      </w:r>
    </w:p>
    <w:p w:rsidR="00000000" w:rsidDel="00000000" w:rsidP="00000000" w:rsidRDefault="00000000" w:rsidRPr="00000000" w14:paraId="00000075">
      <w:pPr>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Service Credits shall be calculated on the basis of the following formula:</w:t>
      </w:r>
    </w:p>
    <w:p w:rsidR="00000000" w:rsidDel="00000000" w:rsidP="00000000" w:rsidRDefault="00000000" w:rsidRPr="00000000" w14:paraId="00000076">
      <w:pPr>
        <w:ind w:left="709" w:firstLine="0"/>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[Example:</w:t>
      </w:r>
    </w:p>
    <w:tbl>
      <w:tblPr>
        <w:tblStyle w:val="Table3"/>
        <w:tblW w:w="9026.0" w:type="dxa"/>
        <w:jc w:val="left"/>
        <w:tblLayout w:type="fixed"/>
        <w:tblLook w:val="0000"/>
      </w:tblPr>
      <w:tblGrid>
        <w:gridCol w:w="4375"/>
        <w:gridCol w:w="685"/>
        <w:gridCol w:w="3966"/>
        <w:tblGridChange w:id="0">
          <w:tblGrid>
            <w:gridCol w:w="4375"/>
            <w:gridCol w:w="685"/>
            <w:gridCol w:w="3966"/>
          </w:tblGrid>
        </w:tblGridChange>
      </w:tblGrid>
      <w:tr>
        <w:trPr>
          <w:cantSplit w:val="0"/>
          <w:tblHeader w:val="0"/>
        </w:trPr>
        <w:tc>
          <w:tcPr/>
          <w:p w:rsidR="00000000" w:rsidDel="00000000" w:rsidP="00000000" w:rsidRDefault="00000000" w:rsidRPr="00000000" w14:paraId="00000077">
            <w:pPr>
              <w:ind w:left="56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Formula: x% (Service Level Performance Measure) - y% (actual Service Level performance)  </w:t>
            </w:r>
          </w:p>
        </w:tc>
        <w:tc>
          <w:tcPr/>
          <w:p w:rsidR="00000000" w:rsidDel="00000000" w:rsidP="00000000" w:rsidRDefault="00000000" w:rsidRPr="00000000" w14:paraId="00000078">
            <w:pPr>
              <w:ind w:left="21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079">
            <w:pPr>
              <w:ind w:left="14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of the Charges payable to the Buyer as Service Credits to be deducted from the next Invoice payable by the Buyer</w:t>
            </w:r>
          </w:p>
        </w:tc>
      </w:tr>
      <w:tr>
        <w:trPr>
          <w:cantSplit w:val="0"/>
          <w:tblHeader w:val="0"/>
        </w:trPr>
        <w:tc>
          <w:tcPr/>
          <w:p w:rsidR="00000000" w:rsidDel="00000000" w:rsidP="00000000" w:rsidRDefault="00000000" w:rsidRPr="00000000" w14:paraId="0000007A">
            <w:pPr>
              <w:ind w:left="56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Worked example: 98% (e.g. Service Level Performance Measure requirement for accurate and timely billing Service Level) - 75% (e.g. actual performance achieved against this Service Level in a Service Period) </w:t>
            </w:r>
          </w:p>
          <w:p w:rsidR="00000000" w:rsidDel="00000000" w:rsidP="00000000" w:rsidRDefault="00000000" w:rsidRPr="00000000" w14:paraId="0000007B">
            <w:pPr>
              <w:ind w:left="567" w:firstLine="0"/>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7C">
            <w:pPr>
              <w:ind w:left="21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07D">
            <w:pPr>
              <w:ind w:left="14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23% of the Charges payable to the Buyer as Service Credits to be deducted from the next Invoice payable by the Buyer]</w:t>
            </w:r>
          </w:p>
          <w:p w:rsidR="00000000" w:rsidDel="00000000" w:rsidP="00000000" w:rsidRDefault="00000000" w:rsidRPr="00000000" w14:paraId="0000007E">
            <w:pPr>
              <w:ind w:left="145" w:firstLine="0"/>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7F">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Part B: Performance Monitoring </w:t>
      </w:r>
    </w:p>
    <w:p w:rsidR="00000000" w:rsidDel="00000000" w:rsidP="00000000" w:rsidRDefault="00000000" w:rsidRPr="00000000" w14:paraId="000000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Performance Monitoring and Performance Review</w:t>
      </w:r>
    </w:p>
    <w:p w:rsidR="00000000" w:rsidDel="00000000" w:rsidP="00000000" w:rsidRDefault="00000000" w:rsidRPr="00000000" w14:paraId="0000008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rsidR="00000000" w:rsidDel="00000000" w:rsidP="00000000" w:rsidRDefault="00000000" w:rsidRPr="00000000" w14:paraId="00000082">
      <w:pPr>
        <w:keepNext w:val="1"/>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provide the Buyer with performance monitoring reports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Performance Monitoring Reports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accordance with the process and timescales agreed pursuant to paragraph 1.1 of Part B of this Schedule which shall contain, as a minimum, the following information in respect of the relevant Service Period just ended:</w:t>
      </w:r>
    </w:p>
    <w:p w:rsidR="00000000" w:rsidDel="00000000" w:rsidP="00000000" w:rsidRDefault="00000000" w:rsidRPr="00000000" w14:paraId="0000008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each Service Level, the actual performance achieved over the Service Level for the relevant Service Period;</w:t>
      </w:r>
    </w:p>
    <w:p w:rsidR="00000000" w:rsidDel="00000000" w:rsidP="00000000" w:rsidRDefault="00000000" w:rsidRPr="00000000" w14:paraId="0000008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summary of all failures to achieve Service Levels that occurred during that Service Period;</w:t>
      </w:r>
    </w:p>
    <w:p w:rsidR="00000000" w:rsidDel="00000000" w:rsidP="00000000" w:rsidRDefault="00000000" w:rsidRPr="00000000" w14:paraId="0000008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details of any Critical Service Level Failures;</w:t>
      </w:r>
    </w:p>
    <w:p w:rsidR="00000000" w:rsidDel="00000000" w:rsidP="00000000" w:rsidRDefault="00000000" w:rsidRPr="00000000" w14:paraId="00000086">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any repeat failures, actions taken to resolve the underlying cause and prevent recurrence;</w:t>
      </w:r>
    </w:p>
    <w:p w:rsidR="00000000" w:rsidDel="00000000" w:rsidP="00000000" w:rsidRDefault="00000000" w:rsidRPr="00000000" w14:paraId="0000008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Service Credits to be applied in respect of the relevant period indicating the failures and Service Levels to which the Service Credits relate; and</w:t>
      </w:r>
    </w:p>
    <w:p w:rsidR="00000000" w:rsidDel="00000000" w:rsidP="00000000" w:rsidRDefault="00000000" w:rsidRPr="00000000" w14:paraId="0000008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such other details as the Buyer may reasonably require from time to time.</w:t>
      </w:r>
    </w:p>
    <w:p w:rsidR="00000000" w:rsidDel="00000000" w:rsidP="00000000" w:rsidRDefault="00000000" w:rsidRPr="00000000" w14:paraId="00000089">
      <w:pPr>
        <w:keepNext w:val="1"/>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shall attend meetings to discuss Performance Monitoring Reports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Performance Review Meetings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on a Monthly basis. The Performance Review Meetings will be the forum for the review by the Supplier and the Buyer of the Performance Monitoring Reports.  The Performance Review Meetings shall:</w:t>
      </w:r>
    </w:p>
    <w:p w:rsidR="00000000" w:rsidDel="00000000" w:rsidP="00000000" w:rsidRDefault="00000000" w:rsidRPr="00000000" w14:paraId="0000008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take place within one (1) week of the Performance Monitoring Reports being issued by the Supplier at such location and time (within normal business hours) as the Buyer shall reasonably require;</w:t>
      </w:r>
    </w:p>
    <w:p w:rsidR="00000000" w:rsidDel="00000000" w:rsidP="00000000" w:rsidRDefault="00000000" w:rsidRPr="00000000" w14:paraId="0000008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attended by the Supplier's Representative and the Buyer’s Representative; and</w:t>
      </w:r>
    </w:p>
    <w:p w:rsidR="00000000" w:rsidDel="00000000" w:rsidP="00000000" w:rsidRDefault="00000000" w:rsidRPr="00000000" w14:paraId="0000008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fully minuted by the Supplier and the minutes will be circulated by the Supplier to all attendees at the relevant meeting and also to the Buyer’s Representative and any other recipients agreed at the relevant meeting.  </w:t>
      </w:r>
    </w:p>
    <w:p w:rsidR="00000000" w:rsidDel="00000000" w:rsidP="00000000" w:rsidRDefault="00000000" w:rsidRPr="00000000" w14:paraId="0000008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minutes of the preceding Month's Performance Review Meeting will be agreed and signed by both the Supplier's Representative and the Buyer’s Representative at each meeting.</w:t>
      </w:r>
    </w:p>
    <w:p w:rsidR="00000000" w:rsidDel="00000000" w:rsidP="00000000" w:rsidRDefault="00000000" w:rsidRPr="00000000" w14:paraId="0000008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provide to the Buyer such documentation as the Buyer may reasonably require in order to verify the level of the performance by the Supplier and the calculations of the amount of Service Credits for any specified Service Period.</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40"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Satisfaction Surveys</w:t>
      </w:r>
    </w:p>
    <w:p w:rsidR="00000000" w:rsidDel="00000000" w:rsidP="00000000" w:rsidRDefault="00000000" w:rsidRPr="00000000" w14:paraId="0000009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36" w:right="0" w:hanging="576"/>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tl w:val="0"/>
        </w:rPr>
      </w:r>
    </w:p>
    <w:sectPr>
      <w:headerReference r:id="rId8" w:type="default"/>
      <w:footerReference r:id="rId9" w:type="default"/>
      <w:footerReference r:id="rId10"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tabs>
        <w:tab w:val="center" w:leader="none" w:pos="4513"/>
        <w:tab w:val="right" w:leader="none" w:pos="9026"/>
      </w:tabs>
      <w:spacing w:after="0" w:line="240" w:lineRule="auto"/>
      <w:jc w:val="both"/>
      <w:rPr/>
    </w:pP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Framework Ref: RM6353 Tyres, Glass and Telemat</w:t>
    </w:r>
    <w:r w:rsidDel="00000000" w:rsidR="00000000" w:rsidRPr="00000000">
      <w:rPr>
        <w:rFonts w:ascii="Arial" w:cs="Arial" w:eastAsia="Arial" w:hAnsi="Arial"/>
        <w:sz w:val="20"/>
        <w:szCs w:val="20"/>
        <w:rtl w:val="0"/>
      </w:rPr>
      <w:t xml:space="preserve">ics</w:t>
    </w: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v3.4</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tabs>
        <w:tab w:val="center" w:leader="none" w:pos="4513"/>
        <w:tab w:val="right" w:leader="none" w:pos="9026"/>
      </w:tabs>
      <w:spacing w:after="0" w:line="240" w:lineRule="auto"/>
      <w:jc w:val="both"/>
      <w:rPr/>
    </w:pP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Framework Ref: RM</w:t>
      <w:tab/>
      <w:t xml:space="preserve">                                           </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ab/>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 v2.9</w:t>
      <w:tab/>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Call-Off Schedule 14 (Service Levels)</w:t>
    </w: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Ref:</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2023</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1440" w:hanging="72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160" w:hanging="720"/>
      </w:pPr>
      <w:rPr>
        <w:rFonts w:ascii="Calibri" w:cs="Calibri" w:eastAsia="Calibri" w:hAnsi="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720" w:hanging="360"/>
      </w:pPr>
      <w:rPr>
        <w:rFonts w:ascii="Calibri" w:cs="Calibri" w:eastAsia="Calibri" w:hAnsi="Calibri"/>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decimal"/>
      <w:lvlText w:val="%1."/>
      <w:lvlJc w:val="left"/>
      <w:pPr>
        <w:ind w:left="720" w:hanging="72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1440" w:hanging="72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160" w:hanging="720"/>
      </w:pPr>
      <w:rPr>
        <w:rFonts w:ascii="Calibri" w:cs="Calibri" w:eastAsia="Calibri" w:hAnsi="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4">
    <w:lvl w:ilvl="0">
      <w:start w:val="1"/>
      <w:numFmt w:val="decimal"/>
      <w:lvlText w:val="%1."/>
      <w:lvlJc w:val="left"/>
      <w:pPr>
        <w:ind w:left="720" w:hanging="720"/>
      </w:pPr>
      <w:rPr>
        <w:rFonts w:ascii="Calibri" w:cs="Calibri" w:eastAsia="Calibri" w:hAnsi="Calibri"/>
        <w:b w:val="1"/>
        <w:i w:val="0"/>
        <w:smallCaps w:val="0"/>
        <w:strike w:val="0"/>
        <w:color w:val="000000"/>
        <w:sz w:val="22"/>
        <w:szCs w:val="22"/>
        <w:u w:val="none"/>
        <w:vertAlign w:val="baseline"/>
      </w:rPr>
    </w:lvl>
    <w:lvl w:ilvl="1">
      <w:start w:val="1"/>
      <w:numFmt w:val="lowerLetter"/>
      <w:lvlText w:val="%2)"/>
      <w:lvlJc w:val="left"/>
      <w:pPr>
        <w:ind w:left="1440" w:hanging="720"/>
      </w:pPr>
      <w:rPr>
        <w:b w:val="0"/>
        <w:i w:val="0"/>
        <w:smallCaps w:val="0"/>
        <w:strike w:val="0"/>
        <w:color w:val="000000"/>
        <w:sz w:val="22"/>
        <w:szCs w:val="22"/>
        <w:u w:val="none"/>
        <w:vertAlign w:val="baseline"/>
      </w:rPr>
    </w:lvl>
    <w:lvl w:ilvl="2">
      <w:start w:val="1"/>
      <w:numFmt w:val="decimal"/>
      <w:lvlText w:val="%1.2.%3"/>
      <w:lvlJc w:val="left"/>
      <w:pPr>
        <w:ind w:left="2160"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Calibri" w:cs="Times New Roman" w:eastAsia="Calibri" w:hAnsi="Calibri"/>
    </w:rPr>
  </w:style>
  <w:style w:type="paragraph" w:styleId="Heading1">
    <w:name w:val="heading 1"/>
    <w:basedOn w:val="Normal"/>
    <w:next w:val="Normal"/>
    <w:link w:val="Heading1Char"/>
    <w:uiPriority w:val="9"/>
    <w:qFormat w:val="1"/>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link w:val="GPSL1CLAUSEHEADINGChar"/>
    <w:qFormat w:val="1"/>
    <w:pPr>
      <w:numPr>
        <w:numId w:val="1"/>
      </w:numPr>
      <w:tabs>
        <w:tab w:val="left" w:pos="142"/>
      </w:tabs>
      <w:adjustRightInd w:val="0"/>
      <w:spacing w:after="120" w:before="240" w:line="240" w:lineRule="auto"/>
      <w:ind w:left="360" w:hanging="360"/>
      <w:jc w:val="both"/>
      <w:outlineLvl w:val="1"/>
    </w:pPr>
    <w:rPr>
      <w:rFonts w:cs="Arial" w:eastAsia="STZhongsong"/>
      <w:b w:val="1"/>
      <w:caps w:val="1"/>
      <w:lang w:eastAsia="zh-CN"/>
    </w:rPr>
  </w:style>
  <w:style w:type="paragraph" w:styleId="GPSL3numberedclause" w:customStyle="1">
    <w:name w:val="GPS L3 numbered clause"/>
    <w:basedOn w:val="Normal"/>
    <w:link w:val="GPSL3numberedclauseChar"/>
    <w:qFormat w:val="1"/>
    <w:pPr>
      <w:numPr>
        <w:ilvl w:val="2"/>
        <w:numId w:val="1"/>
      </w:numPr>
      <w:adjustRightInd w:val="0"/>
      <w:spacing w:after="120" w:before="120" w:line="240" w:lineRule="auto"/>
      <w:jc w:val="both"/>
    </w:pPr>
    <w:rPr>
      <w:rFonts w:cs="Arial" w:eastAsia="Times New Roman"/>
      <w:lang w:eastAsia="zh-CN"/>
    </w:rPr>
  </w:style>
  <w:style w:type="paragraph" w:styleId="GPSL4numberedclause" w:customStyle="1">
    <w:name w:val="GPS L4 numbered clause"/>
    <w:basedOn w:val="GPSL3numberedclause"/>
    <w:link w:val="GPSL4numberedclauseChar"/>
    <w:qFormat w:val="1"/>
    <w:pPr>
      <w:numPr>
        <w:ilvl w:val="3"/>
      </w:numPr>
      <w:ind w:left="2592" w:hanging="936"/>
    </w:pPr>
  </w:style>
  <w:style w:type="paragraph" w:styleId="GPSL5numberedclause" w:customStyle="1">
    <w:name w:val="GPS L5 numbered clause"/>
    <w:basedOn w:val="GPSL4numberedclause"/>
    <w:link w:val="GPSL5numberedclauseChar"/>
    <w:qFormat w:val="1"/>
    <w:pPr>
      <w:numPr>
        <w:ilvl w:val="4"/>
      </w:numPr>
    </w:pPr>
  </w:style>
  <w:style w:type="paragraph" w:styleId="GPSL2NumberedBoldHeading" w:customStyle="1">
    <w:name w:val="GPS L2 Numbered Bold Heading"/>
    <w:basedOn w:val="Normal"/>
    <w:qFormat w:val="1"/>
    <w:pPr>
      <w:numPr>
        <w:ilvl w:val="1"/>
        <w:numId w:val="1"/>
      </w:numPr>
      <w:adjustRightInd w:val="0"/>
      <w:spacing w:after="120" w:before="120" w:line="240" w:lineRule="auto"/>
      <w:ind w:left="936" w:hanging="576"/>
      <w:jc w:val="both"/>
    </w:pPr>
    <w:rPr>
      <w:rFonts w:cs="Arial" w:eastAsia="Times New Roman"/>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GPSL2numberedclause" w:customStyle="1">
    <w:name w:val="GPS L2 numbered clause"/>
    <w:basedOn w:val="Normal"/>
    <w:link w:val="GPSL2numberedclauseChar1"/>
    <w:qFormat w:val="1"/>
    <w:pPr>
      <w:tabs>
        <w:tab w:val="left" w:pos="1134"/>
      </w:tabs>
      <w:adjustRightInd w:val="0"/>
      <w:spacing w:after="120" w:before="120" w:line="240" w:lineRule="auto"/>
      <w:ind w:left="1134" w:hanging="567"/>
      <w:jc w:val="both"/>
    </w:pPr>
    <w:rPr>
      <w:rFonts w:cs="Arial" w:eastAsia="Times New Roman"/>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4numberedclauseChar" w:customStyle="1">
    <w:name w:val="GPS L4 numbered clause Char"/>
    <w:link w:val="GPSL4numberedclause"/>
    <w:rPr>
      <w:rFonts w:ascii="Calibri" w:cs="Arial" w:eastAsia="Times New Roman" w:hAnsi="Calibri"/>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Calibri" w:hAnsi="Tahoma"/>
      <w:sz w:val="16"/>
      <w:szCs w:val="16"/>
    </w:rPr>
  </w:style>
  <w:style w:type="paragraph" w:styleId="GPSmacrorestart" w:customStyle="1">
    <w:name w:val="GPS macro restart"/>
    <w:basedOn w:val="Normal"/>
    <w:qFormat w:val="1"/>
    <w:pPr>
      <w:overflowPunct w:val="0"/>
      <w:autoSpaceDE w:val="0"/>
      <w:autoSpaceDN w:val="0"/>
      <w:adjustRightInd w:val="0"/>
      <w:spacing w:after="0" w:line="240" w:lineRule="auto"/>
      <w:jc w:val="both"/>
      <w:textAlignment w:val="baseline"/>
    </w:pPr>
    <w:rPr>
      <w:rFonts w:ascii="Arial" w:cs="Arial" w:eastAsia="Times New Roman" w:hAnsi="Arial"/>
      <w:color w:val="ffffff"/>
      <w:sz w:val="16"/>
      <w:szCs w:val="16"/>
    </w:rPr>
  </w:style>
  <w:style w:type="character" w:styleId="GPSL1CLAUSEHEADINGChar" w:customStyle="1">
    <w:name w:val="GPS L1 CLAUSE HEADING Char"/>
    <w:link w:val="GPSL1CLAUSEHEADING"/>
    <w:rPr>
      <w:rFonts w:ascii="Calibri" w:cs="Arial" w:eastAsia="STZhongsong" w:hAnsi="Calibri"/>
      <w:b w:val="1"/>
      <w:caps w:val="1"/>
      <w:lang w:eastAsia="zh-CN"/>
    </w:rPr>
  </w:style>
  <w:style w:type="paragraph" w:styleId="GPSSchTitleandNumber" w:customStyle="1">
    <w:name w:val="GPS Sch Title and Number"/>
    <w:basedOn w:val="Normal"/>
    <w:link w:val="GPSSchTitleandNumberChar"/>
    <w:qFormat w:val="1"/>
    <w:pPr>
      <w:keepNext w:val="1"/>
      <w:adjustRightInd w:val="0"/>
      <w:spacing w:after="240" w:line="240" w:lineRule="auto"/>
      <w:jc w:val="center"/>
      <w:outlineLvl w:val="0"/>
    </w:pPr>
    <w:rPr>
      <w:rFonts w:ascii="Arial Bold"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GPsDefinition" w:customStyle="1">
    <w:name w:val="GPs Definition"/>
    <w:basedOn w:val="Normal"/>
    <w:qFormat w:val="1"/>
    <w:pPr>
      <w:numPr>
        <w:numId w:val="2"/>
      </w:numPr>
      <w:tabs>
        <w:tab w:val="left" w:pos="-9"/>
      </w:tabs>
      <w:overflowPunct w:val="0"/>
      <w:autoSpaceDE w:val="0"/>
      <w:autoSpaceDN w:val="0"/>
      <w:adjustRightInd w:val="0"/>
      <w:spacing w:after="120" w:line="240" w:lineRule="auto"/>
      <w:jc w:val="both"/>
      <w:textAlignment w:val="baseline"/>
    </w:pPr>
    <w:rPr>
      <w:rFonts w:ascii="Arial" w:cs="Arial" w:eastAsia="Times New Roman" w:hAnsi="Arial"/>
    </w:rPr>
  </w:style>
  <w:style w:type="paragraph" w:styleId="GPSDefinitionL2" w:customStyle="1">
    <w:name w:val="GPS Definition L2"/>
    <w:basedOn w:val="GPsDefinition"/>
    <w:qFormat w:val="1"/>
    <w:pPr>
      <w:numPr>
        <w:ilvl w:val="1"/>
      </w:numPr>
      <w:tabs>
        <w:tab w:val="clear" w:pos="-9"/>
        <w:tab w:val="left" w:pos="144"/>
      </w:tabs>
      <w:ind w:hanging="545"/>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SchAnnexname" w:customStyle="1">
    <w:name w:val="GPS Sch Annex name"/>
    <w:basedOn w:val="GPSSchTitleandNumber"/>
    <w:link w:val="GPSSchAnnexnameChar"/>
    <w:qFormat w:val="1"/>
    <w:pPr>
      <w:outlineLvl w:val="1"/>
    </w:pPr>
    <w:rPr>
      <w:rFonts w:ascii="Calibri" w:hAnsi="Calibri"/>
      <w:sz w:val="20"/>
    </w:rPr>
  </w:style>
  <w:style w:type="paragraph" w:styleId="GPSL1SCHEDULEHeading" w:customStyle="1">
    <w:name w:val="GPS L1 SCHEDULE Heading"/>
    <w:basedOn w:val="GPSL1CLAUSEHEADING"/>
    <w:link w:val="GPSL1SCHEDULEHeadingChar"/>
    <w:qFormat w:val="1"/>
    <w:pPr>
      <w:numPr>
        <w:numId w:val="0"/>
      </w:numPr>
      <w:tabs>
        <w:tab w:val="clear" w:pos="142"/>
        <w:tab w:val="left" w:pos="0"/>
      </w:tabs>
      <w:ind w:left="360" w:hanging="360"/>
      <w:outlineLvl w:val="9"/>
    </w:pPr>
  </w:style>
  <w:style w:type="character" w:styleId="GPSSchAnnexnameChar" w:customStyle="1">
    <w:name w:val="GPS Sch Annex name Char"/>
    <w:link w:val="GPSSchAnnexname"/>
    <w:rPr>
      <w:rFonts w:ascii="Calibri" w:cs="Times New Roman" w:eastAsia="STZhongsong" w:hAnsi="Calibri"/>
      <w:b w:val="1"/>
      <w:caps w:val="1"/>
      <w:sz w:val="20"/>
      <w:lang w:eastAsia="zh-CN"/>
    </w:rPr>
  </w:style>
  <w:style w:type="paragraph" w:styleId="GPSSchPart" w:customStyle="1">
    <w:name w:val="GPS Sch Part"/>
    <w:basedOn w:val="GPSSchAnnexname"/>
    <w:link w:val="GPSSchPartChar"/>
    <w:qFormat w:val="1"/>
    <w:pPr>
      <w:outlineLvl w:val="9"/>
    </w:p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character" w:styleId="GPSSchPartChar" w:customStyle="1">
    <w:name w:val="GPS Sch Part Char"/>
    <w:link w:val="GPSSchPart"/>
    <w:rPr>
      <w:rFonts w:ascii="Calibri" w:cs="Times New Roman" w:eastAsia="STZhongsong" w:hAnsi="Calibri"/>
      <w:b w:val="1"/>
      <w:caps w:val="1"/>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styleId="BodyTextIndentChar" w:customStyle="1">
    <w:name w:val="Body Text Indent Char"/>
    <w:basedOn w:val="DefaultParagraphFont"/>
    <w:link w:val="BodyTextIndent"/>
    <w:rPr>
      <w:rFonts w:ascii="Calibri" w:cs="Times New Roman" w:eastAsia="Times New Roman" w:hAnsi="Calibri"/>
      <w:lang w:eastAsia="zh-CN"/>
    </w:rPr>
  </w:style>
  <w:style w:type="character" w:styleId="GPSL5numberedclauseChar" w:customStyle="1">
    <w:name w:val="GPS L5 numbered clause Char"/>
    <w:link w:val="GPSL5numberedclause"/>
    <w:locked w:val="1"/>
    <w:rPr>
      <w:rFonts w:ascii="Calibri" w:cs="Arial" w:eastAsia="Times New Roman" w:hAnsi="Calibri"/>
      <w:lang w:eastAsia="zh-CN"/>
    </w:rPr>
  </w:style>
  <w:style w:type="paragraph" w:styleId="GPSL2Indent" w:customStyle="1">
    <w:name w:val="GPS L2 Indent"/>
    <w:basedOn w:val="Normal"/>
    <w:link w:val="GPSL2IndentChar"/>
    <w:qFormat w:val="1"/>
    <w:pPr>
      <w:tabs>
        <w:tab w:val="left" w:pos="3402"/>
      </w:tabs>
      <w:overflowPunct w:val="0"/>
      <w:autoSpaceDE w:val="0"/>
      <w:autoSpaceDN w:val="0"/>
      <w:adjustRightInd w:val="0"/>
      <w:spacing w:after="220" w:line="240" w:lineRule="auto"/>
      <w:ind w:left="1134"/>
      <w:jc w:val="both"/>
      <w:textAlignment w:val="baseline"/>
    </w:pPr>
    <w:rPr>
      <w:rFonts w:cs="Arial" w:eastAsia="Times New Roman"/>
      <w:szCs w:val="24"/>
    </w:rPr>
  </w:style>
  <w:style w:type="character" w:styleId="GPSL2IndentChar" w:customStyle="1">
    <w:name w:val="GPS L2 Indent Char"/>
    <w:link w:val="GPSL2Indent"/>
    <w:rPr>
      <w:rFonts w:ascii="Calibri" w:cs="Arial" w:eastAsia="Times New Roman" w:hAnsi="Calibri"/>
      <w:szCs w:val="24"/>
    </w:rPr>
  </w:style>
  <w:style w:type="paragraph" w:styleId="GPSDefinitionTerm" w:customStyle="1">
    <w:name w:val="GPS Definition Term"/>
    <w:basedOn w:val="Normal"/>
    <w:qFormat w:val="1"/>
    <w:pPr>
      <w:overflowPunct w:val="0"/>
      <w:autoSpaceDE w:val="0"/>
      <w:autoSpaceDN w:val="0"/>
      <w:adjustRightInd w:val="0"/>
      <w:spacing w:after="120" w:line="240" w:lineRule="auto"/>
      <w:ind w:left="-108"/>
      <w:textAlignment w:val="baseline"/>
    </w:pPr>
    <w:rPr>
      <w:rFonts w:ascii="Arial" w:cs="Arial" w:eastAsia="Times New Roman" w:hAnsi="Arial"/>
      <w:b w:val="1"/>
    </w:rPr>
  </w:style>
  <w:style w:type="table" w:styleId="TableGrid">
    <w:name w:val="Table Grid"/>
    <w:basedOn w:val="TableNormal"/>
    <w:uiPriority w:val="59"/>
    <w:pPr>
      <w:spacing w:after="0" w:line="240" w:lineRule="auto"/>
    </w:pPr>
    <w:rPr>
      <w:rFonts w:ascii="Calibri" w:cs="Times New Roman" w:eastAsia="Calibri" w:hAnsi="Calibri"/>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customStyle="1">
    <w:name w:val="Footnote Text Char"/>
    <w:basedOn w:val="DefaultParagraphFont"/>
    <w:link w:val="FootnoteText"/>
    <w:uiPriority w:val="99"/>
    <w:semiHidden w:val="1"/>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Pr>
      <w:vertAlign w:val="superscript"/>
    </w:rPr>
  </w:style>
  <w:style w:type="character" w:styleId="Heading1Char" w:customStyle="1">
    <w:name w:val="Heading 1 Char"/>
    <w:basedOn w:val="DefaultParagraphFont"/>
    <w:link w:val="Heading1"/>
    <w:uiPriority w:val="9"/>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Pr>
      <w:rFonts w:asciiTheme="majorHAnsi" w:cstheme="majorBidi" w:eastAsiaTheme="majorEastAsia" w:hAnsiTheme="majorHAnsi"/>
      <w:b w:val="1"/>
      <w:bCs w:val="1"/>
      <w:color w:val="4f81bd" w:themeColor="accent1"/>
      <w:sz w:val="26"/>
      <w:szCs w:val="26"/>
    </w:rPr>
  </w:style>
  <w:style w:type="paragraph" w:styleId="DefinitionNumbering1" w:customStyle="1">
    <w:name w:val="Definition Numbering 1"/>
    <w:basedOn w:val="Normal"/>
    <w:pPr>
      <w:adjustRightInd w:val="0"/>
      <w:spacing w:after="240" w:line="240" w:lineRule="auto"/>
      <w:jc w:val="both"/>
      <w:outlineLvl w:val="0"/>
    </w:pPr>
    <w:rPr>
      <w:rFonts w:ascii="Times New Roman" w:eastAsia="STZhongsong" w:hAnsi="Times New Roman"/>
      <w:szCs w:val="20"/>
      <w:lang w:eastAsia="zh-CN"/>
    </w:rPr>
  </w:style>
  <w:style w:type="paragraph" w:styleId="Revision">
    <w:name w:val="Revision"/>
    <w:hidden w:val="1"/>
    <w:uiPriority w:val="99"/>
    <w:semiHidden w:val="1"/>
    <w:rsid w:val="00CB349E"/>
    <w:pPr>
      <w:spacing w:after="0" w:line="240" w:lineRule="auto"/>
    </w:pPr>
    <w:rPr>
      <w:rFonts w:ascii="Calibri" w:cs="Times New Roman" w:eastAsia="Calibri" w:hAnsi="Calibri"/>
    </w:rPr>
  </w:style>
  <w:style w:type="character" w:styleId="Hyperlink">
    <w:name w:val="Hyperlink"/>
    <w:uiPriority w:val="99"/>
    <w:rsid w:val="0079190E"/>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publications/the-sourcing-and-consultancy-playbooks"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PjMg0sy2zLrSLLsfcJY6Ih9iA==">CgMxLjAyCGguZ2pkZ3hzMgloLjMwajB6bGw4AHIhMXdlSU54dWxpSjVjQTB5alZ4VjdndkNUYkF1bFhQM3It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2023-02-22T13:16:00Z</dcterms:created>
  <dc:creator>Peter Hanlon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