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56" w:right="0" w:hanging="72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pageBreakBefore w:val="0"/>
        <w:jc w:val="left"/>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16 (Benchmarking)</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DEFINITIONS</w:t>
      </w:r>
    </w:p>
    <w:p w:rsidR="00000000" w:rsidDel="00000000" w:rsidP="00000000" w:rsidRDefault="00000000" w:rsidRPr="00000000" w14:paraId="000000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expressions shall have the following meanings:</w:t>
      </w:r>
    </w:p>
    <w:tbl>
      <w:tblPr>
        <w:tblStyle w:val="Table1"/>
        <w:tblW w:w="8042.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0"/>
        <w:gridCol w:w="5142"/>
        <w:tblGridChange w:id="0">
          <w:tblGrid>
            <w:gridCol w:w="2900"/>
            <w:gridCol w:w="5142"/>
          </w:tblGrid>
        </w:tblGridChange>
      </w:tblGrid>
      <w:tr>
        <w:trPr>
          <w:cantSplit w:val="0"/>
          <w:tblHeader w:val="0"/>
        </w:trPr>
        <w:tc>
          <w:tcPr>
            <w:shd w:fill="auto" w:val="cle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 Review"</w:t>
            </w:r>
          </w:p>
        </w:tc>
        <w:tc>
          <w:tcPr>
            <w:shd w:fill="auto" w:val="cle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review of the Deliverables carried out in accordance with this Schedule to determine whether those Deliverables represent Good Value;</w:t>
            </w:r>
          </w:p>
        </w:tc>
      </w:tr>
      <w:tr>
        <w:trPr>
          <w:cantSplit w:val="0"/>
          <w:tblHeader w:val="0"/>
        </w:trPr>
        <w:tc>
          <w:tcPr>
            <w:shd w:fill="auto" w:val="cle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"Benchmarked Deliverables"</w:t>
            </w:r>
          </w:p>
        </w:tc>
        <w:tc>
          <w:tcPr>
            <w:shd w:fill="auto" w:val="cle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Deliverables included within the scope of a Benchmark Review pursuant to this Schedule;</w:t>
            </w:r>
          </w:p>
        </w:tc>
      </w:tr>
      <w:tr>
        <w:trPr>
          <w:cantSplit w:val="0"/>
          <w:tblHeader w:val="0"/>
        </w:trPr>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"Comparable Rates"</w:t>
            </w:r>
          </w:p>
        </w:tc>
        <w:tc>
          <w:tcPr>
            <w:shd w:fill="auto" w:val="clea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Charges for Comparable Deliverables;</w:t>
            </w:r>
          </w:p>
        </w:tc>
      </w:tr>
      <w:tr>
        <w:trPr>
          <w:cantSplit w:val="0"/>
          <w:tblHeader w:val="0"/>
        </w:trPr>
        <w:tc>
          <w:tcPr>
            <w:shd w:fill="auto" w:val="cle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"Comparable Deliverables"</w:t>
            </w:r>
          </w:p>
        </w:tc>
        <w:tc>
          <w:tcPr>
            <w:shd w:fill="auto" w:val="cle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trPr>
          <w:cantSplit w:val="0"/>
          <w:tblHeader w:val="0"/>
        </w:trPr>
        <w:tc>
          <w:tcPr>
            <w:shd w:fill="auto" w:val="clea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"Comparison Group"</w:t>
            </w:r>
          </w:p>
        </w:tc>
        <w:tc>
          <w:tcPr>
            <w:shd w:fill="auto" w:val="clea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trPr>
          <w:cantSplit w:val="0"/>
          <w:tblHeader w:val="0"/>
        </w:trPr>
        <w:tc>
          <w:tcPr>
            <w:shd w:fill="auto" w:val="clea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"Equivalent Data"</w:t>
            </w:r>
          </w:p>
        </w:tc>
        <w:tc>
          <w:tcPr>
            <w:shd w:fill="auto" w:val="cle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derived from an analysis of the Comparable Rates and/or the Comparable Deliverables (as applicable) provided by the Comparison Group;</w:t>
            </w:r>
          </w:p>
        </w:tc>
      </w:tr>
      <w:tr>
        <w:trPr>
          <w:cantSplit w:val="0"/>
          <w:tblHeader w:val="0"/>
        </w:trPr>
        <w:tc>
          <w:tcPr>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"Good Value"</w:t>
            </w:r>
          </w:p>
        </w:tc>
        <w:tc>
          <w:tcPr>
            <w:shd w:fill="auto" w:val="clea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Benchmarked Rates are within the Upper Quartile; and</w:t>
            </w:r>
          </w:p>
        </w:tc>
      </w:tr>
      <w:tr>
        <w:trPr>
          <w:cantSplit w:val="0"/>
          <w:tblHeader w:val="0"/>
        </w:trPr>
        <w:tc>
          <w:tcPr>
            <w:shd w:fill="auto" w:val="cle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"Upper Quartile"</w:t>
            </w:r>
          </w:p>
        </w:tc>
        <w:tc>
          <w:tcPr>
            <w:shd w:fill="auto" w:val="cle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right="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Benchmarked Rates,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based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an analysis of Equivalent Data, the Benchmarked Rates, as compared to the range of prices for Comparable Deliverables, are within the top 25% in terms of best value for money for the recipients of Comparable Deliverables.</w:t>
            </w:r>
          </w:p>
        </w:tc>
      </w:tr>
    </w:tbl>
    <w:p w:rsidR="00000000" w:rsidDel="00000000" w:rsidP="00000000" w:rsidRDefault="00000000" w:rsidRPr="00000000" w14:paraId="00000015">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you should use this Schedule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the Buyer wishes to ensure that the Deliverables, represent value for money to the taxpayer throughout the Contract Period.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Amounts payable under this Schedule shall not fall with the definition of a Cost.</w:t>
      </w:r>
    </w:p>
    <w:p w:rsidR="00000000" w:rsidDel="00000000" w:rsidP="00000000" w:rsidRDefault="00000000" w:rsidRPr="00000000" w14:paraId="00000019">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240" w:before="120" w:line="240" w:lineRule="auto"/>
        <w:ind w:left="36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w:t>
      </w:r>
    </w:p>
    <w:p w:rsidR="00000000" w:rsidDel="00000000" w:rsidP="00000000" w:rsidRDefault="00000000" w:rsidRPr="00000000" w14:paraId="0000001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benchmarking works</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by written notice to the Supplier, require a Benchmark Review of any or all of the Deliverables.</w:t>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 be entitled to request a Benchmark Review during the first six (6) Month period from the Contract Commencement Date or at intervals of less than twelve (12) Months after any previous Benchmark Review. </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a Benchmark Review will be to establish whether the Benchmarked Deliverables are, individually and/or as a whole, Good Value.</w:t>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Deliverables that are to be the Benchmarked Deliverables will be identified by the Buyer in writing.</w:t>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000000" w:rsidDel="00000000" w:rsidP="00000000" w:rsidRDefault="00000000" w:rsidRPr="00000000" w14:paraId="0000002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Process</w:t>
      </w:r>
    </w:p>
    <w:p w:rsidR="00000000" w:rsidDel="00000000" w:rsidP="00000000" w:rsidRDefault="00000000" w:rsidRPr="00000000" w14:paraId="0000002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shall produce and send to the Buyer, for Approval, a draft plan for the Benchmark Review which must include:</w:t>
      </w:r>
    </w:p>
    <w:p w:rsidR="00000000" w:rsidDel="00000000" w:rsidP="00000000" w:rsidRDefault="00000000" w:rsidRPr="00000000" w14:paraId="0000002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proposed cost and timetable for the Benchmark Review;</w:t>
      </w:r>
    </w:p>
    <w:p w:rsidR="00000000" w:rsidDel="00000000" w:rsidP="00000000" w:rsidRDefault="00000000" w:rsidRPr="00000000" w14:paraId="0000002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the benchmarking methodology to be used which must demonstrate that the methodology to be used is capable of fulfilling the benchmarking purpose; and</w:t>
      </w:r>
    </w:p>
    <w:p w:rsidR="00000000" w:rsidDel="00000000" w:rsidP="00000000" w:rsidRDefault="00000000" w:rsidRPr="00000000" w14:paraId="0000002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description of how the benchmarker will scope and identify the Comparison Group. </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acting reasonably, shall be entitled to use any model to determine the achievement of value for money and to carry out the benchmarking. </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both Parties have approved the draft plan then they will notify the benchmarker.  No Party may unreasonably withhold or delay its Approval of the draft plan.</w:t>
      </w:r>
    </w:p>
    <w:p w:rsidR="00000000" w:rsidDel="00000000" w:rsidP="00000000" w:rsidRDefault="00000000" w:rsidRPr="00000000" w14:paraId="0000002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it has received the Approval of the draft plan, the benchmarker shall:</w:t>
      </w:r>
    </w:p>
    <w:p w:rsidR="00000000" w:rsidDel="00000000" w:rsidP="00000000" w:rsidRDefault="00000000" w:rsidRPr="00000000" w14:paraId="0000002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finalise the Comparison Group and collect data relating to Comparable Rates. The selection of the Comparable Rates (both in terms of number and identity) shall be a matter for the Supplier's professional judgment using:</w:t>
      </w:r>
    </w:p>
    <w:p w:rsidR="00000000" w:rsidDel="00000000" w:rsidP="00000000" w:rsidRDefault="00000000" w:rsidRPr="00000000" w14:paraId="0000002C">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market intelligence;</w:t>
      </w:r>
    </w:p>
    <w:p w:rsidR="00000000" w:rsidDel="00000000" w:rsidP="00000000" w:rsidRDefault="00000000" w:rsidRPr="00000000" w14:paraId="0000002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benchmarker’s own data and experience;</w:t>
      </w:r>
    </w:p>
    <w:p w:rsidR="00000000" w:rsidDel="00000000" w:rsidP="00000000" w:rsidRDefault="00000000" w:rsidRPr="00000000" w14:paraId="0000002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relevant published information; and</w:t>
      </w:r>
    </w:p>
    <w:p w:rsidR="00000000" w:rsidDel="00000000" w:rsidP="00000000" w:rsidRDefault="00000000" w:rsidRPr="00000000" w14:paraId="0000002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tabs>
          <w:tab w:val="left" w:leader="none" w:pos="3119"/>
        </w:tabs>
        <w:spacing w:after="120" w:before="120" w:line="240" w:lineRule="auto"/>
        <w:ind w:left="1440" w:right="0" w:hanging="108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pursuant to Paragraph 3.2.6  below, information from other suppliers or purchasers on Comparable Rates;</w:t>
      </w:r>
    </w:p>
    <w:p w:rsidR="00000000" w:rsidDel="00000000" w:rsidP="00000000" w:rsidRDefault="00000000" w:rsidRPr="00000000" w14:paraId="000000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applying the adjustment factors listed in Paragraph 3.2.7 and from an analysis of the Comparable Rates, derive the Equivalent Data;</w:t>
      </w:r>
    </w:p>
    <w:p w:rsidR="00000000" w:rsidDel="00000000" w:rsidP="00000000" w:rsidRDefault="00000000" w:rsidRPr="00000000" w14:paraId="0000003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Equivalent Data, calculate the Upper Quartile;</w:t>
      </w:r>
    </w:p>
    <w:p w:rsidR="00000000" w:rsidDel="00000000" w:rsidP="00000000" w:rsidRDefault="00000000" w:rsidRPr="00000000" w14:paraId="0000003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determine whether or not each Benchmarked Rate is, and/or the Benchmarked Rates as a whole are, Good Value.</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rsidR="00000000" w:rsidDel="00000000" w:rsidP="00000000" w:rsidRDefault="00000000" w:rsidRPr="00000000" w14:paraId="0000003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carrying out the benchmarking analysis the benchmarker may have regard to the following matters when performing a comparative assessment of the Benchmarked Rates and the Comparable Rates in order to derive Equivalent Data:</w:t>
      </w:r>
    </w:p>
    <w:p w:rsidR="00000000" w:rsidDel="00000000" w:rsidP="00000000" w:rsidRDefault="00000000" w:rsidRPr="00000000" w14:paraId="0000003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contractual terms and business environment under which the Comparable Rates are being provided (including the scale and geographical spread of the customers);</w:t>
      </w:r>
    </w:p>
    <w:p w:rsidR="00000000" w:rsidDel="00000000" w:rsidP="00000000" w:rsidRDefault="00000000" w:rsidRPr="00000000" w14:paraId="0000003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exchange rates;</w:t>
      </w:r>
    </w:p>
    <w:p w:rsidR="00000000" w:rsidDel="00000000" w:rsidP="00000000" w:rsidRDefault="00000000" w:rsidRPr="00000000" w14:paraId="0000003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factors reasonably identified by the Supplier, which, if not taken into consideration, could unfairly cause the Supplier's pricing to appear non-competitive.</w:t>
      </w:r>
    </w:p>
    <w:p w:rsidR="00000000" w:rsidDel="00000000" w:rsidP="00000000" w:rsidRDefault="00000000" w:rsidRPr="00000000" w14:paraId="0000003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648" w:right="0" w:hanging="216"/>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Report</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"Benchmarking Report"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mean the report produced by the benchmarker following the Benchmark Review and as further described in this Schedule;</w:t>
      </w:r>
    </w:p>
    <w:p w:rsidR="00000000" w:rsidDel="00000000" w:rsidP="00000000" w:rsidRDefault="00000000" w:rsidRPr="00000000" w14:paraId="0000003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benchmarker shall prepare a Benchmarking Report and deliver it to the Buyer, at the time specified in the plan Approved pursuant to Paragraph 3.2.3, setting out its findings.  Those findings shall be required to:</w:t>
      </w:r>
    </w:p>
    <w:p w:rsidR="00000000" w:rsidDel="00000000" w:rsidP="00000000" w:rsidRDefault="00000000" w:rsidRPr="00000000" w14:paraId="0000003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a finding as to whether or not a Benchmarked Service and/or whether the Benchmarked Deliverables as a whole are, Good Value;</w:t>
      </w:r>
    </w:p>
    <w:p w:rsidR="00000000" w:rsidDel="00000000" w:rsidP="00000000" w:rsidRDefault="00000000" w:rsidRPr="00000000" w14:paraId="0000003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of the Benchmarked Deliverables are, individually or as a whole, not Good Value, specify the changes that would be required to make that Benchmarked Service or the Benchmarked Deliverables as a whole Good Value; and </w:t>
      </w:r>
    </w:p>
    <w:p w:rsidR="00000000" w:rsidDel="00000000" w:rsidP="00000000" w:rsidRDefault="00000000" w:rsidRPr="00000000" w14:paraId="0000003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563"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sufficient detail and transparency so that the Party requesting the Benchmarking can interpret and understand how the Supplier has calculated whether or not the Benchmarked Deliverables are, individually or as a whole, Good Value.</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242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agree that any changes required to this Contract identified in the Benchmarking Report shall be implemented at the direction of the Buyer in accordance with Clause 24 (Changing the contract).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1656"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v3.0</w:t>
      <w:tab/>
    </w:r>
    <w:r w:rsidDel="00000000" w:rsidR="00000000" w:rsidRPr="00000000">
      <w:rPr>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16 (Benchmarking)</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5714365</wp:posOffset>
          </wp:positionH>
          <wp:positionV relativeFrom="paragraph">
            <wp:posOffset>-13330</wp:posOffset>
          </wp:positionV>
          <wp:extent cx="849085" cy="685627"/>
          <wp:effectExtent b="0" l="0" r="0" t="0"/>
          <wp:wrapNone/>
          <wp:docPr descr="Crown Commercial Service" id="5" name="image1.png"/>
          <a:graphic>
            <a:graphicData uri="http://schemas.openxmlformats.org/drawingml/2006/picture">
              <pic:pic>
                <pic:nvPicPr>
                  <pic:cNvPr descr="Crown Commercial Service" id="0" name="image1.png"/>
                  <pic:cNvPicPr preferRelativeResize="0"/>
                </pic:nvPicPr>
                <pic:blipFill>
                  <a:blip r:embed="rId1"/>
                  <a:srcRect b="0" l="0" r="0" t="0"/>
                  <a:stretch>
                    <a:fillRect/>
                  </a:stretch>
                </pic:blipFill>
                <pic:spPr>
                  <a:xfrm>
                    <a:off x="0" y="0"/>
                    <a:ext cx="849085" cy="6856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8"/>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uiPriority w:val="99"/>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clear" w:pos="1985"/>
      </w:tabs>
      <w:ind w:left="2592" w:hanging="936"/>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uiPriority w:val="99"/>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uiPriority w:val="99"/>
    <w:qFormat w:val="1"/>
    <w:pPr>
      <w:numPr>
        <w:numId w:val="1"/>
      </w:numPr>
      <w:tabs>
        <w:tab w:val="left" w:pos="175"/>
      </w:tabs>
      <w:spacing w:after="120"/>
    </w:pPr>
  </w:style>
  <w:style w:type="paragraph" w:styleId="GPSDefinitionL2" w:customStyle="1">
    <w:name w:val="GPS Definition L2"/>
    <w:basedOn w:val="GPsDefinition"/>
    <w:uiPriority w:val="99"/>
    <w:qFormat w:val="1"/>
    <w:pPr>
      <w:numPr>
        <w:ilvl w:val="1"/>
      </w:numPr>
      <w:ind w:hanging="544"/>
    </w:pPr>
  </w:style>
  <w:style w:type="paragraph" w:styleId="GPSDefinitionL3" w:customStyle="1">
    <w:name w:val="GPS Definition L3"/>
    <w:basedOn w:val="GPSDefinitionL2"/>
    <w:uiPriority w:val="99"/>
    <w:qFormat w:val="1"/>
    <w:pPr>
      <w:numPr>
        <w:ilvl w:val="2"/>
      </w:numPr>
    </w:pPr>
  </w:style>
  <w:style w:type="paragraph" w:styleId="GPSDefinitionL4" w:customStyle="1">
    <w:name w:val="GPS Definition L4"/>
    <w:basedOn w:val="GPSDefinitionL3"/>
    <w:uiPriority w:val="99"/>
    <w:qFormat w:val="1"/>
    <w:pPr>
      <w:numPr>
        <w:ilvl w:val="3"/>
      </w:numPr>
    </w:pPr>
  </w:style>
  <w:style w:type="paragraph" w:styleId="GPSDefinitionTerm" w:customStyle="1">
    <w:name w:val="GPS Definition Term"/>
    <w:basedOn w:val="Normal"/>
    <w:uiPriority w:val="99"/>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ind w:left="360" w:hanging="360"/>
      <w:outlineLvl w:val="9"/>
    </w:p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Normal1" w:customStyle="1">
    <w:name w:val="Normal1"/>
    <w:pPr>
      <w:widowControl w:val="0"/>
      <w:spacing w:after="80" w:line="240" w:lineRule="auto"/>
    </w:pPr>
    <w:rPr>
      <w:rFonts w:ascii="Calibri" w:cs="Calibri" w:eastAsia="Calibri" w:hAnsi="Calibri"/>
      <w:color w:val="000000"/>
    </w:rPr>
  </w:style>
  <w:style w:type="table" w:styleId="TableGrid">
    <w:name w:val="Table Grid"/>
    <w:basedOn w:val="TableNormal"/>
    <w:uiPriority w:val="59"/>
    <w:pPr>
      <w:spacing w:after="0" w:line="240" w:lineRule="auto"/>
    </w:pPr>
    <w:rPr>
      <w:rFonts w:ascii="Calibri" w:cs="Times New Roman" w:eastAsia="Calibri" w:hAnsi="Calibri"/>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4D49BE"/>
    <w:pPr>
      <w:spacing w:after="0" w:line="240" w:lineRule="auto"/>
    </w:pPr>
    <w:rPr>
      <w:rFonts w:ascii="Calibri" w:cs="Arial" w:eastAsia="Times New Roman"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ajHWZP/4Fqio4kbV5/cToByNMA==">CgMxLjAyCGguZ2pkZ3hzMgloLjMwajB6bGwyCWguMWZvYjl0ZTIJaC4zem55c2g3MgloLjJldDkycDAyCGgudHlqY3d0OAByITFlS3dZem10dlpnODJEek93bEx2SWpUaHZZSkw4OV90bg==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2018-07-23T07:42:00Z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