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996" w:right="0" w:hanging="72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2">
      <w:pPr>
        <w:pageBreakBefore w:val="0"/>
        <w:rPr>
          <w:rFonts w:ascii="Arial" w:cs="Arial" w:eastAsia="Arial" w:hAnsi="Arial"/>
          <w:sz w:val="36"/>
          <w:szCs w:val="36"/>
        </w:rPr>
      </w:pPr>
      <w:r w:rsidDel="00000000" w:rsidR="00000000" w:rsidRPr="00000000">
        <w:rPr>
          <w:rFonts w:ascii="Arial" w:cs="Arial" w:eastAsia="Arial" w:hAnsi="Arial"/>
          <w:b w:val="1"/>
          <w:sz w:val="36"/>
          <w:szCs w:val="36"/>
          <w:rtl w:val="0"/>
        </w:rPr>
        <w:t xml:space="preserve">Call-Off Schedule 19 (Scottish Law)</w:t>
      </w:r>
      <w:r w:rsidDel="00000000" w:rsidR="00000000" w:rsidRPr="00000000">
        <w:rPr>
          <w:rFonts w:ascii="Arial" w:cs="Arial" w:eastAsia="Arial" w:hAnsi="Arial"/>
          <w:sz w:val="36"/>
          <w:szCs w:val="36"/>
          <w:rtl w:val="0"/>
        </w:rPr>
        <w:t xml:space="preserve"> </w:t>
      </w:r>
    </w:p>
    <w:p w:rsidR="00000000" w:rsidDel="00000000" w:rsidP="00000000" w:rsidRDefault="00000000" w:rsidRPr="00000000" w14:paraId="00000003">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When you should use this Schedule</w:t>
      </w:r>
    </w:p>
    <w:p w:rsidR="00000000" w:rsidDel="00000000" w:rsidP="00000000" w:rsidRDefault="00000000" w:rsidRPr="00000000" w14:paraId="00000004">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Call-Off Schedule 19 may be included to adapt the Core Terms and Schedules so that the Call Off Contract is under Scottish Law.</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Changes to the Core Terms</w:t>
      </w:r>
    </w:p>
    <w:p w:rsidR="00000000" w:rsidDel="00000000" w:rsidP="00000000" w:rsidRDefault="00000000" w:rsidRPr="00000000" w14:paraId="0000000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Clause 19, (Other people’s rights in this contract) – “Contract Rights of Third Parties Act (CRTPA)” shall be replaced by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Contract (Third Party Rights) (Scotland) Act 2017 (CTPRSA)</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References to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CRTPA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replaced by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CTPRSA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Clause 34 (Resolving Disputes):</w:t>
      </w:r>
    </w:p>
    <w:p w:rsidR="00000000" w:rsidDel="00000000" w:rsidP="00000000" w:rsidRDefault="00000000" w:rsidRPr="00000000" w14:paraId="0000000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99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Clause 34.2 – add the following wording: “The governing law and jurisdiction provisions of CEDR’s Model Mediation Agreement shall be deemed to be amended to refer to the laws of Scotland and the Court of Session.”</w:t>
      </w:r>
    </w:p>
    <w:p w:rsidR="00000000" w:rsidDel="00000000" w:rsidP="00000000" w:rsidRDefault="00000000" w:rsidRPr="00000000" w14:paraId="0000000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99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Clause 34.3  The term “Courts of England and Wales” shall be amended to read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“Court of Session” </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99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Clause 34.4 – Conduct of Arbitration. </w:t>
      </w:r>
    </w:p>
    <w:p w:rsidR="00000000" w:rsidDel="00000000" w:rsidP="00000000" w:rsidRDefault="00000000" w:rsidRPr="00000000" w14:paraId="0000000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words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under the London Court of International Arbitration rules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current</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at the time of the Dispute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deleted.</w:t>
      </w:r>
    </w:p>
    <w:p w:rsidR="00000000" w:rsidDel="00000000" w:rsidP="00000000" w:rsidRDefault="00000000" w:rsidRPr="00000000" w14:paraId="0000000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seat or legal place of the arbitration shall be amended so that it takes place in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Edinburgh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opposed to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London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 the following wording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The arbitration shall be conducted in accordance with the Arbitration (Scotland) Act 2010 subject to disapplication in whole or in part of any of the default rules of the Scottish Arbitration Rules comprising Schedule 1 to that Act as the Parties may agree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Clause 35 (Which Laws apply) – the words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English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replaced by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the Law of Scotland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Changes to the Joint Schedules</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Joint Schedule 1 – Definitions shall be amended as follows:</w:t>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99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definition of “CRTPA” shall be replaced by “”CTPRSA” the Contract (Third Party Rights) (Scotland) Act 2017”.</w:t>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99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definition of “Dispute” the reference to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English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replaced by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the Law of Scotland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the reference to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English courts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replaced by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courts of Scotland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99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definition of “Insolvency Event” – the word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replaced by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“Assignation”.</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99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definition of “Losses” the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word</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“tort”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replaced with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“delict”.</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99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part (a) of the definition of “Intellectual Property Rights</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words</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“Know-How”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“trade secrets”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refer to pre-existing know-how and trade secrets only</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99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“Working Day”: reference to “England and Wales” replaced by “Scotland”</w:t>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 Guarantee is selected, the following provisions of Joint Schedule 8 – Guarantee shall be amended as follows: </w:t>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99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Throughout the whole Schedule delete all references to “deed of Guarantee” merely express as “Guarantee” </w:t>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99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Annex 1 - Form of Guarantee:</w:t>
      </w:r>
    </w:p>
    <w:p w:rsidR="00000000" w:rsidDel="00000000" w:rsidP="00000000" w:rsidRDefault="00000000" w:rsidRPr="00000000" w14:paraId="0000001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WHEREAS (B) “deed” replaced by “contract”</w:t>
      </w:r>
    </w:p>
    <w:p w:rsidR="00000000" w:rsidDel="00000000" w:rsidP="00000000" w:rsidRDefault="00000000" w:rsidRPr="00000000" w14:paraId="0000001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Clause 4.1 Delete references to “England and Wales” when referring to addresses.</w:t>
      </w:r>
    </w:p>
    <w:p w:rsidR="00000000" w:rsidDel="00000000" w:rsidP="00000000" w:rsidRDefault="00000000" w:rsidRPr="00000000" w14:paraId="0000001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Clause 12 – the word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assignment”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be amended to “assignation”.</w:t>
      </w:r>
    </w:p>
    <w:p w:rsidR="00000000" w:rsidDel="00000000" w:rsidP="00000000" w:rsidRDefault="00000000" w:rsidRPr="00000000" w14:paraId="0000001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Clause 14 – “Contract (Rights of Third Parties) Act 1999” shall be amended to “Contract (Third Party Rights) (Scotland) Act 2017”.</w:t>
      </w:r>
    </w:p>
    <w:p w:rsidR="00000000" w:rsidDel="00000000" w:rsidP="00000000" w:rsidRDefault="00000000" w:rsidRPr="00000000" w14:paraId="0000001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Clause 16 Governing Law (add “and Jurisdiction”). References to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“Courts of England”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be replaced by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“Court of 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References to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“English”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be replaced by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“Scottish”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References to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England and Wales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be replaced by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Scotland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Alter execution strip to read as follows: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2880" w:right="0" w:hanging="720"/>
        <w:jc w:val="left"/>
        <w:rPr>
          <w:rFonts w:ascii="Arial" w:cs="Arial" w:eastAsia="Arial" w:hAnsi="Arial"/>
          <w:b w:val="0"/>
          <w:i w:val="1"/>
          <w:smallCaps w:val="1"/>
          <w:strike w:val="0"/>
          <w:color w:val="000000"/>
          <w:sz w:val="24"/>
          <w:szCs w:val="24"/>
          <w:u w:val="none"/>
          <w:shd w:fill="auto" w:val="clear"/>
          <w:vertAlign w:val="baseline"/>
        </w:rPr>
      </w:pPr>
      <w:r w:rsidDel="00000000" w:rsidR="00000000" w:rsidRPr="00000000">
        <w:rPr>
          <w:rFonts w:ascii="Arial" w:cs="Arial" w:eastAsia="Arial" w:hAnsi="Arial"/>
          <w:b w:val="0"/>
          <w:i w:val="1"/>
          <w:smallCaps w:val="1"/>
          <w:strike w:val="0"/>
          <w:color w:val="000000"/>
          <w:sz w:val="24"/>
          <w:szCs w:val="24"/>
          <w:u w:val="none"/>
          <w:shd w:fill="auto" w:val="clear"/>
          <w:vertAlign w:val="baseline"/>
          <w:rtl w:val="0"/>
        </w:rPr>
        <w:t xml:space="preserve">“IN WITNESS WHEREOF these presents consisting of this page and the [ ] preceding pages are executed in duplicate as follows: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2880" w:right="0" w:hanging="720"/>
        <w:jc w:val="left"/>
        <w:rPr>
          <w:rFonts w:ascii="Arial" w:cs="Arial" w:eastAsia="Arial" w:hAnsi="Arial"/>
          <w:b w:val="0"/>
          <w:i w:val="1"/>
          <w:smallCaps w:val="1"/>
          <w:strike w:val="0"/>
          <w:color w:val="000000"/>
          <w:sz w:val="24"/>
          <w:szCs w:val="24"/>
          <w:u w:val="none"/>
          <w:shd w:fill="auto" w:val="clear"/>
          <w:vertAlign w:val="baseline"/>
        </w:rPr>
      </w:pPr>
      <w:r w:rsidDel="00000000" w:rsidR="00000000" w:rsidRPr="00000000">
        <w:rPr>
          <w:rFonts w:ascii="Arial" w:cs="Arial" w:eastAsia="Arial" w:hAnsi="Arial"/>
          <w:b w:val="0"/>
          <w:i w:val="1"/>
          <w:smallCaps w:val="1"/>
          <w:strike w:val="0"/>
          <w:color w:val="000000"/>
          <w:sz w:val="24"/>
          <w:szCs w:val="24"/>
          <w:u w:val="none"/>
          <w:shd w:fill="auto" w:val="clear"/>
          <w:vertAlign w:val="baseline"/>
          <w:rtl w:val="0"/>
        </w:rPr>
        <w:t xml:space="preserve">SIGNATURE: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2880" w:right="0" w:hanging="720"/>
        <w:jc w:val="left"/>
        <w:rPr>
          <w:rFonts w:ascii="Arial" w:cs="Arial" w:eastAsia="Arial" w:hAnsi="Arial"/>
          <w:b w:val="0"/>
          <w:i w:val="1"/>
          <w:smallCaps w:val="1"/>
          <w:strike w:val="0"/>
          <w:color w:val="000000"/>
          <w:sz w:val="24"/>
          <w:szCs w:val="24"/>
          <w:u w:val="none"/>
          <w:shd w:fill="auto" w:val="clear"/>
          <w:vertAlign w:val="baseline"/>
        </w:rPr>
      </w:pPr>
      <w:r w:rsidDel="00000000" w:rsidR="00000000" w:rsidRPr="00000000">
        <w:rPr>
          <w:rFonts w:ascii="Arial" w:cs="Arial" w:eastAsia="Arial" w:hAnsi="Arial"/>
          <w:b w:val="0"/>
          <w:i w:val="1"/>
          <w:smallCaps w:val="1"/>
          <w:strike w:val="0"/>
          <w:color w:val="000000"/>
          <w:sz w:val="24"/>
          <w:szCs w:val="24"/>
          <w:u w:val="none"/>
          <w:shd w:fill="auto" w:val="clear"/>
          <w:vertAlign w:val="baseline"/>
          <w:rtl w:val="0"/>
        </w:rPr>
        <w:t xml:space="preserve">Name: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2880" w:right="0" w:hanging="720"/>
        <w:jc w:val="left"/>
        <w:rPr>
          <w:rFonts w:ascii="Arial" w:cs="Arial" w:eastAsia="Arial" w:hAnsi="Arial"/>
          <w:b w:val="0"/>
          <w:i w:val="1"/>
          <w:smallCaps w:val="1"/>
          <w:strike w:val="0"/>
          <w:color w:val="000000"/>
          <w:sz w:val="24"/>
          <w:szCs w:val="24"/>
          <w:u w:val="none"/>
          <w:shd w:fill="auto" w:val="clear"/>
          <w:vertAlign w:val="baseline"/>
        </w:rPr>
      </w:pPr>
      <w:r w:rsidDel="00000000" w:rsidR="00000000" w:rsidRPr="00000000">
        <w:rPr>
          <w:rFonts w:ascii="Arial" w:cs="Arial" w:eastAsia="Arial" w:hAnsi="Arial"/>
          <w:b w:val="0"/>
          <w:i w:val="1"/>
          <w:smallCaps w:val="1"/>
          <w:strike w:val="0"/>
          <w:color w:val="000000"/>
          <w:sz w:val="24"/>
          <w:szCs w:val="24"/>
          <w:u w:val="none"/>
          <w:shd w:fill="auto" w:val="clear"/>
          <w:vertAlign w:val="baseline"/>
          <w:rtl w:val="0"/>
        </w:rPr>
        <w:t xml:space="preserve">Position:</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2880" w:right="0" w:hanging="720"/>
        <w:jc w:val="left"/>
        <w:rPr>
          <w:rFonts w:ascii="Arial" w:cs="Arial" w:eastAsia="Arial" w:hAnsi="Arial"/>
          <w:b w:val="0"/>
          <w:i w:val="1"/>
          <w:smallCaps w:val="1"/>
          <w:strike w:val="0"/>
          <w:color w:val="000000"/>
          <w:sz w:val="24"/>
          <w:szCs w:val="24"/>
          <w:u w:val="none"/>
          <w:shd w:fill="auto" w:val="clear"/>
          <w:vertAlign w:val="baseline"/>
        </w:rPr>
      </w:pPr>
      <w:r w:rsidDel="00000000" w:rsidR="00000000" w:rsidRPr="00000000">
        <w:rPr>
          <w:rFonts w:ascii="Arial" w:cs="Arial" w:eastAsia="Arial" w:hAnsi="Arial"/>
          <w:b w:val="0"/>
          <w:i w:val="1"/>
          <w:smallCaps w:val="1"/>
          <w:strike w:val="0"/>
          <w:color w:val="000000"/>
          <w:sz w:val="24"/>
          <w:szCs w:val="24"/>
          <w:u w:val="none"/>
          <w:shd w:fill="auto" w:val="clear"/>
          <w:vertAlign w:val="baseline"/>
          <w:rtl w:val="0"/>
        </w:rPr>
        <w:t xml:space="preserve">Place of signing:</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2880" w:right="0" w:hanging="720"/>
        <w:jc w:val="left"/>
        <w:rPr>
          <w:rFonts w:ascii="Arial" w:cs="Arial" w:eastAsia="Arial" w:hAnsi="Arial"/>
          <w:b w:val="0"/>
          <w:i w:val="1"/>
          <w:smallCaps w:val="1"/>
          <w:strike w:val="0"/>
          <w:color w:val="000000"/>
          <w:sz w:val="24"/>
          <w:szCs w:val="24"/>
          <w:u w:val="none"/>
          <w:shd w:fill="auto" w:val="clear"/>
          <w:vertAlign w:val="baseline"/>
        </w:rPr>
      </w:pPr>
      <w:r w:rsidDel="00000000" w:rsidR="00000000" w:rsidRPr="00000000">
        <w:rPr>
          <w:rFonts w:ascii="Arial" w:cs="Arial" w:eastAsia="Arial" w:hAnsi="Arial"/>
          <w:b w:val="0"/>
          <w:i w:val="1"/>
          <w:smallCaps w:val="1"/>
          <w:strike w:val="0"/>
          <w:color w:val="000000"/>
          <w:sz w:val="24"/>
          <w:szCs w:val="24"/>
          <w:u w:val="none"/>
          <w:shd w:fill="auto" w:val="clear"/>
          <w:vertAlign w:val="baseline"/>
          <w:rtl w:val="0"/>
        </w:rPr>
        <w:t xml:space="preserve">Date: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2880" w:right="0" w:hanging="720"/>
        <w:jc w:val="left"/>
        <w:rPr>
          <w:rFonts w:ascii="Arial" w:cs="Arial" w:eastAsia="Arial" w:hAnsi="Arial"/>
          <w:b w:val="0"/>
          <w:i w:val="1"/>
          <w:smallCaps w:val="1"/>
          <w:strike w:val="0"/>
          <w:color w:val="000000"/>
          <w:sz w:val="24"/>
          <w:szCs w:val="24"/>
          <w:u w:val="none"/>
          <w:shd w:fill="auto" w:val="clear"/>
          <w:vertAlign w:val="baseline"/>
        </w:rPr>
      </w:pPr>
      <w:r w:rsidDel="00000000" w:rsidR="00000000" w:rsidRPr="00000000">
        <w:rPr>
          <w:rFonts w:ascii="Arial" w:cs="Arial" w:eastAsia="Arial" w:hAnsi="Arial"/>
          <w:b w:val="0"/>
          <w:i w:val="1"/>
          <w:smallCaps w:val="1"/>
          <w:strike w:val="0"/>
          <w:color w:val="000000"/>
          <w:sz w:val="24"/>
          <w:szCs w:val="24"/>
          <w:u w:val="none"/>
          <w:shd w:fill="auto" w:val="clear"/>
          <w:vertAlign w:val="baseline"/>
          <w:rtl w:val="0"/>
        </w:rPr>
        <w:t xml:space="preserve">Witness: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2880" w:right="0" w:hanging="720"/>
        <w:jc w:val="left"/>
        <w:rPr>
          <w:rFonts w:ascii="Arial" w:cs="Arial" w:eastAsia="Arial" w:hAnsi="Arial"/>
          <w:b w:val="0"/>
          <w:i w:val="1"/>
          <w:smallCaps w:val="1"/>
          <w:strike w:val="0"/>
          <w:color w:val="000000"/>
          <w:sz w:val="24"/>
          <w:szCs w:val="24"/>
          <w:u w:val="none"/>
          <w:shd w:fill="auto" w:val="clear"/>
          <w:vertAlign w:val="baseline"/>
        </w:rPr>
      </w:pPr>
      <w:r w:rsidDel="00000000" w:rsidR="00000000" w:rsidRPr="00000000">
        <w:rPr>
          <w:rFonts w:ascii="Arial" w:cs="Arial" w:eastAsia="Arial" w:hAnsi="Arial"/>
          <w:b w:val="0"/>
          <w:i w:val="1"/>
          <w:smallCaps w:val="1"/>
          <w:strike w:val="0"/>
          <w:color w:val="000000"/>
          <w:sz w:val="24"/>
          <w:szCs w:val="24"/>
          <w:u w:val="none"/>
          <w:shd w:fill="auto" w:val="clear"/>
          <w:vertAlign w:val="baseline"/>
          <w:rtl w:val="0"/>
        </w:rPr>
        <w:t xml:space="preserve">Witness name: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2880" w:right="0" w:hanging="720"/>
        <w:jc w:val="left"/>
        <w:rPr>
          <w:rFonts w:ascii="Arial" w:cs="Arial" w:eastAsia="Arial" w:hAnsi="Arial"/>
          <w:b w:val="0"/>
          <w:i w:val="1"/>
          <w:smallCaps w:val="1"/>
          <w:strike w:val="0"/>
          <w:color w:val="000000"/>
          <w:sz w:val="24"/>
          <w:szCs w:val="24"/>
          <w:u w:val="none"/>
          <w:shd w:fill="auto" w:val="clear"/>
          <w:vertAlign w:val="baseline"/>
        </w:rPr>
      </w:pPr>
      <w:r w:rsidDel="00000000" w:rsidR="00000000" w:rsidRPr="00000000">
        <w:rPr>
          <w:rFonts w:ascii="Arial" w:cs="Arial" w:eastAsia="Arial" w:hAnsi="Arial"/>
          <w:b w:val="0"/>
          <w:i w:val="1"/>
          <w:smallCaps w:val="1"/>
          <w:strike w:val="0"/>
          <w:color w:val="000000"/>
          <w:sz w:val="24"/>
          <w:szCs w:val="24"/>
          <w:u w:val="none"/>
          <w:shd w:fill="auto" w:val="clear"/>
          <w:vertAlign w:val="baseline"/>
          <w:rtl w:val="0"/>
        </w:rPr>
        <w:t xml:space="preserve">Witness address:”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99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Changes to Call-Off Schedules</w:t>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[Buyer Guidance</w:t>
      </w:r>
      <w:r w:rsidDel="00000000" w:rsidR="00000000" w:rsidRPr="00000000">
        <w:rPr>
          <w:rFonts w:ascii="Arial" w:cs="Arial" w:eastAsia="Arial" w:hAnsi="Arial"/>
          <w:sz w:val="24"/>
          <w:szCs w:val="24"/>
          <w:rtl w:val="0"/>
        </w:rPr>
        <w:t xml:space="preserve"> Insert any amendments to the Call-Off schedules where Scottish Law applies]</w:t>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References to Legislation</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40" w:right="0" w:hanging="57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legislation applicable to England and Wales only is expressly mentioned in this Call Off Contract it shall have the effect of substituting the equivalent legislation applicable in Scotland.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99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tabs>
        <w:tab w:val="center" w:leader="none" w:pos="4513"/>
        <w:tab w:val="right" w:leader="none" w:pos="9026"/>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6">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RM6353 Tyres, Glass and Telematics</w:t>
    </w:r>
  </w:p>
  <w:p w:rsidR="00000000" w:rsidDel="00000000" w:rsidP="00000000" w:rsidRDefault="00000000" w:rsidRPr="00000000" w14:paraId="00000037">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Project Version: v1.0</w:t>
      <w:tab/>
      <w:tab/>
      <w:t xml:space="preserve"> </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v1.0</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Call-Off Schedule 19 (Scottish Law)</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Call-Off Ref:</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w:t>
    </w:r>
    <w:r w:rsidDel="00000000" w:rsidR="00000000" w:rsidRPr="00000000">
      <w:rPr>
        <w:rFonts w:ascii="Arial" w:cs="Arial" w:eastAsia="Arial" w:hAnsi="Arial"/>
        <w:sz w:val="20"/>
        <w:szCs w:val="20"/>
        <w:rtl w:val="0"/>
      </w:rPr>
      <w:t xml:space="preserve">23</w:t>
    </w: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rFonts w:ascii="Arial" w:cs="Arial" w:eastAsia="Arial" w:hAnsi="Arial"/>
        <w:b w:val="1"/>
        <w:i w:val="0"/>
        <w:smallCaps w:val="0"/>
        <w:strike w:val="0"/>
        <w:color w:val="000000"/>
        <w:sz w:val="20"/>
        <w:szCs w:val="20"/>
        <w:u w:val="none"/>
        <w:vertAlign w:val="baseline"/>
      </w:rPr>
    </w:lvl>
    <w:lvl w:ilvl="1">
      <w:start w:val="1"/>
      <w:numFmt w:val="decimal"/>
      <w:lvlText w:val="%1.%2"/>
      <w:lvlJc w:val="left"/>
      <w:pPr>
        <w:ind w:left="1440" w:hanging="720"/>
      </w:pPr>
      <w:rPr>
        <w:rFonts w:ascii="Calibri" w:cs="Calibri" w:eastAsia="Calibri" w:hAnsi="Calibri"/>
        <w:b w:val="0"/>
        <w:i w:val="0"/>
        <w:smallCaps w:val="0"/>
        <w:strike w:val="0"/>
        <w:color w:val="000000"/>
        <w:sz w:val="22"/>
        <w:szCs w:val="22"/>
        <w:u w:val="none"/>
        <w:vertAlign w:val="baseline"/>
      </w:rPr>
    </w:lvl>
    <w:lvl w:ilvl="2">
      <w:start w:val="1"/>
      <w:numFmt w:val="decimal"/>
      <w:lvlText w:val="%1.%2.%3"/>
      <w:lvlJc w:val="left"/>
      <w:pPr>
        <w:ind w:left="1996" w:hanging="720"/>
      </w:pPr>
      <w:rPr>
        <w:rFonts w:ascii="Calibri" w:cs="Calibri" w:eastAsia="Calibri" w:hAnsi="Calibri"/>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pageBreakBefore w:val="0"/>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Calibri" w:cs="Times New Roman" w:eastAsia="Calibri" w:hAnsi="Calibri"/>
    </w:rPr>
  </w:style>
  <w:style w:type="paragraph" w:styleId="Heading1">
    <w:name w:val="heading 1"/>
    <w:basedOn w:val="Normal"/>
    <w:next w:val="Normal"/>
    <w:link w:val="Heading1Char"/>
    <w:uiPriority w:val="9"/>
    <w:qFormat w:val="1"/>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CLAUSEHEADING" w:customStyle="1">
    <w:name w:val="GPS L1 CLAUSE HEADING"/>
    <w:basedOn w:val="Normal"/>
    <w:next w:val="Normal"/>
    <w:link w:val="GPSL1CLAUSEHEADINGChar"/>
    <w:qFormat w:val="1"/>
    <w:pPr>
      <w:numPr>
        <w:numId w:val="1"/>
      </w:numPr>
      <w:tabs>
        <w:tab w:val="left" w:pos="142"/>
      </w:tabs>
      <w:adjustRightInd w:val="0"/>
      <w:spacing w:after="120" w:before="240" w:line="240" w:lineRule="auto"/>
      <w:jc w:val="both"/>
      <w:outlineLvl w:val="1"/>
    </w:pPr>
    <w:rPr>
      <w:rFonts w:cs="Arial" w:eastAsia="STZhongsong"/>
      <w:b w:val="1"/>
      <w:caps w:val="1"/>
      <w:lang w:eastAsia="zh-CN"/>
    </w:rPr>
  </w:style>
  <w:style w:type="paragraph" w:styleId="GPSL3numberedclause" w:customStyle="1">
    <w:name w:val="GPS L3 numbered clause"/>
    <w:basedOn w:val="Normal"/>
    <w:link w:val="GPSL3numberedclauseChar"/>
    <w:qFormat w:val="1"/>
    <w:pPr>
      <w:numPr>
        <w:ilvl w:val="2"/>
        <w:numId w:val="1"/>
      </w:numPr>
      <w:adjustRightInd w:val="0"/>
      <w:spacing w:after="120" w:before="120" w:line="240" w:lineRule="auto"/>
      <w:jc w:val="both"/>
    </w:pPr>
    <w:rPr>
      <w:rFonts w:cs="Arial" w:eastAsia="Times New Roman"/>
      <w:lang w:eastAsia="zh-CN"/>
    </w:rPr>
  </w:style>
  <w:style w:type="paragraph" w:styleId="GPSL4numberedclause" w:customStyle="1">
    <w:name w:val="GPS L4 numbered clause"/>
    <w:basedOn w:val="GPSL3numberedclause"/>
    <w:link w:val="GPSL4numberedclauseChar"/>
    <w:qFormat w:val="1"/>
    <w:pPr>
      <w:numPr>
        <w:ilvl w:val="3"/>
      </w:numPr>
      <w:ind w:left="2592" w:hanging="936"/>
    </w:pPr>
  </w:style>
  <w:style w:type="paragraph" w:styleId="GPSL5numberedclause" w:customStyle="1">
    <w:name w:val="GPS L5 numbered clause"/>
    <w:basedOn w:val="GPSL4numberedclause"/>
    <w:link w:val="GPSL5numberedclauseChar"/>
    <w:qFormat w:val="1"/>
    <w:pPr>
      <w:numPr>
        <w:ilvl w:val="4"/>
      </w:numPr>
    </w:pPr>
  </w:style>
  <w:style w:type="paragraph" w:styleId="GPSL2NumberedBoldHeading" w:customStyle="1">
    <w:name w:val="GPS L2 Numbered Bold Heading"/>
    <w:basedOn w:val="Normal"/>
    <w:qFormat w:val="1"/>
    <w:pPr>
      <w:numPr>
        <w:ilvl w:val="1"/>
        <w:numId w:val="1"/>
      </w:numPr>
      <w:adjustRightInd w:val="0"/>
      <w:spacing w:after="120" w:before="120" w:line="240" w:lineRule="auto"/>
      <w:ind w:left="936" w:hanging="576"/>
      <w:jc w:val="both"/>
    </w:pPr>
    <w:rPr>
      <w:rFonts w:cs="Arial" w:eastAsia="Times New Roman"/>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paragraph" w:styleId="GPSL2numberedclause" w:customStyle="1">
    <w:name w:val="GPS L2 numbered clause"/>
    <w:basedOn w:val="Normal"/>
    <w:link w:val="GPSL2numberedclauseChar1"/>
    <w:qFormat w:val="1"/>
    <w:pPr>
      <w:tabs>
        <w:tab w:val="left" w:pos="1134"/>
      </w:tabs>
      <w:adjustRightInd w:val="0"/>
      <w:spacing w:after="120" w:before="120" w:line="240" w:lineRule="auto"/>
      <w:ind w:left="1134" w:hanging="567"/>
      <w:jc w:val="both"/>
    </w:pPr>
    <w:rPr>
      <w:rFonts w:cs="Arial" w:eastAsia="Times New Roman"/>
      <w:lang w:eastAsia="zh-CN"/>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4numberedclauseChar" w:customStyle="1">
    <w:name w:val="GPS L4 numbered clause Char"/>
    <w:link w:val="GPSL4numberedclause"/>
    <w:rPr>
      <w:rFonts w:ascii="Calibri" w:cs="Arial" w:eastAsia="Times New Roman" w:hAnsi="Calibri"/>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rPr>
      <w:rFonts w:ascii="Calibri" w:cs="Times New Roman" w:eastAsia="Calibri"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Times New Roman" w:eastAsia="Calibri" w:hAnsi="Calibri"/>
      <w:b w:val="1"/>
      <w:bCs w:val="1"/>
      <w:sz w:val="20"/>
      <w:szCs w:val="20"/>
    </w:rPr>
  </w:style>
  <w:style w:type="paragraph" w:styleId="BalloonText">
    <w:name w:val="Balloon Text"/>
    <w:basedOn w:val="Normal"/>
    <w:link w:val="BalloonTextChar"/>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rPr>
      <w:rFonts w:ascii="Tahoma" w:cs="Tahoma" w:eastAsia="Calibri" w:hAnsi="Tahoma"/>
      <w:sz w:val="16"/>
      <w:szCs w:val="16"/>
    </w:rPr>
  </w:style>
  <w:style w:type="paragraph" w:styleId="GPSmacrorestart" w:customStyle="1">
    <w:name w:val="GPS macro restart"/>
    <w:basedOn w:val="Normal"/>
    <w:qFormat w:val="1"/>
    <w:pPr>
      <w:overflowPunct w:val="0"/>
      <w:autoSpaceDE w:val="0"/>
      <w:autoSpaceDN w:val="0"/>
      <w:adjustRightInd w:val="0"/>
      <w:spacing w:after="0" w:line="240" w:lineRule="auto"/>
      <w:jc w:val="both"/>
      <w:textAlignment w:val="baseline"/>
    </w:pPr>
    <w:rPr>
      <w:rFonts w:ascii="Arial" w:cs="Arial" w:eastAsia="Times New Roman" w:hAnsi="Arial"/>
      <w:color w:val="ffffff"/>
      <w:sz w:val="16"/>
      <w:szCs w:val="16"/>
    </w:rPr>
  </w:style>
  <w:style w:type="character" w:styleId="GPSL1CLAUSEHEADINGChar" w:customStyle="1">
    <w:name w:val="GPS L1 CLAUSE HEADING Char"/>
    <w:link w:val="GPSL1CLAUSEHEADING"/>
    <w:rPr>
      <w:rFonts w:ascii="Calibri" w:cs="Arial" w:eastAsia="STZhongsong" w:hAnsi="Calibri"/>
      <w:b w:val="1"/>
      <w:caps w:val="1"/>
      <w:lang w:eastAsia="zh-CN"/>
    </w:rPr>
  </w:style>
  <w:style w:type="paragraph" w:styleId="GPSSchTitleandNumber" w:customStyle="1">
    <w:name w:val="GPS Sch Title and Number"/>
    <w:basedOn w:val="Normal"/>
    <w:link w:val="GPSSchTitleandNumberChar"/>
    <w:qFormat w:val="1"/>
    <w:pPr>
      <w:keepNext w:val="1"/>
      <w:adjustRightInd w:val="0"/>
      <w:spacing w:after="240" w:line="240" w:lineRule="auto"/>
      <w:jc w:val="center"/>
      <w:outlineLvl w:val="0"/>
    </w:pPr>
    <w:rPr>
      <w:rFonts w:ascii="Arial Bold" w:eastAsia="STZhongsong" w:hAnsi="Arial Bold"/>
      <w:b w:val="1"/>
      <w:caps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paragraph" w:styleId="GPsDefinition" w:customStyle="1">
    <w:name w:val="GPs Definition"/>
    <w:basedOn w:val="Normal"/>
    <w:qFormat w:val="1"/>
    <w:pPr>
      <w:numPr>
        <w:numId w:val="2"/>
      </w:numPr>
      <w:tabs>
        <w:tab w:val="left" w:pos="-9"/>
      </w:tabs>
      <w:overflowPunct w:val="0"/>
      <w:autoSpaceDE w:val="0"/>
      <w:autoSpaceDN w:val="0"/>
      <w:adjustRightInd w:val="0"/>
      <w:spacing w:after="120" w:line="240" w:lineRule="auto"/>
      <w:jc w:val="both"/>
      <w:textAlignment w:val="baseline"/>
    </w:pPr>
    <w:rPr>
      <w:rFonts w:ascii="Arial" w:cs="Arial" w:eastAsia="Times New Roman" w:hAnsi="Arial"/>
    </w:rPr>
  </w:style>
  <w:style w:type="paragraph" w:styleId="GPSDefinitionL2" w:customStyle="1">
    <w:name w:val="GPS Definition L2"/>
    <w:basedOn w:val="GPsDefinition"/>
    <w:qFormat w:val="1"/>
    <w:pPr>
      <w:numPr>
        <w:ilvl w:val="1"/>
      </w:numPr>
      <w:tabs>
        <w:tab w:val="clear" w:pos="-9"/>
        <w:tab w:val="left" w:pos="144"/>
      </w:tabs>
      <w:ind w:hanging="545"/>
    </w:pPr>
  </w:style>
  <w:style w:type="paragraph" w:styleId="GPSDefinitionL3" w:customStyle="1">
    <w:name w:val="GPS Definition L3"/>
    <w:basedOn w:val="GPSDefinitionL2"/>
    <w:qFormat w:val="1"/>
    <w:pPr>
      <w:numPr>
        <w:ilvl w:val="2"/>
      </w:numPr>
    </w:pPr>
  </w:style>
  <w:style w:type="paragraph" w:styleId="GPSDefinitionL4" w:customStyle="1">
    <w:name w:val="GPS Definition L4"/>
    <w:basedOn w:val="GPSDefinitionL3"/>
    <w:qFormat w:val="1"/>
    <w:pPr>
      <w:numPr>
        <w:ilvl w:val="3"/>
      </w:numPr>
    </w:pPr>
  </w:style>
  <w:style w:type="paragraph" w:styleId="GPSSchAnnexname" w:customStyle="1">
    <w:name w:val="GPS Sch Annex name"/>
    <w:basedOn w:val="GPSSchTitleandNumber"/>
    <w:link w:val="GPSSchAnnexnameChar"/>
    <w:qFormat w:val="1"/>
    <w:pPr>
      <w:outlineLvl w:val="1"/>
    </w:pPr>
    <w:rPr>
      <w:rFonts w:ascii="Calibri" w:hAnsi="Calibri"/>
      <w:sz w:val="20"/>
    </w:rPr>
  </w:style>
  <w:style w:type="paragraph" w:styleId="GPSL1SCHEDULEHeading" w:customStyle="1">
    <w:name w:val="GPS L1 SCHEDULE Heading"/>
    <w:basedOn w:val="GPSL1CLAUSEHEADING"/>
    <w:link w:val="GPSL1SCHEDULEHeadingChar"/>
    <w:qFormat w:val="1"/>
    <w:pPr>
      <w:numPr>
        <w:numId w:val="0"/>
      </w:numPr>
      <w:tabs>
        <w:tab w:val="clear" w:pos="142"/>
        <w:tab w:val="left" w:pos="0"/>
      </w:tabs>
      <w:ind w:left="360" w:hanging="360"/>
      <w:outlineLvl w:val="9"/>
    </w:pPr>
  </w:style>
  <w:style w:type="character" w:styleId="GPSSchAnnexnameChar" w:customStyle="1">
    <w:name w:val="GPS Sch Annex name Char"/>
    <w:link w:val="GPSSchAnnexname"/>
    <w:rPr>
      <w:rFonts w:ascii="Calibri" w:cs="Times New Roman" w:eastAsia="STZhongsong" w:hAnsi="Calibri"/>
      <w:b w:val="1"/>
      <w:caps w:val="1"/>
      <w:sz w:val="20"/>
      <w:lang w:eastAsia="zh-CN"/>
    </w:rPr>
  </w:style>
  <w:style w:type="paragraph" w:styleId="GPSSchPart" w:customStyle="1">
    <w:name w:val="GPS Sch Part"/>
    <w:basedOn w:val="GPSSchAnnexname"/>
    <w:link w:val="GPSSchPartChar"/>
    <w:qFormat w:val="1"/>
    <w:pPr>
      <w:outlineLvl w:val="9"/>
    </w:pPr>
  </w:style>
  <w:style w:type="character" w:styleId="GPSL1SCHEDULEHeadingChar" w:customStyle="1">
    <w:name w:val="GPS L1 SCHEDULE Heading Char"/>
    <w:link w:val="GPSL1SCHEDULEHeading"/>
    <w:rPr>
      <w:rFonts w:ascii="Calibri" w:cs="Arial" w:eastAsia="STZhongsong" w:hAnsi="Calibri"/>
      <w:b w:val="1"/>
      <w:caps w:val="1"/>
      <w:lang w:eastAsia="zh-CN"/>
    </w:rPr>
  </w:style>
  <w:style w:type="character" w:styleId="GPSSchPartChar" w:customStyle="1">
    <w:name w:val="GPS Sch Part Char"/>
    <w:link w:val="GPSSchPart"/>
    <w:rPr>
      <w:rFonts w:ascii="Calibri" w:cs="Times New Roman" w:eastAsia="STZhongsong" w:hAnsi="Calibri"/>
      <w:b w:val="1"/>
      <w:caps w:val="1"/>
      <w:sz w:val="20"/>
      <w:lang w:eastAsia="zh-CN"/>
    </w:rPr>
  </w:style>
  <w:style w:type="paragraph" w:styleId="BodyTextIndent">
    <w:name w:val="Body Text Indent"/>
    <w:basedOn w:val="Normal"/>
    <w:link w:val="BodyTextIndentChar"/>
    <w:pPr>
      <w:numPr>
        <w:numId w:val="5"/>
      </w:numPr>
      <w:adjustRightInd w:val="0"/>
      <w:spacing w:after="240" w:line="240" w:lineRule="auto"/>
      <w:jc w:val="both"/>
    </w:pPr>
    <w:rPr>
      <w:rFonts w:eastAsia="Times New Roman"/>
      <w:lang w:eastAsia="zh-CN"/>
    </w:rPr>
  </w:style>
  <w:style w:type="character" w:styleId="BodyTextIndentChar" w:customStyle="1">
    <w:name w:val="Body Text Indent Char"/>
    <w:basedOn w:val="DefaultParagraphFont"/>
    <w:link w:val="BodyTextIndent"/>
    <w:rPr>
      <w:rFonts w:ascii="Calibri" w:cs="Times New Roman" w:eastAsia="Times New Roman" w:hAnsi="Calibri"/>
      <w:lang w:eastAsia="zh-CN"/>
    </w:rPr>
  </w:style>
  <w:style w:type="character" w:styleId="GPSL5numberedclauseChar" w:customStyle="1">
    <w:name w:val="GPS L5 numbered clause Char"/>
    <w:link w:val="GPSL5numberedclause"/>
    <w:locked w:val="1"/>
    <w:rPr>
      <w:rFonts w:ascii="Calibri" w:cs="Arial" w:eastAsia="Times New Roman" w:hAnsi="Calibri"/>
      <w:lang w:eastAsia="zh-CN"/>
    </w:rPr>
  </w:style>
  <w:style w:type="paragraph" w:styleId="GPSL2Indent" w:customStyle="1">
    <w:name w:val="GPS L2 Indent"/>
    <w:basedOn w:val="Normal"/>
    <w:link w:val="GPSL2IndentChar"/>
    <w:qFormat w:val="1"/>
    <w:pPr>
      <w:tabs>
        <w:tab w:val="left" w:pos="3402"/>
      </w:tabs>
      <w:overflowPunct w:val="0"/>
      <w:autoSpaceDE w:val="0"/>
      <w:autoSpaceDN w:val="0"/>
      <w:adjustRightInd w:val="0"/>
      <w:spacing w:after="220" w:line="240" w:lineRule="auto"/>
      <w:ind w:left="1134"/>
      <w:jc w:val="both"/>
      <w:textAlignment w:val="baseline"/>
    </w:pPr>
    <w:rPr>
      <w:rFonts w:cs="Arial" w:eastAsia="Times New Roman"/>
      <w:szCs w:val="24"/>
    </w:rPr>
  </w:style>
  <w:style w:type="character" w:styleId="GPSL2IndentChar" w:customStyle="1">
    <w:name w:val="GPS L2 Indent Char"/>
    <w:link w:val="GPSL2Indent"/>
    <w:rPr>
      <w:rFonts w:ascii="Calibri" w:cs="Arial" w:eastAsia="Times New Roman" w:hAnsi="Calibri"/>
      <w:szCs w:val="24"/>
    </w:rPr>
  </w:style>
  <w:style w:type="paragraph" w:styleId="GPSDefinitionTerm" w:customStyle="1">
    <w:name w:val="GPS Definition Term"/>
    <w:basedOn w:val="Normal"/>
    <w:qFormat w:val="1"/>
    <w:pPr>
      <w:overflowPunct w:val="0"/>
      <w:autoSpaceDE w:val="0"/>
      <w:autoSpaceDN w:val="0"/>
      <w:adjustRightInd w:val="0"/>
      <w:spacing w:after="120" w:line="240" w:lineRule="auto"/>
      <w:ind w:left="-108"/>
      <w:textAlignment w:val="baseline"/>
    </w:pPr>
    <w:rPr>
      <w:rFonts w:ascii="Arial" w:cs="Arial" w:eastAsia="Times New Roman" w:hAnsi="Arial"/>
      <w:b w:val="1"/>
    </w:rPr>
  </w:style>
  <w:style w:type="table" w:styleId="TableGrid">
    <w:name w:val="Table Grid"/>
    <w:basedOn w:val="TableNormal"/>
    <w:uiPriority w:val="59"/>
    <w:pPr>
      <w:spacing w:after="0" w:line="240" w:lineRule="auto"/>
    </w:pPr>
    <w:rPr>
      <w:rFonts w:ascii="Calibri" w:cs="Times New Roman" w:eastAsia="Calibri" w:hAnsi="Calibri"/>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customStyle="1">
    <w:name w:val="Footnote Text Char"/>
    <w:basedOn w:val="DefaultParagraphFont"/>
    <w:link w:val="FootnoteText"/>
    <w:uiPriority w:val="99"/>
    <w:semiHidden w:val="1"/>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Pr>
      <w:vertAlign w:val="superscript"/>
    </w:rPr>
  </w:style>
  <w:style w:type="character" w:styleId="Heading1Char" w:customStyle="1">
    <w:name w:val="Heading 1 Char"/>
    <w:basedOn w:val="DefaultParagraphFont"/>
    <w:link w:val="Heading1"/>
    <w:uiPriority w:val="9"/>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Pr>
      <w:rFonts w:asciiTheme="majorHAnsi" w:cstheme="majorBidi" w:eastAsiaTheme="majorEastAsia" w:hAnsiTheme="majorHAnsi"/>
      <w:b w:val="1"/>
      <w:bCs w:val="1"/>
      <w:color w:val="4f81bd" w:themeColor="accent1"/>
      <w:sz w:val="26"/>
      <w:szCs w:val="2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K9WfBJ/G7N0LbOCNnm/ymNaqaA==">CgMxLjAyCGguZ2pkZ3hzOAByITFzTFdoRWRRQVFuTkdVR0pFQWg5MGZZcXFrdWZtTnJWRA==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2020-12-10T14:34:00Z</dcterms:created>
  <dc:creator>Christopher Stanley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ies>
</file>