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pBdr>
          <w:top w:space="0" w:sz="0" w:val="nil"/>
          <w:left w:space="0" w:sz="0" w:val="nil"/>
          <w:bottom w:space="0" w:sz="0" w:val="nil"/>
          <w:right w:space="0" w:sz="0" w:val="nil"/>
          <w:between w:space="0" w:sz="0" w:val="nil"/>
        </w:pBdr>
        <w:ind w:left="0" w:firstLine="0"/>
        <w:jc w:val="left"/>
        <w:rPr>
          <w:b w:val="1"/>
          <w:sz w:val="36"/>
          <w:szCs w:val="36"/>
        </w:rPr>
      </w:pPr>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ind w:left="0" w:firstLine="0"/>
        <w:jc w:val="left"/>
        <w:rPr>
          <w:b w:val="1"/>
          <w:color w:val="000000"/>
          <w:sz w:val="36"/>
          <w:szCs w:val="36"/>
        </w:rPr>
      </w:pPr>
      <w:r w:rsidDel="00000000" w:rsidR="00000000" w:rsidRPr="00000000">
        <w:rPr>
          <w:b w:val="1"/>
          <w:color w:val="000000"/>
          <w:sz w:val="36"/>
          <w:szCs w:val="36"/>
          <w:rtl w:val="0"/>
        </w:rPr>
        <w:t xml:space="preserve">Call-Off Schedule 24 (Corporate Resolution Planning)</w:t>
      </w:r>
    </w:p>
    <w:p w:rsidR="00000000" w:rsidDel="00000000" w:rsidP="00000000" w:rsidRDefault="00000000" w:rsidRPr="00000000" w14:paraId="00000003">
      <w:pPr>
        <w:keepNext w:val="1"/>
        <w:numPr>
          <w:ilvl w:val="0"/>
          <w:numId w:val="5"/>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smallCaps w:val="1"/>
          <w:color w:val="000000"/>
          <w:sz w:val="24"/>
          <w:szCs w:val="24"/>
        </w:rPr>
      </w:pPr>
      <w:bookmarkStart w:colFirst="0" w:colLast="0" w:name="_heading=h.gjdgxs" w:id="0"/>
      <w:bookmarkEnd w:id="0"/>
      <w:r w:rsidDel="00000000" w:rsidR="00000000" w:rsidRPr="00000000">
        <w:rPr>
          <w:b w:val="1"/>
          <w:smallCaps w:val="1"/>
          <w:color w:val="000000"/>
          <w:sz w:val="24"/>
          <w:szCs w:val="24"/>
          <w:rtl w:val="0"/>
        </w:rPr>
        <w:t xml:space="preserve">D</w:t>
      </w:r>
      <w:r w:rsidDel="00000000" w:rsidR="00000000" w:rsidRPr="00000000">
        <w:rPr>
          <w:rFonts w:ascii="Arial" w:cs="Arial" w:eastAsia="Arial" w:hAnsi="Arial"/>
          <w:b w:val="1"/>
          <w:color w:val="000000"/>
          <w:sz w:val="24"/>
          <w:szCs w:val="24"/>
          <w:rtl w:val="0"/>
        </w:rPr>
        <w:t xml:space="preserve">efinitions</w:t>
      </w:r>
      <w:r w:rsidDel="00000000" w:rsidR="00000000" w:rsidRPr="00000000">
        <w:rPr>
          <w:rtl w:val="0"/>
        </w:rPr>
      </w:r>
    </w:p>
    <w:p w:rsidR="00000000" w:rsidDel="00000000" w:rsidP="00000000" w:rsidRDefault="00000000" w:rsidRPr="00000000" w14:paraId="00000004">
      <w:pPr>
        <w:keepNext w:val="1"/>
        <w:numPr>
          <w:ilvl w:val="1"/>
          <w:numId w:val="5"/>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In this Schedule, the following words shall have the following meanings and they shall supplement Joint Schedule 1 (Definitions):</w:t>
      </w:r>
    </w:p>
    <w:tbl>
      <w:tblPr>
        <w:tblStyle w:val="Table1"/>
        <w:tblW w:w="8172.0" w:type="dxa"/>
        <w:jc w:val="left"/>
        <w:tblInd w:w="10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7"/>
        <w:gridCol w:w="5075"/>
        <w:tblGridChange w:id="0">
          <w:tblGrid>
            <w:gridCol w:w="3097"/>
            <w:gridCol w:w="5075"/>
          </w:tblGrid>
        </w:tblGridChange>
      </w:tblGrid>
      <w:tr>
        <w:trPr>
          <w:cantSplit w:val="0"/>
          <w:tblHeader w:val="0"/>
        </w:trPr>
        <w:tc>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"Accounting Reference Date"</w:t>
            </w:r>
          </w:p>
        </w:tc>
        <w:tc>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200" w:before="10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means in each year the date to which the Supplier prepares its annual audited financial statements;</w:t>
            </w:r>
          </w:p>
        </w:tc>
      </w:tr>
      <w:tr>
        <w:trPr>
          <w:cantSplit w:val="0"/>
          <w:tblHeader w:val="0"/>
        </w:trPr>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“Annual Revenue”</w:t>
            </w:r>
          </w:p>
        </w:tc>
        <w:tc>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200" w:before="10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24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figures for accounting periods of other than 12 months should be scaled pro rata to produce a proforma figure for a 12 month period; and</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where the Supplier, the Supplier Group and/or their joint ventures and Associates report in a foreign currency, revenue should be converted to British Pound Sterling at the closing exchange rate on the Accounting Reference Date;</w:t>
            </w:r>
          </w:p>
        </w:tc>
      </w:tr>
      <w:tr>
        <w:trPr>
          <w:cantSplit w:val="0"/>
          <w:tblHeader w:val="0"/>
        </w:trPr>
        <w:tc>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“Appropriate Authority” or “Appropriate Authorities”</w:t>
            </w:r>
          </w:p>
        </w:tc>
        <w:tc>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00" w:before="10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means the Buyer and the Cabinet Office Markets and Suppliers Team or, where the Supplier is a Strategic Supplier, the Cabinet Office Markets and Suppliers Team;</w:t>
            </w:r>
          </w:p>
        </w:tc>
      </w:tr>
      <w:tr>
        <w:trPr>
          <w:cantSplit w:val="0"/>
          <w:tblHeader w:val="0"/>
        </w:trPr>
        <w:tc>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"Cabinet Office Markets and Suppliers Team"</w:t>
            </w:r>
          </w:p>
        </w:tc>
        <w:tc>
          <w:tcPr/>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means the UK Government’s team responsible for managing the relationship between government and its Strategic Suppliers, or any replacement or successor body carrying out the same function;</w:t>
            </w:r>
          </w:p>
        </w:tc>
      </w:tr>
      <w:tr>
        <w:trPr>
          <w:cantSplit w:val="0"/>
          <w:tblHeader w:val="0"/>
        </w:trPr>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“Class 1 Transaction”</w:t>
            </w:r>
          </w:p>
        </w:tc>
        <w:tc>
          <w:tcPr/>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has the meaning set out in the listing rules issued by the UK Listing Authority;</w:t>
            </w:r>
          </w:p>
        </w:tc>
      </w:tr>
      <w:tr>
        <w:trPr>
          <w:cantSplit w:val="0"/>
          <w:tblHeader w:val="0"/>
        </w:trPr>
        <w:tc>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“Control”</w:t>
            </w:r>
          </w:p>
        </w:tc>
        <w:tc>
          <w:tcPr/>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tc>
      </w:tr>
      <w:tr>
        <w:trPr>
          <w:cantSplit w:val="0"/>
          <w:tblHeader w:val="0"/>
        </w:trPr>
        <w:tc>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“Corporate Change Event”</w:t>
            </w:r>
          </w:p>
        </w:tc>
        <w:tc>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means:</w:t>
            </w:r>
          </w:p>
          <w:p w:rsidR="00000000" w:rsidDel="00000000" w:rsidP="00000000" w:rsidRDefault="00000000" w:rsidRPr="00000000" w14:paraId="00000015">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any change of Control of the Supplier or a Parent Undertaking of the Supplier;</w:t>
            </w:r>
          </w:p>
          <w:p w:rsidR="00000000" w:rsidDel="00000000" w:rsidP="00000000" w:rsidRDefault="00000000" w:rsidRPr="00000000" w14:paraId="00000016">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any change of Control of any member of the Supplier Group which, in the reasonable opinion of the Buyer, could have a material adverse effect on the Deliverables; </w:t>
            </w:r>
          </w:p>
          <w:p w:rsidR="00000000" w:rsidDel="00000000" w:rsidP="00000000" w:rsidRDefault="00000000" w:rsidRPr="00000000" w14:paraId="00000017">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any change to the business of the Supplier or any member of the Supplier Group which, in the reasonable opinion of the Buyer, could have a material adverse effect on the Deliverables;</w:t>
            </w:r>
          </w:p>
          <w:p w:rsidR="00000000" w:rsidDel="00000000" w:rsidP="00000000" w:rsidRDefault="00000000" w:rsidRPr="00000000" w14:paraId="00000018">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 Class 1 Transaction taking place in relation to the shares of the Supplier or any Parent Undertaking of the Supplier whose shares are listed on the main market of the London Stock Exchange plc;</w:t>
            </w:r>
          </w:p>
          <w:p w:rsidR="00000000" w:rsidDel="00000000" w:rsidP="00000000" w:rsidRDefault="00000000" w:rsidRPr="00000000" w14:paraId="00000019">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an event that could reasonably be regarded as being equivalent to a Class 1 Transaction taking place in respect of the Supplier or any Parent Undertaking of the Supplier;</w:t>
            </w:r>
          </w:p>
          <w:p w:rsidR="00000000" w:rsidDel="00000000" w:rsidP="00000000" w:rsidRDefault="00000000" w:rsidRPr="00000000" w14:paraId="0000001A">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payment of dividends by the Supplier or the ultimate Parent Undertaking of the Supplier Group exceeding 25% of the Net Asset Value of the Supplier or the ultimate Parent Undertaking of the Supplier Group respectively in any 12 month period;</w:t>
            </w:r>
          </w:p>
          <w:p w:rsidR="00000000" w:rsidDel="00000000" w:rsidP="00000000" w:rsidRDefault="00000000" w:rsidRPr="00000000" w14:paraId="0000001B">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an order is made or an effective resolution is passed for the winding up of any member of the Supplier Group; </w:t>
            </w:r>
          </w:p>
          <w:p w:rsidR="00000000" w:rsidDel="00000000" w:rsidP="00000000" w:rsidRDefault="00000000" w:rsidRPr="00000000" w14:paraId="0000001C">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rsidR="00000000" w:rsidDel="00000000" w:rsidP="00000000" w:rsidRDefault="00000000" w:rsidRPr="00000000" w14:paraId="0000001D">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appointment of a receiver, administrative receiver or administrator in respect of or over all or a material part of the undertaking or assets of any member of the Supplier Group; and/or</w:t>
            </w:r>
          </w:p>
          <w:p w:rsidR="00000000" w:rsidDel="00000000" w:rsidP="00000000" w:rsidRDefault="00000000" w:rsidRPr="00000000" w14:paraId="0000001E">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any process or events with an effect analogous to those in paragraphs (e) to (g) inclusive above occurring to a member of the Supplier Group in a jurisdiction outside England and Wales;</w:t>
            </w:r>
          </w:p>
        </w:tc>
      </w:tr>
      <w:tr>
        <w:trPr>
          <w:cantSplit w:val="0"/>
          <w:tblHeader w:val="0"/>
        </w:trPr>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"Corporate Change Event Grace Period"</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200" w:before="10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means a grace period agreed to by the Appropriate Authority for providing CRP Information and/or updates to Business  Continuity Plan after a Corporate Change Event;</w:t>
            </w:r>
          </w:p>
        </w:tc>
      </w:tr>
      <w:tr>
        <w:trPr>
          <w:cantSplit w:val="0"/>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"Corporate Resolvability Assessment (Structural Review)"</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200" w:before="10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means part of the CRP Information relating to the Supplier Group to be provided by the Supplier in accordance with Paragraph 3 and Annex 2 of this Schedule;</w:t>
            </w:r>
          </w:p>
        </w:tc>
      </w:tr>
      <w:tr>
        <w:trPr>
          <w:cantSplit w:val="0"/>
          <w:tblHeader w:val="0"/>
        </w:trPr>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“Critical National Infrastructure” or “CNI”</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200" w:before="10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means those critical elements of UK national infrastructure (namely assets, facilities, systems, networks or processes and the essential workers that operate and facilitate them), the loss or compromise of which could result in:</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24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major detrimental impact on the availability, integrity or delivery of essential services – including those services whose integrity, if compromised, could result in significant loss of life or casualties – taking into account significant economic or social impacts; and/or</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significant impact on the national security, national defence, or the functioning of the UK;</w:t>
            </w:r>
          </w:p>
        </w:tc>
      </w:tr>
      <w:tr>
        <w:trPr>
          <w:cantSplit w:val="0"/>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“Critical Service Contract”</w:t>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means the overall status of the Services provided under the Contract as determined by the Buyer and specified in Paragraph 2 of this Schedule;</w:t>
            </w:r>
          </w:p>
        </w:tc>
      </w:tr>
      <w:tr>
        <w:trPr>
          <w:cantSplit w:val="0"/>
          <w:tblHeader w:val="0"/>
        </w:trPr>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“CRP Information”</w:t>
            </w:r>
          </w:p>
        </w:tc>
        <w:tc>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200" w:before="10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means the corporate resolution planning information, together, the:</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 Exposure Information (Contracts List);</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 Corporate Resolvability Assessment (Structural Review); and</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rtl w:val="0"/>
              </w:rPr>
              <w:t xml:space="preserve">(c) Financial Information and Commentary</w:t>
            </w:r>
            <w:r w:rsidDel="00000000" w:rsidR="00000000" w:rsidRPr="00000000">
              <w:rPr>
                <w:rtl w:val="0"/>
              </w:rPr>
            </w:r>
          </w:p>
        </w:tc>
      </w:tr>
      <w:tr>
        <w:trPr>
          <w:cantSplit w:val="0"/>
          <w:tblHeader w:val="0"/>
        </w:trPr>
        <w:tc>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“Public Sector Dependent Supplier”</w:t>
            </w:r>
          </w:p>
        </w:tc>
        <w:tc>
          <w:tcPr/>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means a supplier where that supplier, or that supplier’s group has Annual Revenue of £50 million or more of which over 50% is generated from UK Public Sector Business;</w:t>
            </w:r>
          </w:p>
        </w:tc>
      </w:tr>
      <w:tr>
        <w:trPr>
          <w:cantSplit w:val="0"/>
          <w:trHeight w:val="567" w:hRule="atLeast"/>
          <w:tblHeader w:val="0"/>
        </w:trPr>
        <w:tc>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“Strategic Supplier”</w:t>
            </w:r>
          </w:p>
        </w:tc>
        <w:tc>
          <w:tcPr/>
          <w:p w:rsidR="00000000" w:rsidDel="00000000" w:rsidP="00000000" w:rsidRDefault="00000000" w:rsidRPr="00000000" w14:paraId="00000031">
            <w:pP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means those suppliers to government listed at</w:t>
            </w:r>
          </w:p>
          <w:p w:rsidR="00000000" w:rsidDel="00000000" w:rsidP="00000000" w:rsidRDefault="00000000" w:rsidRPr="00000000" w14:paraId="00000032">
            <w:pP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https://www.gov.uk/government/publications/strategic-suppliers;</w:t>
            </w:r>
          </w:p>
        </w:tc>
      </w:tr>
      <w:tr>
        <w:trPr>
          <w:cantSplit w:val="0"/>
          <w:tblHeader w:val="0"/>
        </w:trPr>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“UK Public Sector Business”</w:t>
            </w:r>
          </w:p>
        </w:tc>
        <w:tc>
          <w:tcPr/>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trPr>
          <w:cantSplit w:val="0"/>
          <w:tblHeader w:val="0"/>
        </w:trPr>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“UK Public Sector / CNI Contract Information”</w:t>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means the information relating to the Supplier Group to be provided by the Supplier in accordance with Paragraphs 3 to 5 and Annex 1;</w:t>
            </w:r>
          </w:p>
        </w:tc>
      </w:tr>
    </w:tbl>
    <w:p w:rsidR="00000000" w:rsidDel="00000000" w:rsidP="00000000" w:rsidRDefault="00000000" w:rsidRPr="00000000" w14:paraId="00000037">
      <w:pPr>
        <w:keepNext w:val="1"/>
        <w:pBdr>
          <w:top w:space="0" w:sz="0" w:val="nil"/>
          <w:left w:space="0" w:sz="0" w:val="nil"/>
          <w:bottom w:space="0" w:sz="0" w:val="nil"/>
          <w:right w:space="0" w:sz="0" w:val="nil"/>
          <w:between w:space="0" w:sz="0" w:val="nil"/>
        </w:pBdr>
        <w:tabs>
          <w:tab w:val="left" w:leader="none" w:pos="0"/>
        </w:tabs>
        <w:spacing w:before="240" w:lineRule="auto"/>
        <w:ind w:left="720" w:firstLine="0"/>
        <w:jc w:val="left"/>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38">
      <w:pPr>
        <w:ind w:firstLine="1418"/>
        <w:jc w:val="left"/>
        <w:rPr>
          <w:color w:val="000000"/>
          <w:sz w:val="24"/>
          <w:szCs w:val="24"/>
        </w:rPr>
      </w:pPr>
      <w:r w:rsidDel="00000000" w:rsidR="00000000" w:rsidRPr="00000000">
        <w:rPr>
          <w:rtl w:val="0"/>
        </w:rPr>
      </w:r>
    </w:p>
    <w:p w:rsidR="00000000" w:rsidDel="00000000" w:rsidP="00000000" w:rsidRDefault="00000000" w:rsidRPr="00000000" w14:paraId="00000039">
      <w:pPr>
        <w:ind w:firstLine="1418"/>
        <w:jc w:val="left"/>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A">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color w:val="000000"/>
          <w:sz w:val="24"/>
          <w:szCs w:val="24"/>
        </w:rPr>
      </w:pPr>
      <w:r w:rsidDel="00000000" w:rsidR="00000000" w:rsidRPr="00000000">
        <w:rPr>
          <w:b w:val="1"/>
          <w:color w:val="000000"/>
          <w:sz w:val="24"/>
          <w:szCs w:val="24"/>
          <w:rtl w:val="0"/>
        </w:rPr>
        <w:t xml:space="preserve">Service Status and Supplier Status</w:t>
      </w:r>
    </w:p>
    <w:p w:rsidR="00000000" w:rsidDel="00000000" w:rsidP="00000000" w:rsidRDefault="00000000" w:rsidRPr="00000000" w14:paraId="0000003B">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This Contract </w:t>
      </w:r>
      <w:r w:rsidDel="00000000" w:rsidR="00000000" w:rsidRPr="00000000">
        <w:rPr>
          <w:color w:val="000000"/>
          <w:sz w:val="24"/>
          <w:szCs w:val="24"/>
          <w:highlight w:val="yellow"/>
          <w:rtl w:val="0"/>
        </w:rPr>
        <w:t xml:space="preserve">[insert ‘is’ or ‘is not’</w:t>
      </w:r>
      <w:r w:rsidDel="00000000" w:rsidR="00000000" w:rsidRPr="00000000">
        <w:rPr>
          <w:color w:val="000000"/>
          <w:sz w:val="24"/>
          <w:szCs w:val="24"/>
          <w:rtl w:val="0"/>
        </w:rPr>
        <w:t xml:space="preserve">] a Critical Service Contract.</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highlight w:val="yellow"/>
          <w:u w:val="none"/>
          <w:vertAlign w:val="baseline"/>
          <w:rtl w:val="0"/>
        </w:rPr>
        <w:t xml:space="preserve">[Guidance: A Critical Service Contract is a service contract which the Buyer has categorised as a Gold contract using the Cabinet Office Contract Tiering Tool available on the Knowledge Hub or which the Buyer, in consultation with the Cabinet Office Markets and Suppliers Team if appropriate, otherwise considers should be classed as a Critical Service Contract.]</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120" w:before="120" w:lineRule="auto"/>
        <w:ind w:left="720" w:firstLine="0"/>
        <w:jc w:val="left"/>
        <w:rPr>
          <w:color w:val="000000"/>
          <w:sz w:val="24"/>
          <w:szCs w:val="24"/>
        </w:rPr>
      </w:pPr>
      <w:r w:rsidDel="00000000" w:rsidR="00000000" w:rsidRPr="00000000">
        <w:rPr>
          <w:rtl w:val="0"/>
        </w:rPr>
      </w:r>
    </w:p>
    <w:p w:rsidR="00000000" w:rsidDel="00000000" w:rsidP="00000000" w:rsidRDefault="00000000" w:rsidRPr="00000000" w14:paraId="0000003E">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Supplier shall notify the Buyer </w:t>
      </w:r>
      <w:r w:rsidDel="00000000" w:rsidR="00000000" w:rsidRPr="00000000">
        <w:rPr>
          <w:color w:val="000000"/>
          <w:rtl w:val="0"/>
        </w:rPr>
        <w:t xml:space="preserve">and the Cabinet Office Markets and Suppliers </w:t>
      </w:r>
      <w:r w:rsidDel="00000000" w:rsidR="00000000" w:rsidRPr="00000000">
        <w:rPr>
          <w:rtl w:val="0"/>
        </w:rPr>
        <w:t xml:space="preserve">Team</w:t>
      </w:r>
      <w:r w:rsidDel="00000000" w:rsidR="00000000" w:rsidRPr="00000000">
        <w:rPr>
          <w:color w:val="000000"/>
          <w:sz w:val="24"/>
          <w:szCs w:val="24"/>
          <w:rtl w:val="0"/>
        </w:rPr>
        <w:t xml:space="preserve"> in writing within 5 Working Days of the Effective Date and throughout the Call-Off Contract Period within 120 days after each Accounting Reference Date as to whether or not it is a Public Sector Dependent Supplier. </w:t>
      </w:r>
      <w:r w:rsidDel="00000000" w:rsidR="00000000" w:rsidRPr="00000000">
        <w:rPr>
          <w:color w:val="000000"/>
          <w:rtl w:val="0"/>
        </w:rPr>
        <w:t xml:space="preserve">The contact email address for the Markets and Suppliers Team is </w:t>
      </w:r>
      <w:hyperlink r:id="rId7">
        <w:r w:rsidDel="00000000" w:rsidR="00000000" w:rsidRPr="00000000">
          <w:rPr>
            <w:color w:val="0000ff"/>
            <w:u w:val="single"/>
            <w:rtl w:val="0"/>
          </w:rPr>
          <w:t xml:space="preserve">resolution.planning@cabinetoffice.gov.uk</w:t>
        </w:r>
      </w:hyperlink>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3F">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Buyer and the Supplier recognise that, where specified in Framework Schedule 4 (Framework Management), CCS shall have the right to enforce the Buyer's rights under this Schedule.</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20" w:before="120" w:lineRule="auto"/>
        <w:ind w:left="720" w:firstLine="0"/>
        <w:jc w:val="left"/>
        <w:rPr>
          <w:color w:val="000000"/>
          <w:sz w:val="24"/>
          <w:szCs w:val="24"/>
        </w:rPr>
      </w:pPr>
      <w:r w:rsidDel="00000000" w:rsidR="00000000" w:rsidRPr="00000000">
        <w:rPr>
          <w:rtl w:val="0"/>
        </w:rPr>
      </w:r>
    </w:p>
    <w:p w:rsidR="00000000" w:rsidDel="00000000" w:rsidP="00000000" w:rsidRDefault="00000000" w:rsidRPr="00000000" w14:paraId="00000041">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color w:val="000000"/>
          <w:sz w:val="24"/>
          <w:szCs w:val="24"/>
        </w:rPr>
      </w:pPr>
      <w:r w:rsidDel="00000000" w:rsidR="00000000" w:rsidRPr="00000000">
        <w:rPr>
          <w:b w:val="1"/>
          <w:color w:val="000000"/>
          <w:sz w:val="24"/>
          <w:szCs w:val="24"/>
          <w:rtl w:val="0"/>
        </w:rPr>
        <w:t xml:space="preserve">Provision of Corporate Resolution Planning Information</w:t>
      </w:r>
    </w:p>
    <w:p w:rsidR="00000000" w:rsidDel="00000000" w:rsidP="00000000" w:rsidRDefault="00000000" w:rsidRPr="00000000" w14:paraId="00000042">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Paragraphs 3 to 5 shall apply if the Contract has been specified as a Critical Service Contract under Paragraph 2.1 or the Supplier is or becomes a Public Sector Dependent Supplier.</w:t>
      </w:r>
    </w:p>
    <w:p w:rsidR="00000000" w:rsidDel="00000000" w:rsidP="00000000" w:rsidRDefault="00000000" w:rsidRPr="00000000" w14:paraId="00000043">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Subject to Paragraphs 3.6, 3.10 and 3.11:</w:t>
      </w:r>
    </w:p>
    <w:p w:rsidR="00000000" w:rsidDel="00000000" w:rsidP="00000000" w:rsidRDefault="00000000" w:rsidRPr="00000000" w14:paraId="00000044">
      <w:pPr>
        <w:keepNext w:val="1"/>
        <w:numPr>
          <w:ilvl w:val="2"/>
          <w:numId w:val="1"/>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where the Contract is a Critical Service Contract, the Supplier shall provide the Appropriate Authority or Appropriate Authorities</w:t>
      </w:r>
      <w:r w:rsidDel="00000000" w:rsidR="00000000" w:rsidRPr="00000000">
        <w:rPr>
          <w:sz w:val="28"/>
          <w:szCs w:val="28"/>
          <w:rtl w:val="0"/>
        </w:rPr>
        <w:t xml:space="preserve"> </w:t>
      </w:r>
      <w:r w:rsidDel="00000000" w:rsidR="00000000" w:rsidRPr="00000000">
        <w:rPr>
          <w:sz w:val="24"/>
          <w:szCs w:val="24"/>
          <w:rtl w:val="0"/>
        </w:rPr>
        <w:t xml:space="preserve">with the CRP Information within 60 days of the Effective Date; and</w:t>
      </w:r>
    </w:p>
    <w:p w:rsidR="00000000" w:rsidDel="00000000" w:rsidP="00000000" w:rsidRDefault="00000000" w:rsidRPr="00000000" w14:paraId="00000045">
      <w:pPr>
        <w:keepNext w:val="1"/>
        <w:numPr>
          <w:ilvl w:val="2"/>
          <w:numId w:val="1"/>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rsidR="00000000" w:rsidDel="00000000" w:rsidP="00000000" w:rsidRDefault="00000000" w:rsidRPr="00000000" w14:paraId="00000046">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Supplier shall ensure that the CRP Information provided pursuant to Paragraphs 3.2, 3.8 and 3.9:</w:t>
      </w:r>
    </w:p>
    <w:p w:rsidR="00000000" w:rsidDel="00000000" w:rsidP="00000000" w:rsidRDefault="00000000" w:rsidRPr="00000000" w14:paraId="00000047">
      <w:pPr>
        <w:keepNext w:val="1"/>
        <w:numPr>
          <w:ilvl w:val="2"/>
          <w:numId w:val="1"/>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is full, comprehensive, accurate and up to date;</w:t>
      </w:r>
    </w:p>
    <w:p w:rsidR="00000000" w:rsidDel="00000000" w:rsidP="00000000" w:rsidRDefault="00000000" w:rsidRPr="00000000" w14:paraId="00000048">
      <w:pPr>
        <w:keepNext w:val="1"/>
        <w:numPr>
          <w:ilvl w:val="2"/>
          <w:numId w:val="1"/>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is split into three parts:</w:t>
      </w:r>
    </w:p>
    <w:p w:rsidR="00000000" w:rsidDel="00000000" w:rsidP="00000000" w:rsidRDefault="00000000" w:rsidRPr="00000000" w14:paraId="00000049">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jc w:val="left"/>
        <w:rPr>
          <w:color w:val="000000"/>
          <w:sz w:val="24"/>
          <w:szCs w:val="24"/>
        </w:rPr>
      </w:pPr>
      <w:r w:rsidDel="00000000" w:rsidR="00000000" w:rsidRPr="00000000">
        <w:rPr>
          <w:color w:val="000000"/>
          <w:sz w:val="24"/>
          <w:szCs w:val="24"/>
          <w:highlight w:val="yellow"/>
          <w:rtl w:val="0"/>
        </w:rPr>
        <w:t xml:space="preserve">Exposure Information (Contracts List</w:t>
      </w:r>
      <w:r w:rsidDel="00000000" w:rsidR="00000000" w:rsidRPr="00000000">
        <w:rPr>
          <w:color w:val="000000"/>
          <w:sz w:val="24"/>
          <w:szCs w:val="24"/>
          <w:rtl w:val="0"/>
        </w:rPr>
        <w:t xml:space="preserve">);</w:t>
      </w:r>
    </w:p>
    <w:p w:rsidR="00000000" w:rsidDel="00000000" w:rsidP="00000000" w:rsidRDefault="00000000" w:rsidRPr="00000000" w14:paraId="0000004A">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jc w:val="left"/>
        <w:rPr>
          <w:color w:val="000000"/>
          <w:sz w:val="24"/>
          <w:szCs w:val="24"/>
        </w:rPr>
      </w:pPr>
      <w:r w:rsidDel="00000000" w:rsidR="00000000" w:rsidRPr="00000000">
        <w:rPr>
          <w:color w:val="000000"/>
          <w:sz w:val="24"/>
          <w:szCs w:val="24"/>
          <w:highlight w:val="yellow"/>
          <w:rtl w:val="0"/>
        </w:rPr>
        <w:t xml:space="preserve">Corporate Resolvability Assessment (Structural Review)</w:t>
      </w:r>
      <w:r w:rsidDel="00000000" w:rsidR="00000000" w:rsidRPr="00000000">
        <w:rPr>
          <w:color w:val="000000"/>
          <w:sz w:val="24"/>
          <w:szCs w:val="24"/>
          <w:rtl w:val="0"/>
        </w:rPr>
        <w:t xml:space="preserve">;</w:t>
      </w:r>
    </w:p>
    <w:p w:rsidR="00000000" w:rsidDel="00000000" w:rsidP="00000000" w:rsidRDefault="00000000" w:rsidRPr="00000000" w14:paraId="0000004B">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jc w:val="left"/>
        <w:rPr>
          <w:color w:val="000000"/>
          <w:sz w:val="24"/>
          <w:szCs w:val="24"/>
        </w:rPr>
      </w:pPr>
      <w:r w:rsidDel="00000000" w:rsidR="00000000" w:rsidRPr="00000000">
        <w:rPr>
          <w:color w:val="000000"/>
          <w:sz w:val="24"/>
          <w:szCs w:val="24"/>
          <w:rtl w:val="0"/>
        </w:rPr>
        <w:t xml:space="preserve"> </w:t>
      </w:r>
      <w:r w:rsidDel="00000000" w:rsidR="00000000" w:rsidRPr="00000000">
        <w:rPr>
          <w:color w:val="000000"/>
          <w:sz w:val="24"/>
          <w:szCs w:val="24"/>
          <w:highlight w:val="yellow"/>
          <w:rtl w:val="0"/>
        </w:rPr>
        <w:t xml:space="preserve">Financial Information and Commentary</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141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8">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https://www.gov.uk/government/publications/the-sourcing-and-consultancy-playbooks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contains the level of detail required (adapted as necessary to the Supplier’s circumstances);</w:t>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09"/>
        <w:jc w:val="left"/>
        <w:rPr>
          <w:color w:val="000000"/>
          <w:sz w:val="24"/>
          <w:szCs w:val="24"/>
        </w:rPr>
      </w:pPr>
      <w:r w:rsidDel="00000000" w:rsidR="00000000" w:rsidRPr="00000000">
        <w:rPr>
          <w:rtl w:val="0"/>
        </w:rPr>
      </w:r>
    </w:p>
    <w:p w:rsidR="00000000" w:rsidDel="00000000" w:rsidP="00000000" w:rsidRDefault="00000000" w:rsidRPr="00000000" w14:paraId="0000004E">
      <w:pPr>
        <w:keepNext w:val="1"/>
        <w:numPr>
          <w:ilvl w:val="2"/>
          <w:numId w:val="1"/>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incorporates any additional commentary, supporting documents and evidence which would reasonably be required by the Appropriate Authority or Appropriate Authorities to understand and consider the information for approval;</w:t>
      </w:r>
    </w:p>
    <w:p w:rsidR="00000000" w:rsidDel="00000000" w:rsidP="00000000" w:rsidRDefault="00000000" w:rsidRPr="00000000" w14:paraId="0000004F">
      <w:pPr>
        <w:keepNext w:val="1"/>
        <w:numPr>
          <w:ilvl w:val="2"/>
          <w:numId w:val="1"/>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provides a clear description and explanation of the Supplier Group members that have agreements for goods, services or works provision in respect of UK Public Sector Business and/or Critical National Infrastructure and the nature of those agreements; and</w:t>
      </w:r>
    </w:p>
    <w:p w:rsidR="00000000" w:rsidDel="00000000" w:rsidP="00000000" w:rsidRDefault="00000000" w:rsidRPr="00000000" w14:paraId="00000050">
      <w:pPr>
        <w:keepNext w:val="1"/>
        <w:numPr>
          <w:ilvl w:val="2"/>
          <w:numId w:val="1"/>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complies with the requirements set out at </w:t>
      </w:r>
      <w:r w:rsidDel="00000000" w:rsidR="00000000" w:rsidRPr="00000000">
        <w:rPr>
          <w:color w:val="000000"/>
          <w:rtl w:val="0"/>
        </w:rPr>
        <w:t xml:space="preserve">Annex 1 (Exposure Information (Contracts List)), Annex 2 (Corporate Resolvability Assessment (Structural Review)) and Annex 3 (Financial Information and Commentary) </w:t>
      </w:r>
      <w:r w:rsidDel="00000000" w:rsidR="00000000" w:rsidRPr="00000000">
        <w:rPr>
          <w:sz w:val="24"/>
          <w:szCs w:val="24"/>
          <w:rtl w:val="0"/>
        </w:rPr>
        <w:t xml:space="preserve">respectively.</w:t>
      </w:r>
    </w:p>
    <w:p w:rsidR="00000000" w:rsidDel="00000000" w:rsidP="00000000" w:rsidRDefault="00000000" w:rsidRPr="00000000" w14:paraId="00000051">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Following receipt by the Appropriate Authority or Appropriate Authorities of the CRP Information pursuant to Paragraphs 3.2, 3.8 and 3.9,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w:t>
      </w:r>
    </w:p>
    <w:p w:rsidR="00000000" w:rsidDel="00000000" w:rsidP="00000000" w:rsidRDefault="00000000" w:rsidRPr="00000000" w14:paraId="00000052">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If the Appropriate Authority or Appropriate Authorities reject the CRP Information:</w:t>
      </w:r>
    </w:p>
    <w:p w:rsidR="00000000" w:rsidDel="00000000" w:rsidP="00000000" w:rsidRDefault="00000000" w:rsidRPr="00000000" w14:paraId="00000053">
      <w:pPr>
        <w:keepNext w:val="1"/>
        <w:numPr>
          <w:ilvl w:val="2"/>
          <w:numId w:val="1"/>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the Buyer shall (and shall procure that the Cabinet Office Markets and Suppliers Team shall) inform the Supplier in writing of its reasons for its rejection; and</w:t>
      </w:r>
    </w:p>
    <w:p w:rsidR="00000000" w:rsidDel="00000000" w:rsidP="00000000" w:rsidRDefault="00000000" w:rsidRPr="00000000" w14:paraId="00000054">
      <w:pPr>
        <w:keepNext w:val="1"/>
        <w:numPr>
          <w:ilvl w:val="2"/>
          <w:numId w:val="1"/>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3.3 to 3.5 shall apply again to any resubmitted CRP Information provided that either Party may refer any disputed matters for resolution by the Dispute Resolution Procedure under Clause 34 of the Core Terms at any time.</w:t>
      </w:r>
    </w:p>
    <w:p w:rsidR="00000000" w:rsidDel="00000000" w:rsidP="00000000" w:rsidRDefault="00000000" w:rsidRPr="00000000" w14:paraId="00000055">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Where the Supplier or a member of the Supplier Group has already provided CRP Information to a </w:t>
      </w:r>
      <w:r w:rsidDel="00000000" w:rsidR="00000000" w:rsidRPr="00000000">
        <w:rPr>
          <w:color w:val="000000"/>
          <w:sz w:val="24"/>
          <w:szCs w:val="24"/>
          <w:highlight w:val="yellow"/>
          <w:rtl w:val="0"/>
        </w:rPr>
        <w:t xml:space="preserve">Central Government Body</w:t>
      </w:r>
      <w:r w:rsidDel="00000000" w:rsidR="00000000" w:rsidRPr="00000000">
        <w:rPr>
          <w:color w:val="000000"/>
          <w:sz w:val="24"/>
          <w:szCs w:val="24"/>
          <w:rtl w:val="0"/>
        </w:rPr>
        <w:t xml:space="preserve"> or the Cabinet Office Markets and Suppliers Team (or, in the case of a Strategic Supplier, solely to the Cabinet Office Markets and Suppliers Team) and has received an Assurance of its CRP Information from that </w:t>
      </w:r>
      <w:r w:rsidDel="00000000" w:rsidR="00000000" w:rsidRPr="00000000">
        <w:rPr>
          <w:color w:val="000000"/>
          <w:sz w:val="24"/>
          <w:szCs w:val="24"/>
          <w:highlight w:val="yellow"/>
          <w:rtl w:val="0"/>
        </w:rPr>
        <w:t xml:space="preserve">Central Government Body</w:t>
      </w:r>
      <w:r w:rsidDel="00000000" w:rsidR="00000000" w:rsidRPr="00000000">
        <w:rPr>
          <w:color w:val="000000"/>
          <w:sz w:val="24"/>
          <w:szCs w:val="24"/>
          <w:rtl w:val="0"/>
        </w:rPr>
        <w:t xml:space="preserve">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w:t>
      </w:r>
    </w:p>
    <w:p w:rsidR="00000000" w:rsidDel="00000000" w:rsidP="00000000" w:rsidRDefault="00000000" w:rsidRPr="00000000" w14:paraId="00000056">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An Assurance shall be deemed Valid for the purposes of Paragraph 3.6 if:</w:t>
      </w:r>
    </w:p>
    <w:p w:rsidR="00000000" w:rsidDel="00000000" w:rsidP="00000000" w:rsidRDefault="00000000" w:rsidRPr="00000000" w14:paraId="00000057">
      <w:pPr>
        <w:keepNext w:val="1"/>
        <w:numPr>
          <w:ilvl w:val="2"/>
          <w:numId w:val="1"/>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the Assurance is within the validity period stated in the Assurance (or, if no validity period is stated, no more than 12 months has elapsed since it was issued and no more than 18 months has elapsed since the Accounting Reference Date on which the CRP Information was based); and</w:t>
      </w:r>
    </w:p>
    <w:p w:rsidR="00000000" w:rsidDel="00000000" w:rsidP="00000000" w:rsidRDefault="00000000" w:rsidRPr="00000000" w14:paraId="00000058">
      <w:pPr>
        <w:keepNext w:val="1"/>
        <w:numPr>
          <w:ilvl w:val="2"/>
          <w:numId w:val="1"/>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no Corporate Change Events or Financial Distress Events (or events which would be deemed to be Corporate Change Events or Financial Distress Events if the Contract had then been in force) have occurred since the date of issue of the Assurance.</w:t>
      </w:r>
    </w:p>
    <w:p w:rsidR="00000000" w:rsidDel="00000000" w:rsidP="00000000" w:rsidRDefault="00000000" w:rsidRPr="00000000" w14:paraId="00000059">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If the Contract is a Critical Service Contract, the Supplier shall provide an updated version of the CRP Information (or, in the case of Paragraph 3.8.3 of its initial CRP Information) to the Appropriate Authority or Appropriate Authorities:</w:t>
      </w:r>
    </w:p>
    <w:p w:rsidR="00000000" w:rsidDel="00000000" w:rsidP="00000000" w:rsidRDefault="00000000" w:rsidRPr="00000000" w14:paraId="0000005A">
      <w:pPr>
        <w:keepNext w:val="1"/>
        <w:numPr>
          <w:ilvl w:val="2"/>
          <w:numId w:val="1"/>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within 14 days of the occurrence of a Financial Distress Event (along with any additional highly confidential information no longer exempted from disclosure under Paragraph 3.11) unless the Supplier is relieved of the consequences of the Financial Distress Event under Paragraph 7.1 of Joint Schedule 7 (Financial Distress) (if applicable);</w:t>
      </w:r>
    </w:p>
    <w:p w:rsidR="00000000" w:rsidDel="00000000" w:rsidP="00000000" w:rsidRDefault="00000000" w:rsidRPr="00000000" w14:paraId="0000005B">
      <w:pPr>
        <w:keepNext w:val="1"/>
        <w:numPr>
          <w:ilvl w:val="2"/>
          <w:numId w:val="1"/>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within 30 days of a Corporate Change Event unless</w:t>
      </w:r>
    </w:p>
    <w:p w:rsidR="00000000" w:rsidDel="00000000" w:rsidP="00000000" w:rsidRDefault="00000000" w:rsidRPr="00000000" w14:paraId="0000005C">
      <w:pPr>
        <w:keepNext w:val="1"/>
        <w:numPr>
          <w:ilvl w:val="3"/>
          <w:numId w:val="1"/>
        </w:numPr>
        <w:pBdr>
          <w:top w:space="0" w:sz="0" w:val="nil"/>
          <w:left w:space="0" w:sz="0" w:val="nil"/>
          <w:bottom w:space="0" w:sz="0" w:val="nil"/>
          <w:right w:space="0" w:sz="0" w:val="nil"/>
          <w:between w:space="0" w:sz="0" w:val="nil"/>
        </w:pBdr>
        <w:spacing w:after="120" w:before="120" w:lineRule="auto"/>
        <w:ind w:left="2268" w:hanging="850"/>
        <w:jc w:val="left"/>
        <w:rPr>
          <w:sz w:val="24"/>
          <w:szCs w:val="24"/>
        </w:rPr>
      </w:pPr>
      <w:r w:rsidDel="00000000" w:rsidR="00000000" w:rsidRPr="00000000">
        <w:rPr>
          <w:rtl w:val="0"/>
        </w:rPr>
        <w:t xml:space="preserve">the Supplier requests and the Appropriate Authority (acting reasonably) agrees to a </w:t>
      </w:r>
      <w:r w:rsidDel="00000000" w:rsidR="00000000" w:rsidRPr="00000000">
        <w:rPr>
          <w:highlight w:val="yellow"/>
          <w:rtl w:val="0"/>
        </w:rPr>
        <w:t xml:space="preserve">Corporate Change Event Grace Period</w:t>
      </w:r>
      <w:r w:rsidDel="00000000" w:rsidR="00000000" w:rsidRPr="00000000">
        <w:rPr>
          <w:rtl w:val="0"/>
        </w:rPr>
        <w:t xml:space="preserve">, in the event of which the time period for the Supplier to comply with this Paragraph shall be extended as determined by the Appropriate Authority (acting reasonably) but shall in any case be no longer than six months after the Corporate Change Event.  During a Corporate Change Event Grace Period the Supplier shall regularly and fully engage with the Appropriate Authority to enable it to understand the nature of the Corporate Change Event and the Appropriate Authority  shall reserve the right to terminate a Corporate Change Event Grace Period at any time if the Supplier fails to comply with this Paragraph; or</w:t>
      </w:r>
      <w:r w:rsidDel="00000000" w:rsidR="00000000" w:rsidRPr="00000000">
        <w:rPr>
          <w:rtl w:val="0"/>
        </w:rPr>
      </w:r>
    </w:p>
    <w:p w:rsidR="00000000" w:rsidDel="00000000" w:rsidP="00000000" w:rsidRDefault="00000000" w:rsidRPr="00000000" w14:paraId="0000005D">
      <w:pPr>
        <w:keepNext w:val="1"/>
        <w:numPr>
          <w:ilvl w:val="3"/>
          <w:numId w:val="1"/>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 not required pursuant to Paragraph 3.10;</w:t>
      </w:r>
    </w:p>
    <w:p w:rsidR="00000000" w:rsidDel="00000000" w:rsidP="00000000" w:rsidRDefault="00000000" w:rsidRPr="00000000" w14:paraId="0000005E">
      <w:pPr>
        <w:keepNext w:val="1"/>
        <w:numPr>
          <w:ilvl w:val="2"/>
          <w:numId w:val="1"/>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within 30 days of the date that:</w:t>
      </w:r>
    </w:p>
    <w:p w:rsidR="00000000" w:rsidDel="00000000" w:rsidP="00000000" w:rsidRDefault="00000000" w:rsidRPr="00000000" w14:paraId="0000005F">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jc w:val="left"/>
        <w:rPr>
          <w:color w:val="000000"/>
          <w:sz w:val="24"/>
          <w:szCs w:val="24"/>
        </w:rPr>
      </w:pPr>
      <w:r w:rsidDel="00000000" w:rsidR="00000000" w:rsidRPr="00000000">
        <w:rPr>
          <w:color w:val="000000"/>
          <w:sz w:val="24"/>
          <w:szCs w:val="24"/>
          <w:rtl w:val="0"/>
        </w:rPr>
        <w:t xml:space="preserve">the credit rating(s) of each of the Supplier and its Parent Undertakings fail to meet any of the criteria specified in Paragraph 3.10; or</w:t>
      </w:r>
    </w:p>
    <w:p w:rsidR="00000000" w:rsidDel="00000000" w:rsidP="00000000" w:rsidRDefault="00000000" w:rsidRPr="00000000" w14:paraId="00000060">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jc w:val="left"/>
        <w:rPr>
          <w:color w:val="000000"/>
          <w:sz w:val="24"/>
          <w:szCs w:val="24"/>
        </w:rPr>
      </w:pPr>
      <w:r w:rsidDel="00000000" w:rsidR="00000000" w:rsidRPr="00000000">
        <w:rPr>
          <w:color w:val="000000"/>
          <w:sz w:val="24"/>
          <w:szCs w:val="24"/>
          <w:rtl w:val="0"/>
        </w:rPr>
        <w:t xml:space="preserve">none of the credit rating agencies specified at Paragraph 3.10 hold a public credit rating for the Supplier or any of its Parent Undertakings; and</w:t>
      </w:r>
    </w:p>
    <w:p w:rsidR="00000000" w:rsidDel="00000000" w:rsidP="00000000" w:rsidRDefault="00000000" w:rsidRPr="00000000" w14:paraId="00000061">
      <w:pPr>
        <w:keepNext w:val="1"/>
        <w:numPr>
          <w:ilvl w:val="2"/>
          <w:numId w:val="1"/>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in any event, within 6 months after each Accounting Reference Date or within 15 months of the date of the previous Assurance received from the Appropriate Authority (whichever is the earlier), unless:</w:t>
      </w:r>
    </w:p>
    <w:p w:rsidR="00000000" w:rsidDel="00000000" w:rsidP="00000000" w:rsidRDefault="00000000" w:rsidRPr="00000000" w14:paraId="00000062">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jc w:val="left"/>
        <w:rPr>
          <w:color w:val="000000"/>
          <w:sz w:val="24"/>
          <w:szCs w:val="24"/>
        </w:rPr>
      </w:pPr>
      <w:r w:rsidDel="00000000" w:rsidR="00000000" w:rsidRPr="00000000">
        <w:rPr>
          <w:color w:val="000000"/>
          <w:sz w:val="24"/>
          <w:szCs w:val="24"/>
          <w:rtl w:val="0"/>
        </w:rPr>
        <w:t xml:space="preserve">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w:t>
      </w:r>
    </w:p>
    <w:p w:rsidR="00000000" w:rsidDel="00000000" w:rsidP="00000000" w:rsidRDefault="00000000" w:rsidRPr="00000000" w14:paraId="00000063">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jc w:val="left"/>
        <w:rPr>
          <w:color w:val="000000"/>
          <w:sz w:val="24"/>
          <w:szCs w:val="24"/>
        </w:rPr>
      </w:pPr>
      <w:r w:rsidDel="00000000" w:rsidR="00000000" w:rsidRPr="00000000">
        <w:rPr>
          <w:color w:val="000000"/>
          <w:sz w:val="24"/>
          <w:szCs w:val="24"/>
          <w:rtl w:val="0"/>
        </w:rPr>
        <w:t xml:space="preserve">not required pursuant to Paragraph 3.10.</w:t>
      </w:r>
    </w:p>
    <w:p w:rsidR="00000000" w:rsidDel="00000000" w:rsidP="00000000" w:rsidRDefault="00000000" w:rsidRPr="00000000" w14:paraId="00000064">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Where the Supplier is a Public Sector Dependent Supplier and the Contract is not a Critical Service Contract, then on the occurrence of any of the events   specified in 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w:t>
      </w:r>
    </w:p>
    <w:p w:rsidR="00000000" w:rsidDel="00000000" w:rsidP="00000000" w:rsidRDefault="00000000" w:rsidRPr="00000000" w14:paraId="00000065">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Where the Supplier or a </w:t>
      </w:r>
      <w:r w:rsidDel="00000000" w:rsidR="00000000" w:rsidRPr="00000000">
        <w:rPr>
          <w:color w:val="000000"/>
          <w:sz w:val="24"/>
          <w:szCs w:val="24"/>
          <w:highlight w:val="yellow"/>
          <w:rtl w:val="0"/>
        </w:rPr>
        <w:t xml:space="preserve">Parent Undertaking</w:t>
      </w:r>
      <w:r w:rsidDel="00000000" w:rsidR="00000000" w:rsidRPr="00000000">
        <w:rPr>
          <w:color w:val="000000"/>
          <w:sz w:val="24"/>
          <w:szCs w:val="24"/>
          <w:rtl w:val="0"/>
        </w:rPr>
        <w:t xml:space="preserve"> of the Supplier has a credit rating of either:</w:t>
      </w:r>
    </w:p>
    <w:p w:rsidR="00000000" w:rsidDel="00000000" w:rsidP="00000000" w:rsidRDefault="00000000" w:rsidRPr="00000000" w14:paraId="00000066">
      <w:pPr>
        <w:keepNext w:val="1"/>
        <w:numPr>
          <w:ilvl w:val="2"/>
          <w:numId w:val="1"/>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Aa3 or better from Moody’s;</w:t>
      </w:r>
    </w:p>
    <w:p w:rsidR="00000000" w:rsidDel="00000000" w:rsidP="00000000" w:rsidRDefault="00000000" w:rsidRPr="00000000" w14:paraId="00000067">
      <w:pPr>
        <w:keepNext w:val="1"/>
        <w:numPr>
          <w:ilvl w:val="2"/>
          <w:numId w:val="1"/>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AA- or better from Standard and Poors;</w:t>
      </w:r>
    </w:p>
    <w:p w:rsidR="00000000" w:rsidDel="00000000" w:rsidP="00000000" w:rsidRDefault="00000000" w:rsidRPr="00000000" w14:paraId="00000068">
      <w:pPr>
        <w:keepNext w:val="1"/>
        <w:numPr>
          <w:ilvl w:val="2"/>
          <w:numId w:val="1"/>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AA- or better from Fitch;</w:t>
      </w:r>
    </w:p>
    <w:p w:rsidR="00000000" w:rsidDel="00000000" w:rsidP="00000000" w:rsidRDefault="00000000" w:rsidRPr="00000000" w14:paraId="00000069">
      <w:pPr>
        <w:keepNext w:val="1"/>
        <w:pBdr>
          <w:top w:space="0" w:sz="0" w:val="nil"/>
          <w:left w:space="0" w:sz="0" w:val="nil"/>
          <w:bottom w:space="0" w:sz="0" w:val="nil"/>
          <w:right w:space="0" w:sz="0" w:val="nil"/>
          <w:between w:space="0" w:sz="0" w:val="nil"/>
        </w:pBdr>
        <w:spacing w:after="120" w:before="120" w:lineRule="auto"/>
        <w:ind w:left="720" w:firstLine="0"/>
        <w:jc w:val="left"/>
        <w:rPr>
          <w:sz w:val="24"/>
          <w:szCs w:val="24"/>
        </w:rPr>
      </w:pPr>
      <w:r w:rsidDel="00000000" w:rsidR="00000000" w:rsidRPr="00000000">
        <w:rPr>
          <w:sz w:val="24"/>
          <w:szCs w:val="24"/>
          <w:rtl w:val="0"/>
        </w:rPr>
        <w:t xml:space="preserve">the Supplier will not be required to provide any CRP Information unless or until either (i) a Financial Distress Event occurs (unless the Supplier is relieved of the consequences of the Financial Distress Event under </w:t>
      </w:r>
      <w:r w:rsidDel="00000000" w:rsidR="00000000" w:rsidRPr="00000000">
        <w:rPr>
          <w:sz w:val="24"/>
          <w:szCs w:val="24"/>
          <w:highlight w:val="yellow"/>
          <w:rtl w:val="0"/>
        </w:rPr>
        <w:t xml:space="preserve">Paragraph 7.1 of Annex 3 to Joint Schedule 7 (Financial Distress</w:t>
      </w:r>
      <w:r w:rsidDel="00000000" w:rsidR="00000000" w:rsidRPr="00000000">
        <w:rPr>
          <w:sz w:val="24"/>
          <w:szCs w:val="24"/>
          <w:rtl w:val="0"/>
        </w:rPr>
        <w:t xml:space="preserve">), if applicable) or (ii) the Supplier and its Parent Undertakings cease to fulfil the criteria set out in this Paragraph 3.10, in which cases the Supplier shall provide the updated version of the CRP Information in accordance with paragraph 3.8.</w:t>
      </w:r>
    </w:p>
    <w:p w:rsidR="00000000" w:rsidDel="00000000" w:rsidP="00000000" w:rsidRDefault="00000000" w:rsidRPr="00000000" w14:paraId="0000006A">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rsidR="00000000" w:rsidDel="00000000" w:rsidP="00000000" w:rsidRDefault="00000000" w:rsidRPr="00000000" w14:paraId="0000006B">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color w:val="000000"/>
          <w:sz w:val="24"/>
          <w:szCs w:val="24"/>
        </w:rPr>
      </w:pPr>
      <w:r w:rsidDel="00000000" w:rsidR="00000000" w:rsidRPr="00000000">
        <w:rPr>
          <w:b w:val="1"/>
          <w:color w:val="000000"/>
          <w:sz w:val="24"/>
          <w:szCs w:val="24"/>
          <w:rtl w:val="0"/>
        </w:rPr>
        <w:t xml:space="preserve">Termination Rights</w:t>
      </w:r>
    </w:p>
    <w:p w:rsidR="00000000" w:rsidDel="00000000" w:rsidP="00000000" w:rsidRDefault="00000000" w:rsidRPr="00000000" w14:paraId="0000006C">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Buyer shall be entitled to terminate the Contract if the Supplier is required to provide CRP Information under Paragraph 3 and either:</w:t>
      </w:r>
    </w:p>
    <w:p w:rsidR="00000000" w:rsidDel="00000000" w:rsidP="00000000" w:rsidRDefault="00000000" w:rsidRPr="00000000" w14:paraId="0000006D">
      <w:pPr>
        <w:keepNext w:val="1"/>
        <w:numPr>
          <w:ilvl w:val="2"/>
          <w:numId w:val="1"/>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the Supplier fails to provide the CRP Information within 4 months of the </w:t>
      </w:r>
      <w:r w:rsidDel="00000000" w:rsidR="00000000" w:rsidRPr="00000000">
        <w:rPr>
          <w:sz w:val="24"/>
          <w:szCs w:val="24"/>
          <w:highlight w:val="yellow"/>
          <w:rtl w:val="0"/>
        </w:rPr>
        <w:t xml:space="preserve">Effective Date</w:t>
      </w:r>
      <w:r w:rsidDel="00000000" w:rsidR="00000000" w:rsidRPr="00000000">
        <w:rPr>
          <w:sz w:val="24"/>
          <w:szCs w:val="24"/>
          <w:rtl w:val="0"/>
        </w:rPr>
        <w:t xml:space="preserve"> if this is a Critical Service Contract or otherwise within 4 months of the Appropriate Authority’s or Appropriate Authorities’ request; or</w:t>
      </w:r>
    </w:p>
    <w:p w:rsidR="00000000" w:rsidDel="00000000" w:rsidP="00000000" w:rsidRDefault="00000000" w:rsidRPr="00000000" w14:paraId="0000006E">
      <w:pPr>
        <w:keepNext w:val="1"/>
        <w:numPr>
          <w:ilvl w:val="2"/>
          <w:numId w:val="1"/>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the Supplier fails to obtain an Assurance from the Appropriate Authority or Appropriate Authorities within 4 months of the date that it was first required to provide the CRP Information under the Contract,</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120" w:before="120" w:lineRule="auto"/>
        <w:ind w:left="720" w:hanging="10.999999999999943"/>
        <w:jc w:val="left"/>
        <w:rPr>
          <w:color w:val="000000"/>
          <w:sz w:val="24"/>
          <w:szCs w:val="24"/>
        </w:rPr>
      </w:pPr>
      <w:r w:rsidDel="00000000" w:rsidR="00000000" w:rsidRPr="00000000">
        <w:rPr>
          <w:color w:val="000000"/>
          <w:sz w:val="24"/>
          <w:szCs w:val="24"/>
          <w:rtl w:val="0"/>
        </w:rPr>
        <w:t xml:space="preserve">which shall be deemed to be an event to which Clause 10.4.1 of the Core Terms applies and Clauses 10.6.1 and 10.6.2 of the Core Terms shall apply accordingly.</w:t>
      </w:r>
    </w:p>
    <w:p w:rsidR="00000000" w:rsidDel="00000000" w:rsidP="00000000" w:rsidRDefault="00000000" w:rsidRPr="00000000" w14:paraId="00000070">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color w:val="000000"/>
          <w:sz w:val="24"/>
          <w:szCs w:val="24"/>
        </w:rPr>
      </w:pPr>
      <w:r w:rsidDel="00000000" w:rsidR="00000000" w:rsidRPr="00000000">
        <w:rPr>
          <w:b w:val="1"/>
          <w:color w:val="000000"/>
          <w:sz w:val="24"/>
          <w:szCs w:val="24"/>
          <w:rtl w:val="0"/>
        </w:rPr>
        <w:t xml:space="preserve">Confidentiality and usage of CRP Information</w:t>
      </w:r>
    </w:p>
    <w:p w:rsidR="00000000" w:rsidDel="00000000" w:rsidP="00000000" w:rsidRDefault="00000000" w:rsidRPr="00000000" w14:paraId="00000071">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rsidR="00000000" w:rsidDel="00000000" w:rsidP="00000000" w:rsidRDefault="00000000" w:rsidRPr="00000000" w14:paraId="00000072">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bookmarkStart w:colFirst="0" w:colLast="0" w:name="_heading=h.23ckvvd" w:id="1"/>
      <w:bookmarkEnd w:id="1"/>
      <w:r w:rsidDel="00000000" w:rsidR="00000000" w:rsidRPr="00000000">
        <w:rPr>
          <w:color w:val="000000"/>
          <w:sz w:val="24"/>
          <w:szCs w:val="24"/>
          <w:rtl w:val="0"/>
        </w:rPr>
        <w:t xml:space="preserve">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5.1 and Clause 15 of the Core Terms.</w:t>
      </w:r>
    </w:p>
    <w:p w:rsidR="00000000" w:rsidDel="00000000" w:rsidP="00000000" w:rsidRDefault="00000000" w:rsidRPr="00000000" w14:paraId="00000073">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w:t>
      </w:r>
    </w:p>
    <w:p w:rsidR="00000000" w:rsidDel="00000000" w:rsidP="00000000" w:rsidRDefault="00000000" w:rsidRPr="00000000" w14:paraId="00000074">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Where the Supplier is unable to procure consent pursuant to Paragraph 5.3, the Supplier shall use all reasonable endeavours to disclose the CRP Information to the fullest extent possible by limiting the amount of information it withholds including by:</w:t>
      </w:r>
    </w:p>
    <w:p w:rsidR="00000000" w:rsidDel="00000000" w:rsidP="00000000" w:rsidRDefault="00000000" w:rsidRPr="00000000" w14:paraId="00000075">
      <w:pPr>
        <w:keepNext w:val="1"/>
        <w:numPr>
          <w:ilvl w:val="2"/>
          <w:numId w:val="1"/>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redacting only those parts of the information which are subject to such obligations of confidentiality;</w:t>
      </w:r>
    </w:p>
    <w:p w:rsidR="00000000" w:rsidDel="00000000" w:rsidP="00000000" w:rsidRDefault="00000000" w:rsidRPr="00000000" w14:paraId="00000076">
      <w:pPr>
        <w:keepNext w:val="1"/>
        <w:numPr>
          <w:ilvl w:val="2"/>
          <w:numId w:val="1"/>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providing the information in a form that does not breach its obligations of confidentiality including (where possible) by:</w:t>
      </w:r>
    </w:p>
    <w:p w:rsidR="00000000" w:rsidDel="00000000" w:rsidP="00000000" w:rsidRDefault="00000000" w:rsidRPr="00000000" w14:paraId="00000077">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jc w:val="left"/>
        <w:rPr>
          <w:color w:val="000000"/>
          <w:sz w:val="24"/>
          <w:szCs w:val="24"/>
        </w:rPr>
      </w:pPr>
      <w:r w:rsidDel="00000000" w:rsidR="00000000" w:rsidRPr="00000000">
        <w:rPr>
          <w:color w:val="000000"/>
          <w:sz w:val="24"/>
          <w:szCs w:val="24"/>
          <w:rtl w:val="0"/>
        </w:rPr>
        <w:t xml:space="preserve">summarising the information;</w:t>
      </w:r>
    </w:p>
    <w:p w:rsidR="00000000" w:rsidDel="00000000" w:rsidP="00000000" w:rsidRDefault="00000000" w:rsidRPr="00000000" w14:paraId="00000078">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jc w:val="left"/>
        <w:rPr>
          <w:color w:val="000000"/>
          <w:sz w:val="24"/>
          <w:szCs w:val="24"/>
        </w:rPr>
      </w:pPr>
      <w:r w:rsidDel="00000000" w:rsidR="00000000" w:rsidRPr="00000000">
        <w:rPr>
          <w:color w:val="000000"/>
          <w:sz w:val="24"/>
          <w:szCs w:val="24"/>
          <w:rtl w:val="0"/>
        </w:rPr>
        <w:t xml:space="preserve">grouping the information;</w:t>
      </w:r>
    </w:p>
    <w:p w:rsidR="00000000" w:rsidDel="00000000" w:rsidP="00000000" w:rsidRDefault="00000000" w:rsidRPr="00000000" w14:paraId="00000079">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jc w:val="left"/>
        <w:rPr>
          <w:color w:val="000000"/>
          <w:sz w:val="24"/>
          <w:szCs w:val="24"/>
        </w:rPr>
      </w:pPr>
      <w:r w:rsidDel="00000000" w:rsidR="00000000" w:rsidRPr="00000000">
        <w:rPr>
          <w:color w:val="000000"/>
          <w:sz w:val="24"/>
          <w:szCs w:val="24"/>
          <w:rtl w:val="0"/>
        </w:rPr>
        <w:t xml:space="preserve">anonymising the information; and</w:t>
      </w:r>
    </w:p>
    <w:p w:rsidR="00000000" w:rsidDel="00000000" w:rsidP="00000000" w:rsidRDefault="00000000" w:rsidRPr="00000000" w14:paraId="0000007A">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jc w:val="left"/>
        <w:rPr>
          <w:color w:val="000000"/>
          <w:sz w:val="24"/>
          <w:szCs w:val="24"/>
        </w:rPr>
      </w:pPr>
      <w:r w:rsidDel="00000000" w:rsidR="00000000" w:rsidRPr="00000000">
        <w:rPr>
          <w:color w:val="000000"/>
          <w:sz w:val="24"/>
          <w:szCs w:val="24"/>
          <w:rtl w:val="0"/>
        </w:rPr>
        <w:t xml:space="preserve">presenting the information in general terms</w:t>
      </w:r>
    </w:p>
    <w:p w:rsidR="00000000" w:rsidDel="00000000" w:rsidP="00000000" w:rsidRDefault="00000000" w:rsidRPr="00000000" w14:paraId="0000007B">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120" w:before="120" w:lineRule="auto"/>
        <w:ind w:left="720" w:hanging="720"/>
        <w:jc w:val="left"/>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D">
      <w:pPr>
        <w:ind w:firstLine="1418"/>
        <w:jc w:val="left"/>
        <w:rPr/>
      </w:pPr>
      <w:r w:rsidDel="00000000" w:rsidR="00000000" w:rsidRPr="00000000">
        <w:br w:type="page"/>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300" w:before="100" w:lineRule="auto"/>
        <w:ind w:firstLine="1418"/>
        <w:jc w:val="left"/>
        <w:rPr>
          <w:b w:val="1"/>
          <w:smallCaps w:val="1"/>
          <w:color w:val="000000"/>
        </w:rPr>
      </w:pPr>
      <w:r w:rsidDel="00000000" w:rsidR="00000000" w:rsidRPr="00000000">
        <w:rPr>
          <w:b w:val="1"/>
          <w:smallCaps w:val="1"/>
          <w:rtl w:val="0"/>
        </w:rPr>
        <w:t xml:space="preserve">ANNEX 1</w:t>
      </w:r>
      <w:r w:rsidDel="00000000" w:rsidR="00000000" w:rsidRPr="00000000">
        <w:rPr>
          <w:b w:val="1"/>
          <w:smallCaps w:val="1"/>
          <w:color w:val="000000"/>
          <w:rtl w:val="0"/>
        </w:rPr>
        <w:t xml:space="preserve">: EXPOSURE: CRITICAL CONTRACTS LIST</w:t>
      </w:r>
    </w:p>
    <w:p w:rsidR="00000000" w:rsidDel="00000000" w:rsidP="00000000" w:rsidRDefault="00000000" w:rsidRPr="00000000" w14:paraId="0000007F">
      <w:pPr>
        <w:numPr>
          <w:ilvl w:val="0"/>
          <w:numId w:val="2"/>
        </w:numPr>
        <w:pBdr>
          <w:top w:space="0" w:sz="0" w:val="nil"/>
          <w:left w:space="0" w:sz="0" w:val="nil"/>
          <w:bottom w:space="0" w:sz="0" w:val="nil"/>
          <w:right w:space="0" w:sz="0" w:val="nil"/>
          <w:between w:space="0" w:sz="0" w:val="nil"/>
        </w:pBdr>
        <w:spacing w:after="200" w:before="100" w:lineRule="auto"/>
        <w:ind w:left="720" w:hanging="720"/>
        <w:jc w:val="left"/>
        <w:rPr>
          <w:color w:val="000000"/>
        </w:rPr>
      </w:pPr>
      <w:r w:rsidDel="00000000" w:rsidR="00000000" w:rsidRPr="00000000">
        <w:rPr>
          <w:color w:val="000000"/>
          <w:rtl w:val="0"/>
        </w:rPr>
        <w:t xml:space="preserve">The Supplier shall:</w:t>
      </w:r>
    </w:p>
    <w:p w:rsidR="00000000" w:rsidDel="00000000" w:rsidP="00000000" w:rsidRDefault="00000000" w:rsidRPr="00000000" w14:paraId="00000080">
      <w:pPr>
        <w:numPr>
          <w:ilvl w:val="1"/>
          <w:numId w:val="2"/>
        </w:numPr>
        <w:pBdr>
          <w:top w:space="0" w:sz="0" w:val="nil"/>
          <w:left w:space="0" w:sz="0" w:val="nil"/>
          <w:bottom w:space="0" w:sz="0" w:val="nil"/>
          <w:right w:space="0" w:sz="0" w:val="nil"/>
          <w:between w:space="0" w:sz="0" w:val="nil"/>
        </w:pBdr>
        <w:spacing w:after="200" w:before="100" w:lineRule="auto"/>
        <w:ind w:left="720" w:hanging="720"/>
        <w:jc w:val="left"/>
        <w:rPr>
          <w:color w:val="000000"/>
        </w:rPr>
      </w:pPr>
      <w:r w:rsidDel="00000000" w:rsidR="00000000" w:rsidRPr="00000000">
        <w:rPr>
          <w:color w:val="000000"/>
          <w:rtl w:val="0"/>
        </w:rPr>
        <w:t xml:space="preserve">provide details of all agreements held by members of the Supplier Group where those agreements are for goods, services or works provision and:</w:t>
      </w:r>
    </w:p>
    <w:p w:rsidR="00000000" w:rsidDel="00000000" w:rsidP="00000000" w:rsidRDefault="00000000" w:rsidRPr="00000000" w14:paraId="00000081">
      <w:pPr>
        <w:numPr>
          <w:ilvl w:val="3"/>
          <w:numId w:val="2"/>
        </w:numPr>
        <w:pBdr>
          <w:top w:space="0" w:sz="0" w:val="nil"/>
          <w:left w:space="0" w:sz="0" w:val="nil"/>
          <w:bottom w:space="0" w:sz="0" w:val="nil"/>
          <w:right w:space="0" w:sz="0" w:val="nil"/>
          <w:between w:space="0" w:sz="0" w:val="nil"/>
        </w:pBdr>
        <w:tabs>
          <w:tab w:val="left" w:leader="none" w:pos="720"/>
          <w:tab w:val="left" w:leader="none" w:pos="1803"/>
        </w:tabs>
        <w:spacing w:after="200" w:before="100" w:lineRule="auto"/>
        <w:ind w:left="1803" w:hanging="1083"/>
        <w:jc w:val="left"/>
        <w:rPr>
          <w:color w:val="000000"/>
        </w:rPr>
      </w:pPr>
      <w:bookmarkStart w:colFirst="0" w:colLast="0" w:name="_heading=h.1baon6m" w:id="2"/>
      <w:bookmarkEnd w:id="2"/>
      <w:r w:rsidDel="00000000" w:rsidR="00000000" w:rsidRPr="00000000">
        <w:rPr>
          <w:color w:val="000000"/>
          <w:rtl w:val="0"/>
        </w:rPr>
        <w:t xml:space="preserve">are with any UK public sector bodies including: central Government departments and their arms-length bodies and agencies, non-departmental public bodies, NHS bodies, local buyers, health bodies, police fire and rescue, education bodies and the devolved administrations;</w:t>
      </w:r>
    </w:p>
    <w:p w:rsidR="00000000" w:rsidDel="00000000" w:rsidP="00000000" w:rsidRDefault="00000000" w:rsidRPr="00000000" w14:paraId="00000082">
      <w:pPr>
        <w:numPr>
          <w:ilvl w:val="3"/>
          <w:numId w:val="2"/>
        </w:numPr>
        <w:pBdr>
          <w:top w:space="0" w:sz="0" w:val="nil"/>
          <w:left w:space="0" w:sz="0" w:val="nil"/>
          <w:bottom w:space="0" w:sz="0" w:val="nil"/>
          <w:right w:space="0" w:sz="0" w:val="nil"/>
          <w:between w:space="0" w:sz="0" w:val="nil"/>
        </w:pBdr>
        <w:tabs>
          <w:tab w:val="left" w:leader="none" w:pos="720"/>
          <w:tab w:val="left" w:leader="none" w:pos="1803"/>
        </w:tabs>
        <w:spacing w:after="200" w:before="100" w:lineRule="auto"/>
        <w:ind w:left="1803" w:hanging="1083"/>
        <w:jc w:val="left"/>
        <w:rPr>
          <w:color w:val="000000"/>
        </w:rPr>
      </w:pPr>
      <w:bookmarkStart w:colFirst="0" w:colLast="0" w:name="_heading=h.3vac5uf" w:id="3"/>
      <w:bookmarkEnd w:id="3"/>
      <w:r w:rsidDel="00000000" w:rsidR="00000000" w:rsidRPr="00000000">
        <w:rPr>
          <w:color w:val="000000"/>
          <w:rtl w:val="0"/>
        </w:rPr>
        <w:t xml:space="preserve">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rsidR="00000000" w:rsidDel="00000000" w:rsidP="00000000" w:rsidRDefault="00000000" w:rsidRPr="00000000" w14:paraId="00000083">
      <w:pPr>
        <w:numPr>
          <w:ilvl w:val="3"/>
          <w:numId w:val="2"/>
        </w:numPr>
        <w:pBdr>
          <w:top w:space="0" w:sz="0" w:val="nil"/>
          <w:left w:space="0" w:sz="0" w:val="nil"/>
          <w:bottom w:space="0" w:sz="0" w:val="nil"/>
          <w:right w:space="0" w:sz="0" w:val="nil"/>
          <w:between w:space="0" w:sz="0" w:val="nil"/>
        </w:pBdr>
        <w:tabs>
          <w:tab w:val="left" w:leader="none" w:pos="720"/>
          <w:tab w:val="left" w:leader="none" w:pos="1803"/>
        </w:tabs>
        <w:spacing w:after="200" w:before="100" w:lineRule="auto"/>
        <w:ind w:left="1803" w:hanging="1083"/>
        <w:jc w:val="left"/>
        <w:rPr>
          <w:color w:val="000000"/>
        </w:rPr>
      </w:pPr>
      <w:r w:rsidDel="00000000" w:rsidR="00000000" w:rsidRPr="00000000">
        <w:rPr>
          <w:color w:val="000000"/>
          <w:rtl w:val="0"/>
        </w:rPr>
        <w:t xml:space="preserve">involve or could reasonably be considered to involve CNI;</w:t>
      </w:r>
    </w:p>
    <w:p w:rsidR="00000000" w:rsidDel="00000000" w:rsidP="00000000" w:rsidRDefault="00000000" w:rsidRPr="00000000" w14:paraId="00000084">
      <w:pPr>
        <w:numPr>
          <w:ilvl w:val="1"/>
          <w:numId w:val="2"/>
        </w:numPr>
        <w:pBdr>
          <w:top w:space="0" w:sz="0" w:val="nil"/>
          <w:left w:space="0" w:sz="0" w:val="nil"/>
          <w:bottom w:space="0" w:sz="0" w:val="nil"/>
          <w:right w:space="0" w:sz="0" w:val="nil"/>
          <w:between w:space="0" w:sz="0" w:val="nil"/>
        </w:pBdr>
        <w:spacing w:after="200" w:before="100" w:lineRule="auto"/>
        <w:ind w:left="720" w:hanging="720"/>
        <w:jc w:val="left"/>
        <w:rPr/>
      </w:pPr>
      <w:r w:rsidDel="00000000" w:rsidR="00000000" w:rsidRPr="00000000">
        <w:rPr>
          <w:rtl w:val="0"/>
        </w:rPr>
        <w:t xml:space="preserve">provide the Appropriate Authority with a copy of the latest version of each underlying contract worth more than £5m per contract year and their related key sub-contracts, which shall be included as embedded documents within the CRP Information or via a directly accessible link </w:t>
      </w:r>
    </w:p>
    <w:p w:rsidR="00000000" w:rsidDel="00000000" w:rsidP="00000000" w:rsidRDefault="00000000" w:rsidRPr="00000000" w14:paraId="00000085">
      <w:pPr>
        <w:ind w:firstLine="1418"/>
        <w:jc w:val="left"/>
        <w:rPr/>
      </w:pPr>
      <w:r w:rsidDel="00000000" w:rsidR="00000000" w:rsidRPr="00000000">
        <w:br w:type="page"/>
      </w:r>
      <w:r w:rsidDel="00000000" w:rsidR="00000000" w:rsidRPr="00000000">
        <w:rPr>
          <w:rtl w:val="0"/>
        </w:rPr>
      </w:r>
    </w:p>
    <w:p w:rsidR="00000000" w:rsidDel="00000000" w:rsidP="00000000" w:rsidRDefault="00000000" w:rsidRPr="00000000" w14:paraId="00000086">
      <w:pPr>
        <w:ind w:firstLine="1418"/>
        <w:jc w:val="left"/>
        <w:rPr>
          <w:b w:val="1"/>
        </w:rPr>
      </w:pPr>
      <w:r w:rsidDel="00000000" w:rsidR="00000000" w:rsidRPr="00000000">
        <w:rPr>
          <w:b w:val="1"/>
          <w:rtl w:val="0"/>
        </w:rPr>
        <w:t xml:space="preserve">ANNEX 2: CORPORATE RESOLVABILITY ASSESSMENT (STRUCTURAL REVIEW)</w:t>
      </w:r>
    </w:p>
    <w:p w:rsidR="00000000" w:rsidDel="00000000" w:rsidP="00000000" w:rsidRDefault="00000000" w:rsidRPr="00000000" w14:paraId="00000087">
      <w:pPr>
        <w:ind w:firstLine="1418"/>
        <w:jc w:val="left"/>
        <w:rPr/>
      </w:pPr>
      <w:r w:rsidDel="00000000" w:rsidR="00000000" w:rsidRPr="00000000">
        <w:rPr>
          <w:rtl w:val="0"/>
        </w:rPr>
        <w:t xml:space="preserve">     </w:t>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rFonts w:ascii="Arial" w:cs="Arial" w:eastAsia="Arial" w:hAnsi="Arial"/>
          <w:b w:val="1"/>
          <w:i w:val="0"/>
          <w:smallCaps w:val="0"/>
          <w:strike w:val="0"/>
          <w:color w:val="000000"/>
          <w:sz w:val="22"/>
          <w:szCs w:val="22"/>
          <w:u w:val="none"/>
          <w:shd w:fill="auto" w:val="clear"/>
          <w:vertAlign w:val="baseline"/>
        </w:rPr>
      </w:pPr>
      <w:bookmarkStart w:colFirst="0" w:colLast="0" w:name="_heading=h.32hioqz" w:id="4"/>
      <w:bookmarkEnd w:id="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sufficient information to allow the Appropriate Authority to understand the implications on the Supplier Group’s UK Public Sector Business and CNI agreements listed pursuant to Annex 1 if the Supplier or another member of the Supplier Group is subject to an Insolvency Event;</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the information is presented so as to provide a simple, effective and easily understood overview of the Supplier Group; and</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full details of the importance of each member of the Supplier Group to the Supplier Group’s UK Public Sector Business and CNI agreements listed pursuant to Annex 1 and the dependencies between each.</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100" w:line="240" w:lineRule="auto"/>
        <w:ind w:left="0" w:right="0" w:firstLine="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ANNEX 3: Financial information AND COMMENTARY</w:t>
      </w:r>
    </w:p>
    <w:p w:rsidR="00000000" w:rsidDel="00000000" w:rsidP="00000000" w:rsidRDefault="00000000" w:rsidRPr="00000000" w14:paraId="0000008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the information is presented in a simple, effective and easily understood manner.</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w:t>
      </w:r>
      <w:r w:rsidDel="00000000" w:rsidR="00000000" w:rsidRPr="00000000">
        <w:rPr>
          <w:rtl w:val="0"/>
        </w:rPr>
      </w:r>
    </w:p>
    <w:p w:rsidR="00000000" w:rsidDel="00000000" w:rsidP="00000000" w:rsidRDefault="00000000" w:rsidRPr="00000000" w14:paraId="00000092">
      <w:pPr>
        <w:ind w:firstLine="1418"/>
        <w:jc w:val="left"/>
        <w:rPr>
          <w:color w:val="00000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93">
      <w:pPr>
        <w:ind w:left="0" w:firstLine="0"/>
        <w:rPr>
          <w:color w:val="000000"/>
          <w:sz w:val="24"/>
          <w:szCs w:val="24"/>
        </w:rPr>
      </w:pPr>
      <w:r w:rsidDel="00000000" w:rsidR="00000000" w:rsidRPr="00000000">
        <w:rPr>
          <w:rtl w:val="0"/>
        </w:rPr>
      </w:r>
    </w:p>
    <w:sectPr>
      <w:headerReference r:id="rId9" w:type="default"/>
      <w:footerReference r:id="rId10" w:type="default"/>
      <w:footerReference r:id="rId11"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tabs>
        <w:tab w:val="center" w:leader="none" w:pos="4513"/>
        <w:tab w:val="right" w:leader="none" w:pos="9026"/>
      </w:tabs>
      <w:spacing w:after="0" w:lineRule="auto"/>
      <w:ind w:left="0" w:firstLine="0"/>
      <w:rPr>
        <w:rFonts w:ascii="Calibri" w:cs="Calibri" w:eastAsia="Calibri" w:hAnsi="Calibri"/>
        <w:color w:val="a6a6a6"/>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Framework Ref: RM6353 Tyres, Glass a</w:t>
    </w:r>
    <w:r w:rsidDel="00000000" w:rsidR="00000000" w:rsidRPr="00000000">
      <w:rPr>
        <w:sz w:val="20"/>
        <w:szCs w:val="20"/>
        <w:rtl w:val="0"/>
      </w:rPr>
      <w:t xml:space="preserve">nd Telematics</w:t>
    </w: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Project Version: v1.0</w:t>
      <w:tab/>
      <w:tab/>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left" w:leader="none" w:pos="3488"/>
      </w:tabs>
      <w:spacing w:after="0" w:lineRule="auto"/>
      <w:ind w:left="0" w:firstLine="0"/>
      <w:rPr>
        <w:color w:val="a6a6a6"/>
        <w:sz w:val="20"/>
        <w:szCs w:val="20"/>
      </w:rPr>
    </w:pPr>
    <w:r w:rsidDel="00000000" w:rsidR="00000000" w:rsidRPr="00000000">
      <w:rPr>
        <w:color w:val="000000"/>
        <w:sz w:val="20"/>
        <w:szCs w:val="20"/>
        <w:rtl w:val="0"/>
      </w:rPr>
      <w:t xml:space="preserve">Model Version: v3.</w:t>
    </w:r>
    <w:r w:rsidDel="00000000" w:rsidR="00000000" w:rsidRPr="00000000">
      <w:rPr>
        <w:sz w:val="20"/>
        <w:szCs w:val="20"/>
        <w:rtl w:val="0"/>
      </w:rPr>
      <w:t xml:space="preserve">0</w:t>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Framework Ref: RM</w:t>
      <w:tab/>
      <w:t xml:space="preserve">                                           </w:t>
    </w:r>
  </w:p>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Project Version: v1.0</w:t>
      <w:tab/>
      <w:tab/>
      <w:tab/>
      <w:t xml:space="preserve">-</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color w:val="000000"/>
        <w:sz w:val="20"/>
        <w:szCs w:val="20"/>
        <w:rtl w:val="0"/>
      </w:rPr>
      <w:t xml:space="preserve">-</w:t>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Model Version: v2.9</w:t>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tabs>
        <w:tab w:val="center" w:leader="none" w:pos="4513"/>
        <w:tab w:val="right" w:leader="none" w:pos="9026"/>
      </w:tabs>
      <w:spacing w:after="0" w:lineRule="auto"/>
      <w:ind w:left="0" w:firstLine="0"/>
      <w:jc w:val="left"/>
      <w:rPr>
        <w:sz w:val="20"/>
        <w:szCs w:val="20"/>
      </w:rPr>
    </w:pPr>
    <w:r w:rsidDel="00000000" w:rsidR="00000000" w:rsidRPr="00000000">
      <w:rPr>
        <w:b w:val="1"/>
        <w:sz w:val="20"/>
        <w:szCs w:val="20"/>
        <w:rtl w:val="0"/>
      </w:rPr>
      <w:t xml:space="preserve">Call-Off Schedule 24 (Corporate Resolution Planning)</w:t>
    </w:r>
    <w:r w:rsidDel="00000000" w:rsidR="00000000" w:rsidRPr="00000000">
      <w:rPr>
        <w:rtl w:val="0"/>
      </w:rPr>
    </w:r>
  </w:p>
  <w:p w:rsidR="00000000" w:rsidDel="00000000" w:rsidP="00000000" w:rsidRDefault="00000000" w:rsidRPr="00000000" w14:paraId="00000095">
    <w:pPr>
      <w:tabs>
        <w:tab w:val="center" w:leader="none" w:pos="4513"/>
        <w:tab w:val="right" w:leader="none" w:pos="9026"/>
      </w:tabs>
      <w:spacing w:after="0" w:lineRule="auto"/>
      <w:ind w:left="0" w:firstLine="0"/>
      <w:jc w:val="left"/>
      <w:rPr>
        <w:sz w:val="20"/>
        <w:szCs w:val="20"/>
      </w:rPr>
    </w:pPr>
    <w:r w:rsidDel="00000000" w:rsidR="00000000" w:rsidRPr="00000000">
      <w:rPr>
        <w:sz w:val="20"/>
        <w:szCs w:val="20"/>
        <w:rtl w:val="0"/>
      </w:rPr>
      <w:t xml:space="preserve">Call-Off Ref:</w:t>
    </w:r>
  </w:p>
  <w:p w:rsidR="00000000" w:rsidDel="00000000" w:rsidP="00000000" w:rsidRDefault="00000000" w:rsidRPr="00000000" w14:paraId="00000096">
    <w:pPr>
      <w:tabs>
        <w:tab w:val="center" w:leader="none" w:pos="4513"/>
        <w:tab w:val="right" w:leader="none" w:pos="9026"/>
      </w:tabs>
      <w:spacing w:after="0" w:lineRule="auto"/>
      <w:ind w:left="0" w:firstLine="0"/>
      <w:jc w:val="left"/>
      <w:rPr>
        <w:sz w:val="20"/>
        <w:szCs w:val="20"/>
      </w:rPr>
    </w:pPr>
    <w:r w:rsidDel="00000000" w:rsidR="00000000" w:rsidRPr="00000000">
      <w:rPr>
        <w:sz w:val="20"/>
        <w:szCs w:val="20"/>
        <w:rtl w:val="0"/>
      </w:rPr>
      <w:t xml:space="preserve">Crown Copyright 2023</w:t>
    </w:r>
  </w:p>
  <w:p w:rsidR="00000000" w:rsidDel="00000000" w:rsidP="00000000" w:rsidRDefault="00000000" w:rsidRPr="00000000" w14:paraId="00000097">
    <w:pPr>
      <w:tabs>
        <w:tab w:val="center" w:leader="none" w:pos="4513"/>
        <w:tab w:val="right" w:leader="none" w:pos="9026"/>
      </w:tabs>
      <w:spacing w:after="0" w:lineRule="auto"/>
      <w:ind w:left="0" w:firstLine="0"/>
      <w:jc w:val="left"/>
      <w:rPr>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cs="Arial" w:eastAsia="Arial" w:hAnsi="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cs="Arial" w:eastAsia="Arial" w:hAnsi="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abstractNum w:abstractNumId="2">
    <w:lvl w:ilvl="0">
      <w:start w:val="1"/>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1803" w:hanging="1083"/>
      </w:pPr>
      <w:rPr/>
    </w:lvl>
    <w:lvl w:ilvl="3">
      <w:start w:val="1"/>
      <w:numFmt w:val="lowerLetter"/>
      <w:lvlText w:val="(%4)"/>
      <w:lvlJc w:val="left"/>
      <w:pPr>
        <w:ind w:left="1803" w:hanging="1083"/>
      </w:pPr>
      <w:rPr/>
    </w:lvl>
    <w:lvl w:ilvl="4">
      <w:start w:val="1"/>
      <w:numFmt w:val="lowerRoman"/>
      <w:lvlText w:val="(%5)"/>
      <w:lvlJc w:val="left"/>
      <w:pPr>
        <w:ind w:left="2523" w:hanging="720"/>
      </w:pPr>
      <w:rPr/>
    </w:lvl>
    <w:lvl w:ilvl="5">
      <w:start w:val="1"/>
      <w:numFmt w:val="upperLetter"/>
      <w:lvlText w:val="(%6)"/>
      <w:lvlJc w:val="left"/>
      <w:pPr>
        <w:ind w:left="3243" w:hanging="720"/>
      </w:pPr>
      <w:rPr/>
    </w:lvl>
    <w:lvl w:ilvl="6">
      <w:start w:val="1"/>
      <w:numFmt w:val="decimal"/>
      <w:lvlText w:val=""/>
      <w:lvlJc w:val="left"/>
      <w:pPr>
        <w:ind w:left="2523" w:hanging="720"/>
      </w:pPr>
      <w:rPr/>
    </w:lvl>
    <w:lvl w:ilvl="7">
      <w:start w:val="1"/>
      <w:numFmt w:val="decimal"/>
      <w:lvlText w:val=""/>
      <w:lvlJc w:val="left"/>
      <w:pPr>
        <w:ind w:left="2523" w:hanging="720"/>
      </w:pPr>
      <w:rPr/>
    </w:lvl>
    <w:lvl w:ilvl="8">
      <w:start w:val="1"/>
      <w:numFmt w:val="decimal"/>
      <w:lvlText w:val=""/>
      <w:lvlJc w:val="left"/>
      <w:pPr>
        <w:ind w:left="2523" w:hanging="720"/>
      </w:pPr>
      <w:rPr/>
    </w:lvl>
  </w:abstractNum>
  <w:abstractNum w:abstractNumId="3">
    <w:lvl w:ilvl="0">
      <w:start w:val="1"/>
      <w:numFmt w:val="decimal"/>
      <w:lvlText w:val="%1"/>
      <w:lvlJc w:val="left"/>
      <w:pPr>
        <w:ind w:left="720" w:hanging="720"/>
      </w:pPr>
      <w:rPr>
        <w:b w:val="0"/>
      </w:rPr>
    </w:lvl>
    <w:lvl w:ilvl="1">
      <w:start w:val="1"/>
      <w:numFmt w:val="decimal"/>
      <w:lvlText w:val="%1.%2"/>
      <w:lvlJc w:val="left"/>
      <w:pPr>
        <w:ind w:left="720" w:hanging="720"/>
      </w:pPr>
      <w:rPr/>
    </w:lvl>
    <w:lvl w:ilvl="2">
      <w:start w:val="1"/>
      <w:numFmt w:val="decimal"/>
      <w:lvlText w:val="%1.%2.%3"/>
      <w:lvlJc w:val="left"/>
      <w:pPr>
        <w:ind w:left="1803" w:hanging="1083"/>
      </w:pPr>
      <w:rPr/>
    </w:lvl>
    <w:lvl w:ilvl="3">
      <w:start w:val="1"/>
      <w:numFmt w:val="lowerLetter"/>
      <w:lvlText w:val="(%4)"/>
      <w:lvlJc w:val="left"/>
      <w:pPr>
        <w:ind w:left="1803" w:hanging="1083"/>
      </w:pPr>
      <w:rPr/>
    </w:lvl>
    <w:lvl w:ilvl="4">
      <w:start w:val="1"/>
      <w:numFmt w:val="lowerRoman"/>
      <w:lvlText w:val="(%5)"/>
      <w:lvlJc w:val="left"/>
      <w:pPr>
        <w:ind w:left="2523" w:hanging="720"/>
      </w:pPr>
      <w:rPr/>
    </w:lvl>
    <w:lvl w:ilvl="5">
      <w:start w:val="1"/>
      <w:numFmt w:val="upperLetter"/>
      <w:lvlText w:val="(%6)"/>
      <w:lvlJc w:val="left"/>
      <w:pPr>
        <w:ind w:left="3243" w:hanging="720"/>
      </w:pPr>
      <w:rPr/>
    </w:lvl>
    <w:lvl w:ilvl="6">
      <w:start w:val="1"/>
      <w:numFmt w:val="decimal"/>
      <w:lvlText w:val=""/>
      <w:lvlJc w:val="left"/>
      <w:pPr>
        <w:ind w:left="2523" w:hanging="720"/>
      </w:pPr>
      <w:rPr/>
    </w:lvl>
    <w:lvl w:ilvl="7">
      <w:start w:val="1"/>
      <w:numFmt w:val="decimal"/>
      <w:lvlText w:val=""/>
      <w:lvlJc w:val="left"/>
      <w:pPr>
        <w:ind w:left="2523" w:hanging="720"/>
      </w:pPr>
      <w:rPr/>
    </w:lvl>
    <w:lvl w:ilvl="8">
      <w:start w:val="1"/>
      <w:numFmt w:val="decimal"/>
      <w:lvlText w:val=""/>
      <w:lvlJc w:val="left"/>
      <w:pPr>
        <w:ind w:left="2523" w:hanging="720"/>
      </w:pPr>
      <w:rPr/>
    </w:lvl>
  </w:abstractNum>
  <w:abstractNum w:abstractNumId="4">
    <w:lvl w:ilvl="0">
      <w:start w:val="1"/>
      <w:numFmt w:val="decimal"/>
      <w:lvlText w:val="%1"/>
      <w:lvlJc w:val="left"/>
      <w:pPr>
        <w:ind w:left="720" w:hanging="720"/>
      </w:pPr>
      <w:rPr>
        <w:b w:val="0"/>
      </w:rPr>
    </w:lvl>
    <w:lvl w:ilvl="1">
      <w:start w:val="1"/>
      <w:numFmt w:val="decimal"/>
      <w:lvlText w:val="%1.%2"/>
      <w:lvlJc w:val="left"/>
      <w:pPr>
        <w:ind w:left="720" w:hanging="720"/>
      </w:pPr>
      <w:rPr/>
    </w:lvl>
    <w:lvl w:ilvl="2">
      <w:start w:val="1"/>
      <w:numFmt w:val="decimal"/>
      <w:lvlText w:val="%1.%2.%3"/>
      <w:lvlJc w:val="left"/>
      <w:pPr>
        <w:ind w:left="1803" w:hanging="1083"/>
      </w:pPr>
      <w:rPr/>
    </w:lvl>
    <w:lvl w:ilvl="3">
      <w:start w:val="1"/>
      <w:numFmt w:val="lowerLetter"/>
      <w:lvlText w:val="(%4)"/>
      <w:lvlJc w:val="left"/>
      <w:pPr>
        <w:ind w:left="1803" w:hanging="1083"/>
      </w:pPr>
      <w:rPr/>
    </w:lvl>
    <w:lvl w:ilvl="4">
      <w:start w:val="1"/>
      <w:numFmt w:val="lowerRoman"/>
      <w:lvlText w:val="(%5)"/>
      <w:lvlJc w:val="left"/>
      <w:pPr>
        <w:ind w:left="2523" w:hanging="720"/>
      </w:pPr>
      <w:rPr/>
    </w:lvl>
    <w:lvl w:ilvl="5">
      <w:start w:val="1"/>
      <w:numFmt w:val="upperLetter"/>
      <w:lvlText w:val="(%6)"/>
      <w:lvlJc w:val="left"/>
      <w:pPr>
        <w:ind w:left="3243" w:hanging="720"/>
      </w:pPr>
      <w:rPr/>
    </w:lvl>
    <w:lvl w:ilvl="6">
      <w:start w:val="1"/>
      <w:numFmt w:val="decimal"/>
      <w:lvlText w:val=""/>
      <w:lvlJc w:val="left"/>
      <w:pPr>
        <w:ind w:left="2523" w:hanging="720"/>
      </w:pPr>
      <w:rPr/>
    </w:lvl>
    <w:lvl w:ilvl="7">
      <w:start w:val="1"/>
      <w:numFmt w:val="decimal"/>
      <w:lvlText w:val=""/>
      <w:lvlJc w:val="left"/>
      <w:pPr>
        <w:ind w:left="2523" w:hanging="720"/>
      </w:pPr>
      <w:rPr/>
    </w:lvl>
    <w:lvl w:ilvl="8">
      <w:start w:val="1"/>
      <w:numFmt w:val="decimal"/>
      <w:lvlText w:val=""/>
      <w:lvlJc w:val="left"/>
      <w:pPr>
        <w:ind w:left="2523" w:hanging="720"/>
      </w:pPr>
      <w:rPr/>
    </w:lvl>
  </w:abstractNum>
  <w:abstractNum w:abstractNumId="5">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cs="Arial" w:eastAsia="Arial" w:hAnsi="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cs="Arial" w:eastAsia="Arial" w:hAnsi="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after="240" w:lineRule="auto"/>
        <w:ind w:left="1418"/>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52154C"/>
    <w:pPr>
      <w:overflowPunct w:val="0"/>
      <w:autoSpaceDE w:val="0"/>
      <w:autoSpaceDN w:val="0"/>
      <w:adjustRightInd w:val="0"/>
      <w:textAlignment w:val="baseline"/>
    </w:pPr>
    <w:rPr>
      <w:rFonts w:eastAsia="Times New Roman"/>
    </w:rPr>
  </w:style>
  <w:style w:type="paragraph" w:styleId="Heading1">
    <w:name w:val="heading 1"/>
    <w:basedOn w:val="Normal"/>
    <w:next w:val="Normal"/>
    <w:rsid w:val="0052154C"/>
    <w:pPr>
      <w:keepNext w:val="1"/>
      <w:keepLines w:val="1"/>
      <w:spacing w:after="120" w:before="480"/>
      <w:outlineLvl w:val="0"/>
    </w:pPr>
    <w:rPr>
      <w:b w:val="1"/>
      <w:sz w:val="48"/>
      <w:szCs w:val="48"/>
    </w:rPr>
  </w:style>
  <w:style w:type="paragraph" w:styleId="Heading2">
    <w:name w:val="heading 2"/>
    <w:basedOn w:val="Normal"/>
    <w:next w:val="Normal"/>
    <w:rsid w:val="0052154C"/>
    <w:pPr>
      <w:keepNext w:val="1"/>
      <w:keepLines w:val="1"/>
      <w:spacing w:after="80" w:before="360"/>
      <w:outlineLvl w:val="1"/>
    </w:pPr>
    <w:rPr>
      <w:b w:val="1"/>
      <w:sz w:val="36"/>
      <w:szCs w:val="36"/>
    </w:rPr>
  </w:style>
  <w:style w:type="paragraph" w:styleId="Heading3">
    <w:name w:val="heading 3"/>
    <w:basedOn w:val="Normal"/>
    <w:next w:val="Normal"/>
    <w:rsid w:val="0052154C"/>
    <w:pPr>
      <w:keepNext w:val="1"/>
      <w:keepLines w:val="1"/>
      <w:spacing w:after="80" w:before="280"/>
      <w:outlineLvl w:val="2"/>
    </w:pPr>
    <w:rPr>
      <w:b w:val="1"/>
      <w:sz w:val="28"/>
      <w:szCs w:val="28"/>
    </w:rPr>
  </w:style>
  <w:style w:type="paragraph" w:styleId="Heading4">
    <w:name w:val="heading 4"/>
    <w:basedOn w:val="Normal"/>
    <w:next w:val="Normal"/>
    <w:rsid w:val="0052154C"/>
    <w:pPr>
      <w:keepNext w:val="1"/>
      <w:keepLines w:val="1"/>
      <w:spacing w:after="40" w:before="240"/>
      <w:outlineLvl w:val="3"/>
    </w:pPr>
    <w:rPr>
      <w:b w:val="1"/>
      <w:sz w:val="24"/>
      <w:szCs w:val="24"/>
    </w:rPr>
  </w:style>
  <w:style w:type="paragraph" w:styleId="Heading5">
    <w:name w:val="heading 5"/>
    <w:basedOn w:val="Normal"/>
    <w:next w:val="Normal"/>
    <w:rsid w:val="0052154C"/>
    <w:pPr>
      <w:keepNext w:val="1"/>
      <w:keepLines w:val="1"/>
      <w:spacing w:after="40" w:before="220"/>
      <w:outlineLvl w:val="4"/>
    </w:pPr>
    <w:rPr>
      <w:b w:val="1"/>
    </w:rPr>
  </w:style>
  <w:style w:type="paragraph" w:styleId="Heading6">
    <w:name w:val="heading 6"/>
    <w:basedOn w:val="Normal"/>
    <w:next w:val="Normal"/>
    <w:rsid w:val="0052154C"/>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style>
  <w:style w:type="paragraph" w:styleId="GPSmacrorestart" w:customStyle="1">
    <w:name w:val="GPS macro restart"/>
    <w:basedOn w:val="Normal"/>
    <w:qFormat w:val="1"/>
    <w:pPr>
      <w:spacing w:after="0"/>
      <w:ind w:left="0"/>
    </w:pPr>
    <w:rPr>
      <w:color w:val="ffffff"/>
      <w:sz w:val="16"/>
      <w:szCs w:val="16"/>
    </w:rPr>
  </w:style>
  <w:style w:type="paragraph" w:styleId="GPSL1CLAUSEHEADING" w:customStyle="1">
    <w:name w:val="GPS L1 CLAUSE HEADING"/>
    <w:basedOn w:val="Normal"/>
    <w:next w:val="Normal"/>
    <w:qFormat w:val="1"/>
    <w:rsid w:val="0052154C"/>
    <w:pPr>
      <w:numPr>
        <w:numId w:val="4"/>
      </w:numPr>
      <w:tabs>
        <w:tab w:val="left" w:pos="0"/>
      </w:tabs>
      <w:overflowPunct w:val="1"/>
      <w:autoSpaceDE w:val="1"/>
      <w:autoSpaceDN w:val="1"/>
      <w:spacing w:before="240"/>
      <w:textAlignment w:val="auto"/>
      <w:outlineLvl w:val="1"/>
    </w:pPr>
    <w:rPr>
      <w:rFonts w:ascii="Arial Bold" w:eastAsia="STZhongsong" w:hAnsi="Arial Bold"/>
      <w:b w:val="1"/>
      <w:caps w:val="1"/>
      <w:lang w:eastAsia="zh-CN"/>
    </w:rPr>
  </w:style>
  <w:style w:type="paragraph" w:styleId="GPSL2numberedclause" w:customStyle="1">
    <w:name w:val="GPS L2 numbered clause"/>
    <w:basedOn w:val="Normal"/>
    <w:link w:val="GPSL2numberedclauseChar1"/>
    <w:qFormat w:val="1"/>
    <w:rsid w:val="0052154C"/>
    <w:pPr>
      <w:numPr>
        <w:ilvl w:val="1"/>
        <w:numId w:val="4"/>
      </w:numPr>
      <w:overflowPunct w:val="1"/>
      <w:autoSpaceDE w:val="1"/>
      <w:autoSpaceDN w:val="1"/>
      <w:spacing w:after="120" w:before="120"/>
      <w:textAlignment w:val="auto"/>
    </w:pPr>
    <w:rPr>
      <w:rFonts w:ascii="Calibri" w:hAnsi="Calibri"/>
      <w:lang w:eastAsia="zh-CN"/>
    </w:rPr>
  </w:style>
  <w:style w:type="paragraph" w:styleId="GPSL3numberedclause" w:customStyle="1">
    <w:name w:val="GPS L3 numbered clause"/>
    <w:basedOn w:val="GPSL2numberedclause"/>
    <w:link w:val="GPSL3numberedclauseChar"/>
    <w:qFormat w:val="1"/>
    <w:rsid w:val="0052154C"/>
    <w:pPr>
      <w:numPr>
        <w:ilvl w:val="2"/>
      </w:numPr>
      <w:tabs>
        <w:tab w:val="left" w:pos="1985"/>
        <w:tab w:val="left" w:pos="2127"/>
      </w:tabs>
    </w:pPr>
  </w:style>
  <w:style w:type="paragraph" w:styleId="GPSL4numberedclause" w:customStyle="1">
    <w:name w:val="GPS L4 numbered clause"/>
    <w:basedOn w:val="GPSL3numberedclause"/>
    <w:link w:val="GPSL4numberedclauseChar"/>
    <w:qFormat w:val="1"/>
    <w:rsid w:val="0052154C"/>
    <w:pPr>
      <w:numPr>
        <w:ilvl w:val="3"/>
      </w:numPr>
      <w:tabs>
        <w:tab w:val="clear" w:pos="1985"/>
        <w:tab w:val="clear" w:pos="2127"/>
      </w:tabs>
    </w:pPr>
    <w:rPr>
      <w:szCs w:val="20"/>
    </w:rPr>
  </w:style>
  <w:style w:type="character" w:styleId="GPSL2numberedclauseChar1" w:customStyle="1">
    <w:name w:val="GPS L2 numbered clause Char1"/>
    <w:link w:val="GPSL2numberedclause"/>
    <w:rPr>
      <w:rFonts w:ascii="Calibri" w:eastAsia="Times New Roman" w:hAnsi="Calibri"/>
      <w:lang w:eastAsia="zh-CN"/>
    </w:rPr>
  </w:style>
  <w:style w:type="character" w:styleId="GPSL3numberedclauseChar" w:customStyle="1">
    <w:name w:val="GPS L3 numbered clause Char"/>
    <w:link w:val="GPSL3numberedclause"/>
    <w:rPr>
      <w:rFonts w:ascii="Calibri" w:eastAsia="Times New Roman" w:hAnsi="Calibri"/>
      <w:lang w:eastAsia="zh-CN"/>
    </w:rPr>
  </w:style>
  <w:style w:type="character" w:styleId="GPSL4numberedclauseChar" w:customStyle="1">
    <w:name w:val="GPS L4 numbered clause Char"/>
    <w:link w:val="GPSL4numberedclause"/>
    <w:rPr>
      <w:rFonts w:ascii="Calibri" w:eastAsia="Times New Roman" w:hAnsi="Calibri"/>
      <w:szCs w:val="20"/>
      <w:lang w:eastAsia="zh-CN"/>
    </w:rPr>
  </w:style>
  <w:style w:type="paragraph" w:styleId="GPSL5numberedclause" w:customStyle="1">
    <w:name w:val="GPS L5 numbered clause"/>
    <w:basedOn w:val="GPSL4numberedclause"/>
    <w:qFormat w:val="1"/>
    <w:rsid w:val="0052154C"/>
    <w:pPr>
      <w:numPr>
        <w:ilvl w:val="4"/>
      </w:numPr>
      <w:tabs>
        <w:tab w:val="num" w:pos="360"/>
        <w:tab w:val="left" w:pos="3402"/>
      </w:tabs>
    </w:pPr>
  </w:style>
  <w:style w:type="paragraph" w:styleId="GPSL6numbered" w:customStyle="1">
    <w:name w:val="GPS L6 numbered"/>
    <w:basedOn w:val="GPSL5numberedclause"/>
    <w:qFormat w:val="1"/>
    <w:rsid w:val="0052154C"/>
    <w:pPr>
      <w:numPr>
        <w:ilvl w:val="5"/>
      </w:numPr>
      <w:tabs>
        <w:tab w:val="num" w:pos="360"/>
        <w:tab w:val="left" w:pos="4253"/>
      </w:tabs>
    </w:pPr>
  </w:style>
  <w:style w:type="paragraph" w:styleId="GPSSchTitleandNumber" w:customStyle="1">
    <w:name w:val="GPS Sch Title and Number"/>
    <w:basedOn w:val="Normal"/>
    <w:link w:val="GPSSchTitleandNumberChar"/>
    <w:qFormat w:val="1"/>
    <w:pPr>
      <w:keepNext w:val="1"/>
      <w:overflowPunct w:val="1"/>
      <w:autoSpaceDE w:val="1"/>
      <w:autoSpaceDN w:val="1"/>
      <w:ind w:left="0"/>
      <w:jc w:val="center"/>
      <w:textAlignment w:val="auto"/>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GPSDefinitionTerm" w:customStyle="1">
    <w:name w:val="GPS Definition Term"/>
    <w:basedOn w:val="Normal"/>
    <w:qFormat w:val="1"/>
    <w:pPr>
      <w:spacing w:after="120"/>
      <w:ind w:left="-108"/>
      <w:jc w:val="left"/>
    </w:pPr>
    <w:rPr>
      <w:b w:val="1"/>
    </w:rPr>
  </w:style>
  <w:style w:type="paragraph" w:styleId="GPsDefinition" w:customStyle="1">
    <w:name w:val="GPs Definition"/>
    <w:basedOn w:val="Normal"/>
    <w:qFormat w:val="1"/>
    <w:rsid w:val="0052154C"/>
    <w:pPr>
      <w:numPr>
        <w:numId w:val="2"/>
      </w:numPr>
      <w:tabs>
        <w:tab w:val="left" w:pos="-9"/>
      </w:tabs>
      <w:spacing w:after="120"/>
    </w:pPr>
  </w:style>
  <w:style w:type="paragraph" w:styleId="GPSDefinitionL2" w:customStyle="1">
    <w:name w:val="GPS Definition L2"/>
    <w:basedOn w:val="GPsDefinition"/>
    <w:qFormat w:val="1"/>
    <w:pPr>
      <w:numPr>
        <w:ilvl w:val="1"/>
      </w:numPr>
      <w:tabs>
        <w:tab w:val="clear" w:pos="-9"/>
        <w:tab w:val="left" w:pos="144"/>
      </w:tabs>
      <w:ind w:hanging="545"/>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L1SCHEDULEHeading" w:customStyle="1">
    <w:name w:val="GPS L1 SCHEDULE Heading"/>
    <w:basedOn w:val="GPSL1CLAUSEHEADING"/>
    <w:link w:val="GPSL1SCHEDULEHeadingChar"/>
    <w:qFormat w:val="1"/>
    <w:pPr>
      <w:outlineLvl w:val="9"/>
    </w:pPr>
    <w:rPr>
      <w:rFonts w:ascii="Calibri" w:hAnsi="Calibri"/>
    </w:r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rFonts w:ascii="Arial" w:cs="Arial" w:eastAsia="Times New Roman" w:hAnsi="Arial"/>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Arial" w:cs="Arial" w:eastAsia="Times New Roman" w:hAnsi="Arial"/>
      <w:b w:val="1"/>
      <w:bCs w:val="1"/>
      <w:sz w:val="20"/>
      <w:szCs w:val="20"/>
    </w:rPr>
  </w:style>
  <w:style w:type="character" w:styleId="Hyperlink">
    <w:name w:val="Hyperlink"/>
    <w:basedOn w:val="DefaultParagraphFont"/>
    <w:uiPriority w:val="99"/>
    <w:unhideWhenUsed w:val="1"/>
    <w:rPr>
      <w:color w:val="0000ff" w:themeColor="hyperlink"/>
      <w:u w:val="single"/>
    </w:rPr>
  </w:style>
  <w:style w:type="character" w:styleId="FollowedHyperlink">
    <w:name w:val="FollowedHyperlink"/>
    <w:basedOn w:val="DefaultParagraphFont"/>
    <w:uiPriority w:val="99"/>
    <w:semiHidden w:val="1"/>
    <w:unhideWhenUsed w:val="1"/>
    <w:rPr>
      <w:color w:val="800080" w:themeColor="followedHyperlink"/>
      <w:u w:val="single"/>
    </w:rPr>
  </w:style>
  <w:style w:type="paragraph" w:styleId="Revision">
    <w:name w:val="Revision"/>
    <w:hidden w:val="1"/>
    <w:uiPriority w:val="99"/>
    <w:semiHidden w:val="1"/>
    <w:rsid w:val="0052154C"/>
    <w:pPr>
      <w:spacing w:after="0"/>
    </w:pPr>
    <w:rPr>
      <w:rFonts w:eastAsia="Times New Roman"/>
    </w:rPr>
  </w:style>
  <w:style w:type="table" w:styleId="TableGrid">
    <w:name w:val="Table Grid"/>
    <w:basedOn w:val="TableNormal"/>
    <w:uiPriority w:val="59"/>
    <w:pPr>
      <w:spacing w:after="0"/>
    </w:pPr>
    <w:rPr>
      <w:rFonts w:ascii="Calibri" w:cs="Times New Roman" w:eastAsia="Calibri" w:hAnsi="Calibri"/>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paragraph" w:styleId="GPSL2NumberedBoldHeading" w:customStyle="1">
    <w:name w:val="GPS L2 Numbered Bold Heading"/>
    <w:basedOn w:val="Normal"/>
    <w:qFormat w:val="1"/>
    <w:rsid w:val="00831E6E"/>
    <w:pPr>
      <w:tabs>
        <w:tab w:val="left" w:pos="1134"/>
      </w:tabs>
      <w:overflowPunct w:val="1"/>
      <w:autoSpaceDE w:val="1"/>
      <w:autoSpaceDN w:val="1"/>
      <w:spacing w:after="120" w:before="120"/>
      <w:ind w:left="644" w:hanging="218"/>
      <w:textAlignment w:val="auto"/>
    </w:pPr>
    <w:rPr>
      <w:rFonts w:ascii="Calibri" w:hAnsi="Calibri"/>
      <w:b w:val="1"/>
      <w:lang w:eastAsia="zh-CN"/>
    </w:rPr>
  </w:style>
  <w:style w:type="paragraph" w:styleId="GPSL2Numbered" w:customStyle="1">
    <w:name w:val="GPS L2 Numbered"/>
    <w:basedOn w:val="GPSL2NumberedBoldHeading"/>
    <w:link w:val="GPSL2NumberedChar"/>
    <w:qFormat w:val="1"/>
    <w:rsid w:val="00831E6E"/>
    <w:pPr>
      <w:tabs>
        <w:tab w:val="clear" w:pos="1134"/>
      </w:tabs>
      <w:ind w:hanging="360"/>
    </w:pPr>
    <w:rPr>
      <w:b w:val="0"/>
    </w:rPr>
  </w:style>
  <w:style w:type="character" w:styleId="GPSL2NumberedChar" w:customStyle="1">
    <w:name w:val="GPS L2 Numbered Char"/>
    <w:link w:val="GPSL2Numbered"/>
    <w:locked w:val="1"/>
    <w:rsid w:val="00831E6E"/>
    <w:rPr>
      <w:rFonts w:ascii="Calibri" w:eastAsia="Times New Roman" w:hAnsi="Calibri"/>
      <w:lang w:eastAsia="zh-CN"/>
    </w:rPr>
  </w:style>
  <w:style w:type="paragraph" w:styleId="ScheduleText1" w:customStyle="1">
    <w:name w:val="Schedule Text 1"/>
    <w:basedOn w:val="Normal"/>
    <w:next w:val="Normal"/>
    <w:rsid w:val="003C22E1"/>
    <w:pPr>
      <w:numPr>
        <w:numId w:val="7"/>
      </w:numPr>
      <w:overflowPunct w:val="1"/>
      <w:autoSpaceDE w:val="1"/>
      <w:autoSpaceDN w:val="1"/>
      <w:adjustRightInd w:val="1"/>
      <w:spacing w:after="200" w:before="100"/>
      <w:jc w:val="left"/>
      <w:textAlignment w:val="auto"/>
    </w:pPr>
    <w:rPr>
      <w:rFonts w:cs="Times New Roman"/>
      <w:b w:val="1"/>
      <w:sz w:val="24"/>
      <w:szCs w:val="24"/>
    </w:rPr>
  </w:style>
  <w:style w:type="paragraph" w:styleId="ScheduleText2" w:customStyle="1">
    <w:name w:val="Schedule Text 2"/>
    <w:basedOn w:val="ScheduleText1"/>
    <w:next w:val="Normal"/>
    <w:rsid w:val="003C22E1"/>
    <w:pPr>
      <w:numPr>
        <w:ilvl w:val="1"/>
      </w:numPr>
    </w:pPr>
    <w:rPr>
      <w:b w:val="0"/>
    </w:rPr>
  </w:style>
  <w:style w:type="paragraph" w:styleId="ScheduleText3" w:customStyle="1">
    <w:name w:val="Schedule Text 3"/>
    <w:basedOn w:val="Normal"/>
    <w:next w:val="Normal"/>
    <w:rsid w:val="003C22E1"/>
    <w:pPr>
      <w:numPr>
        <w:ilvl w:val="2"/>
        <w:numId w:val="7"/>
      </w:numPr>
      <w:tabs>
        <w:tab w:val="left" w:pos="720"/>
        <w:tab w:val="left" w:pos="1803"/>
      </w:tabs>
      <w:overflowPunct w:val="1"/>
      <w:autoSpaceDE w:val="1"/>
      <w:autoSpaceDN w:val="1"/>
      <w:adjustRightInd w:val="1"/>
      <w:spacing w:after="200" w:before="100"/>
      <w:jc w:val="left"/>
      <w:textAlignment w:val="auto"/>
    </w:pPr>
    <w:rPr>
      <w:rFonts w:cs="Times New Roman"/>
      <w:sz w:val="24"/>
      <w:szCs w:val="24"/>
    </w:rPr>
  </w:style>
  <w:style w:type="paragraph" w:styleId="ScheduleText4" w:customStyle="1">
    <w:name w:val="Schedule Text 4"/>
    <w:basedOn w:val="Normal"/>
    <w:next w:val="Normal"/>
    <w:rsid w:val="003C22E1"/>
    <w:pPr>
      <w:numPr>
        <w:ilvl w:val="3"/>
        <w:numId w:val="7"/>
      </w:numPr>
      <w:tabs>
        <w:tab w:val="left" w:pos="720"/>
        <w:tab w:val="left" w:pos="1803"/>
      </w:tabs>
      <w:overflowPunct w:val="1"/>
      <w:autoSpaceDE w:val="1"/>
      <w:autoSpaceDN w:val="1"/>
      <w:adjustRightInd w:val="1"/>
      <w:spacing w:after="200" w:before="100"/>
      <w:jc w:val="left"/>
      <w:textAlignment w:val="auto"/>
    </w:pPr>
    <w:rPr>
      <w:rFonts w:cs="Times New Roman"/>
      <w:sz w:val="24"/>
      <w:szCs w:val="24"/>
    </w:rPr>
  </w:style>
  <w:style w:type="paragraph" w:styleId="ScheduleText5" w:customStyle="1">
    <w:name w:val="Schedule Text 5"/>
    <w:basedOn w:val="Normal"/>
    <w:next w:val="Normal"/>
    <w:rsid w:val="003C22E1"/>
    <w:pPr>
      <w:numPr>
        <w:ilvl w:val="4"/>
        <w:numId w:val="7"/>
      </w:numPr>
      <w:tabs>
        <w:tab w:val="left" w:pos="720"/>
        <w:tab w:val="left" w:pos="2523"/>
      </w:tabs>
      <w:overflowPunct w:val="1"/>
      <w:autoSpaceDE w:val="1"/>
      <w:autoSpaceDN w:val="1"/>
      <w:adjustRightInd w:val="1"/>
      <w:spacing w:after="200" w:before="100"/>
      <w:jc w:val="left"/>
      <w:textAlignment w:val="auto"/>
    </w:pPr>
    <w:rPr>
      <w:rFonts w:cs="Times New Roman"/>
      <w:sz w:val="24"/>
      <w:szCs w:val="24"/>
    </w:rPr>
  </w:style>
  <w:style w:type="paragraph" w:styleId="ScheduleText6" w:customStyle="1">
    <w:name w:val="Schedule Text 6"/>
    <w:basedOn w:val="ScheduleText5"/>
    <w:rsid w:val="003C22E1"/>
    <w:pPr>
      <w:numPr>
        <w:ilvl w:val="5"/>
      </w:numPr>
    </w:pPr>
  </w:style>
  <w:style w:type="paragraph" w:styleId="ScheduleText7" w:customStyle="1">
    <w:name w:val="Schedule Text 7"/>
    <w:basedOn w:val="ScheduleText6"/>
    <w:rsid w:val="003C22E1"/>
    <w:pPr>
      <w:numPr>
        <w:ilvl w:val="6"/>
      </w:numPr>
    </w:pPr>
  </w:style>
  <w:style w:type="paragraph" w:styleId="BulletsBody" w:customStyle="1">
    <w:name w:val="Bullets Body"/>
    <w:basedOn w:val="Normal"/>
    <w:rsid w:val="009009FB"/>
    <w:pPr>
      <w:numPr>
        <w:numId w:val="8"/>
      </w:numPr>
      <w:overflowPunct w:val="1"/>
      <w:autoSpaceDE w:val="1"/>
      <w:autoSpaceDN w:val="1"/>
      <w:adjustRightInd w:val="1"/>
      <w:spacing w:after="200" w:before="100"/>
      <w:jc w:val="left"/>
      <w:textAlignment w:val="auto"/>
    </w:pPr>
    <w:rPr>
      <w:rFonts w:cs="Times New Roman"/>
      <w:sz w:val="24"/>
      <w:szCs w:val="24"/>
    </w:rPr>
  </w:style>
  <w:style w:type="paragraph" w:styleId="BulletsLevel1" w:customStyle="1">
    <w:name w:val="Bullets Level 1"/>
    <w:basedOn w:val="Normal"/>
    <w:rsid w:val="009009FB"/>
    <w:pPr>
      <w:numPr>
        <w:ilvl w:val="1"/>
        <w:numId w:val="8"/>
      </w:numPr>
      <w:tabs>
        <w:tab w:val="left" w:pos="1797"/>
      </w:tabs>
      <w:overflowPunct w:val="1"/>
      <w:autoSpaceDE w:val="1"/>
      <w:autoSpaceDN w:val="1"/>
      <w:adjustRightInd w:val="1"/>
      <w:spacing w:after="200" w:before="100"/>
      <w:jc w:val="left"/>
      <w:textAlignment w:val="auto"/>
    </w:pPr>
    <w:rPr>
      <w:rFonts w:cs="Times New Roman"/>
      <w:sz w:val="24"/>
      <w:szCs w:val="24"/>
    </w:rPr>
  </w:style>
  <w:style w:type="paragraph" w:styleId="BulletsLevel2" w:customStyle="1">
    <w:name w:val="Bullets Level 2"/>
    <w:basedOn w:val="BulletsLevel1"/>
    <w:rsid w:val="009009FB"/>
    <w:pPr>
      <w:numPr>
        <w:ilvl w:val="2"/>
      </w:numPr>
      <w:tabs>
        <w:tab w:val="clear" w:pos="1797"/>
      </w:tabs>
    </w:pPr>
  </w:style>
  <w:style w:type="numbering" w:styleId="Scheduleheading" w:customStyle="1">
    <w:name w:val="Schedule heading"/>
    <w:uiPriority w:val="99"/>
    <w:rsid w:val="004E1995"/>
  </w:style>
  <w:style w:type="paragraph" w:styleId="AnnexHeading" w:customStyle="1">
    <w:name w:val="Annex Heading"/>
    <w:basedOn w:val="Normal"/>
    <w:next w:val="Normal"/>
    <w:rsid w:val="004E1995"/>
    <w:pPr>
      <w:tabs>
        <w:tab w:val="num" w:pos="720"/>
      </w:tabs>
      <w:overflowPunct w:val="1"/>
      <w:autoSpaceDE w:val="1"/>
      <w:autoSpaceDN w:val="1"/>
      <w:adjustRightInd w:val="1"/>
      <w:spacing w:after="300" w:before="100"/>
      <w:ind w:left="720" w:hanging="720"/>
      <w:jc w:val="center"/>
      <w:textAlignment w:val="auto"/>
    </w:pPr>
    <w:rPr>
      <w:rFonts w:ascii="Arial Bold" w:cs="Times New Roman" w:hAnsi="Arial Bold"/>
      <w:b w:val="1"/>
      <w:caps w:val="1"/>
      <w:sz w:val="24"/>
      <w:szCs w:val="24"/>
    </w:rPr>
  </w:style>
  <w:style w:type="paragraph" w:styleId="StdBodyText" w:customStyle="1">
    <w:name w:val="Std Body Text"/>
    <w:basedOn w:val="Normal"/>
    <w:qFormat w:val="1"/>
    <w:rsid w:val="004E1995"/>
    <w:pPr>
      <w:overflowPunct w:val="1"/>
      <w:autoSpaceDE w:val="1"/>
      <w:autoSpaceDN w:val="1"/>
      <w:adjustRightInd w:val="1"/>
      <w:spacing w:after="200" w:before="100"/>
      <w:ind w:left="0"/>
      <w:jc w:val="left"/>
      <w:textAlignment w:val="auto"/>
    </w:pPr>
    <w:rPr>
      <w:rFonts w:cs="Times New Roman"/>
      <w:sz w:val="24"/>
      <w:szCs w:val="24"/>
    </w:rPr>
  </w:style>
  <w:style w:type="paragraph" w:styleId="DefinitionList" w:customStyle="1">
    <w:name w:val="Definition List"/>
    <w:basedOn w:val="Normal"/>
    <w:rsid w:val="004E1995"/>
    <w:pPr>
      <w:overflowPunct w:val="1"/>
      <w:autoSpaceDE w:val="1"/>
      <w:autoSpaceDN w:val="1"/>
      <w:adjustRightInd w:val="1"/>
      <w:spacing w:after="200" w:before="100"/>
      <w:ind w:left="0"/>
      <w:jc w:val="left"/>
      <w:textAlignment w:val="auto"/>
    </w:pPr>
    <w:rPr>
      <w:rFonts w:cs="Times New Roman"/>
      <w:sz w:val="24"/>
      <w:szCs w:val="24"/>
    </w:rPr>
  </w:style>
  <w:style w:type="paragraph" w:styleId="DefinitionListLevel1" w:customStyle="1">
    <w:name w:val="Definition List Level 1"/>
    <w:basedOn w:val="DefinitionList"/>
    <w:rsid w:val="004E1995"/>
  </w:style>
  <w:style w:type="paragraph" w:styleId="DefinitionListLevel2" w:customStyle="1">
    <w:name w:val="Definition List Level 2"/>
    <w:basedOn w:val="DefinitionListLevel1"/>
    <w:rsid w:val="004E1995"/>
  </w:style>
  <w:style w:type="paragraph" w:styleId="StdBodyTextBold" w:customStyle="1">
    <w:name w:val="Std Body Text Bold"/>
    <w:basedOn w:val="Normal"/>
    <w:next w:val="StdBodyText"/>
    <w:link w:val="StdBodyTextBoldChar"/>
    <w:qFormat w:val="1"/>
    <w:rsid w:val="00B74DBD"/>
    <w:pPr>
      <w:overflowPunct w:val="1"/>
      <w:autoSpaceDE w:val="1"/>
      <w:autoSpaceDN w:val="1"/>
      <w:adjustRightInd w:val="1"/>
      <w:spacing w:after="200" w:before="100"/>
      <w:ind w:left="0"/>
      <w:jc w:val="left"/>
      <w:textAlignment w:val="auto"/>
    </w:pPr>
    <w:rPr>
      <w:rFonts w:cs="Times New Roman"/>
      <w:b w:val="1"/>
      <w:sz w:val="24"/>
      <w:szCs w:val="24"/>
    </w:rPr>
  </w:style>
  <w:style w:type="character" w:styleId="StdBodyTextBoldChar" w:customStyle="1">
    <w:name w:val="Std Body Text Bold Char"/>
    <w:basedOn w:val="DefaultParagraphFont"/>
    <w:link w:val="StdBodyTextBold"/>
    <w:rsid w:val="00B74DBD"/>
    <w:rPr>
      <w:rFonts w:cs="Times New Roman" w:eastAsia="Times New Roman"/>
      <w:b w:val="1"/>
      <w:sz w:val="24"/>
      <w:szCs w:val="24"/>
    </w:rPr>
  </w:style>
  <w:style w:type="paragraph" w:styleId="AppendixText1" w:customStyle="1">
    <w:name w:val="Appendix Text 1"/>
    <w:basedOn w:val="Normal"/>
    <w:rsid w:val="00666034"/>
    <w:pPr>
      <w:tabs>
        <w:tab w:val="num" w:pos="720"/>
      </w:tabs>
      <w:ind w:left="720" w:hanging="720"/>
    </w:pPr>
  </w:style>
  <w:style w:type="paragraph" w:styleId="AppendixText2" w:customStyle="1">
    <w:name w:val="Appendix Text 2"/>
    <w:basedOn w:val="Normal"/>
    <w:rsid w:val="00666034"/>
    <w:pPr>
      <w:tabs>
        <w:tab w:val="num" w:pos="1440"/>
      </w:tabs>
      <w:ind w:left="1440" w:hanging="720"/>
    </w:pPr>
  </w:style>
  <w:style w:type="paragraph" w:styleId="AppendixText3" w:customStyle="1">
    <w:name w:val="Appendix Text 3"/>
    <w:basedOn w:val="Normal"/>
    <w:rsid w:val="00666034"/>
    <w:pPr>
      <w:tabs>
        <w:tab w:val="num" w:pos="2160"/>
      </w:tabs>
      <w:ind w:left="2160" w:hanging="720"/>
    </w:pPr>
  </w:style>
  <w:style w:type="paragraph" w:styleId="AppendixText4" w:customStyle="1">
    <w:name w:val="Appendix Text 4"/>
    <w:basedOn w:val="Normal"/>
    <w:rsid w:val="00666034"/>
    <w:pPr>
      <w:numPr>
        <w:ilvl w:val="3"/>
        <w:numId w:val="11"/>
      </w:numPr>
    </w:pPr>
  </w:style>
  <w:style w:type="paragraph" w:styleId="AppendixText5" w:customStyle="1">
    <w:name w:val="Appendix Text 5"/>
    <w:basedOn w:val="Normal"/>
    <w:rsid w:val="00666034"/>
    <w:pPr>
      <w:numPr>
        <w:ilvl w:val="4"/>
        <w:numId w:val="11"/>
      </w:numPr>
    </w:pPr>
  </w:style>
  <w:style w:type="table" w:styleId="a0" w:customStyle="1">
    <w:basedOn w:val="TableNormal"/>
    <w:pPr>
      <w:spacing w:after="0"/>
    </w:pPr>
    <w:rPr>
      <w:rFonts w:ascii="Calibri" w:cs="Calibri" w:eastAsia="Calibri" w:hAnsi="Calibri"/>
      <w:sz w:val="20"/>
      <w:szCs w:val="20"/>
    </w:rPr>
    <w:tblPr>
      <w:tblStyleRowBandSize w:val="1"/>
      <w:tblStyleColBandSize w:val="1"/>
      <w:tblCellMar>
        <w:left w:w="115.0" w:type="dxa"/>
        <w:right w:w="115.0" w:type="dxa"/>
      </w:tblCellMar>
    </w:tblPr>
  </w:style>
  <w:style w:type="table" w:styleId="a1" w:customStyle="1">
    <w:basedOn w:val="TableNormal"/>
    <w:pPr>
      <w:spacing w:after="0"/>
    </w:pPr>
    <w:rPr>
      <w:rFonts w:ascii="Calibri" w:cs="Calibri" w:eastAsia="Calibri" w:hAnsi="Calibri"/>
      <w:sz w:val="20"/>
      <w:szCs w:val="20"/>
    </w:rPr>
    <w:tblPr>
      <w:tblStyleRowBandSize w:val="1"/>
      <w:tblStyleColBandSize w:val="1"/>
      <w:tblCellMar>
        <w:left w:w="115.0" w:type="dxa"/>
        <w:right w:w="115.0" w:type="dxa"/>
      </w:tblCellMar>
    </w:tblPr>
  </w:style>
  <w:style w:type="paragraph" w:styleId="ListParagraph">
    <w:name w:val="List Paragraph"/>
    <w:basedOn w:val="Normal"/>
    <w:uiPriority w:val="34"/>
    <w:qFormat w:val="1"/>
    <w:rsid w:val="00A203BD"/>
    <w:pPr>
      <w:ind w:left="720"/>
      <w:contextualSpacing w:val="1"/>
    </w:pPr>
  </w:style>
  <w:style w:type="paragraph" w:styleId="StdBodyText2" w:customStyle="1">
    <w:name w:val="Std Body Text 2"/>
    <w:basedOn w:val="Normal"/>
    <w:rsid w:val="00F71ABD"/>
    <w:pPr>
      <w:overflowPunct w:val="1"/>
      <w:autoSpaceDE w:val="1"/>
      <w:autoSpaceDN w:val="1"/>
      <w:adjustRightInd w:val="1"/>
      <w:spacing w:after="200" w:before="100"/>
      <w:ind w:left="720"/>
      <w:jc w:val="left"/>
      <w:textAlignment w:val="auto"/>
    </w:pPr>
    <w:rPr>
      <w:rFonts w:cs="Times New Roman"/>
      <w:sz w:val="24"/>
      <w:szCs w:val="24"/>
    </w:rPr>
  </w:style>
  <w:style w:type="paragraph" w:styleId="AppendixText6" w:customStyle="1">
    <w:name w:val="Appendix Text 6"/>
    <w:basedOn w:val="AppendixText5"/>
    <w:rsid w:val="00F71ABD"/>
    <w:pPr>
      <w:numPr>
        <w:ilvl w:val="0"/>
        <w:numId w:val="0"/>
      </w:numPr>
      <w:tabs>
        <w:tab w:val="left" w:pos="720"/>
        <w:tab w:val="left" w:pos="2523"/>
        <w:tab w:val="num" w:pos="4320"/>
      </w:tabs>
      <w:overflowPunct w:val="1"/>
      <w:autoSpaceDE w:val="1"/>
      <w:autoSpaceDN w:val="1"/>
      <w:adjustRightInd w:val="1"/>
      <w:spacing w:after="200" w:before="100"/>
      <w:ind w:left="4320" w:hanging="720"/>
      <w:jc w:val="left"/>
      <w:textAlignment w:val="auto"/>
    </w:pPr>
    <w:rPr>
      <w:rFonts w:cs="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esolution.planning@cabinetoffice.gov.uk" TargetMode="External"/><Relationship Id="rId8" Type="http://schemas.openxmlformats.org/officeDocument/2006/relationships/hyperlink" Target="https://www.gov.uk/government/publications/the-sourcing-and-consultancy-play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y/9OE5OUoEKuugF00Iz1xKaWKA==">CgMxLjAyCGguZ2pkZ3hzMgloLjIzY2t2dmQyCWguMWJhb242bTIJaC4zdmFjNXVmMgloLjMyaGlvcXo4AHIhMVlDUlRRRF9ranB0STFpTGNKY1hTWFdMRHJ3TkRJdDRY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2023-06-22T11:14:00Z</dcterms:created>
  <dc:creator>Hannah Wright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