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1"/>
        <w:pBdr>
          <w:top w:space="0" w:sz="0" w:val="nil"/>
          <w:left w:space="0" w:sz="0" w:val="nil"/>
          <w:bottom w:space="0" w:sz="0" w:val="nil"/>
          <w:right w:space="0" w:sz="0" w:val="nil"/>
          <w:between w:space="0" w:sz="0" w:val="nil"/>
        </w:pBdr>
        <w:spacing w:after="120" w:before="240"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Framework Schedule 7 (Call-Off Award Procedure) </w:t>
      </w:r>
    </w:p>
    <w:p w:rsidR="00000000" w:rsidDel="00000000" w:rsidP="00000000" w:rsidRDefault="00000000" w:rsidRPr="00000000" w14:paraId="00000002">
      <w:pPr>
        <w:pageBreakBefore w:val="0"/>
        <w:widowControl w:val="1"/>
        <w:pBdr>
          <w:top w:space="0" w:sz="0" w:val="nil"/>
          <w:left w:space="0" w:sz="0" w:val="nil"/>
          <w:bottom w:space="0" w:sz="0" w:val="nil"/>
          <w:right w:space="0" w:sz="0" w:val="nil"/>
          <w:between w:space="0" w:sz="0" w:val="nil"/>
        </w:pBdr>
        <w:spacing w:after="120" w:before="240"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Part 1: Order Procedure</w:t>
      </w:r>
    </w:p>
    <w:p w:rsidR="00000000" w:rsidDel="00000000" w:rsidP="00000000" w:rsidRDefault="00000000" w:rsidRPr="00000000" w14:paraId="00000003">
      <w:pPr>
        <w:keepNext w:val="1"/>
        <w:pageBreakBefore w:val="0"/>
        <w:widowControl w:val="1"/>
        <w:numPr>
          <w:ilvl w:val="0"/>
          <w:numId w:val="3"/>
        </w:numPr>
        <w:pBdr>
          <w:top w:space="0" w:sz="0" w:val="nil"/>
          <w:left w:space="0" w:sz="0" w:val="nil"/>
          <w:bottom w:space="0" w:sz="0" w:val="nil"/>
          <w:right w:space="0" w:sz="0" w:val="nil"/>
          <w:between w:space="0" w:sz="0" w:val="nil"/>
        </w:pBdr>
        <w:tabs>
          <w:tab w:val="left" w:leader="none" w:pos="142"/>
        </w:tabs>
        <w:spacing w:after="240" w:before="12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How a Call-Off Contract is awarded</w:t>
      </w:r>
    </w:p>
    <w:p w:rsidR="00000000" w:rsidDel="00000000" w:rsidP="00000000" w:rsidRDefault="00000000" w:rsidRPr="00000000" w14:paraId="00000004">
      <w:pPr>
        <w:pageBreakBefore w:val="0"/>
        <w:widowControl w:val="1"/>
        <w:numPr>
          <w:ilvl w:val="1"/>
          <w:numId w:val="2"/>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bookmarkStart w:colFirst="0" w:colLast="0" w:name="_heading=h.30j0zll" w:id="0"/>
      <w:bookmarkEnd w:id="0"/>
      <w:r w:rsidDel="00000000" w:rsidR="00000000" w:rsidRPr="00000000">
        <w:rPr>
          <w:rFonts w:ascii="Arial" w:cs="Arial" w:eastAsia="Arial" w:hAnsi="Arial"/>
          <w:color w:val="000000"/>
          <w:sz w:val="24"/>
          <w:szCs w:val="24"/>
          <w:rtl w:val="0"/>
        </w:rPr>
        <w:t xml:space="preserve">If a potential Buyer decides to source Deliverables through this Contract then it will award its Deliverables in accordance with the procedure in this Schedule and the requirements of the Regulations.</w:t>
      </w:r>
    </w:p>
    <w:p w:rsidR="00000000" w:rsidDel="00000000" w:rsidP="00000000" w:rsidRDefault="00000000" w:rsidRPr="00000000" w14:paraId="00000005">
      <w:pPr>
        <w:keepNext w:val="1"/>
        <w:pageBreakBefore w:val="0"/>
        <w:widowControl w:val="1"/>
        <w:numPr>
          <w:ilvl w:val="1"/>
          <w:numId w:val="2"/>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bookmarkStart w:colFirst="0" w:colLast="0" w:name="_heading=h.1fob9te" w:id="1"/>
      <w:bookmarkEnd w:id="1"/>
      <w:r w:rsidDel="00000000" w:rsidR="00000000" w:rsidRPr="00000000">
        <w:rPr>
          <w:rFonts w:ascii="Arial" w:cs="Arial" w:eastAsia="Arial" w:hAnsi="Arial"/>
          <w:color w:val="000000"/>
          <w:sz w:val="24"/>
          <w:szCs w:val="24"/>
          <w:rtl w:val="0"/>
        </w:rPr>
        <w:t xml:space="preserve">If the potential Buyer can determine that:</w:t>
      </w:r>
    </w:p>
    <w:p w:rsidR="00000000" w:rsidDel="00000000" w:rsidP="00000000" w:rsidRDefault="00000000" w:rsidRPr="00000000" w14:paraId="00000006">
      <w:pPr>
        <w:pageBreakBefore w:val="0"/>
        <w:widowControl w:val="1"/>
        <w:numPr>
          <w:ilvl w:val="2"/>
          <w:numId w:val="2"/>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its Deliverables can be met by the Suppliers’ catalogues and description of the Deliverables as set out in Framework Schedule 1 (Specification) and Framework Schedule 2 (Framework Tender); and</w:t>
      </w:r>
    </w:p>
    <w:p w:rsidR="00000000" w:rsidDel="00000000" w:rsidP="00000000" w:rsidRDefault="00000000" w:rsidRPr="00000000" w14:paraId="00000007">
      <w:pPr>
        <w:pageBreakBefore w:val="0"/>
        <w:widowControl w:val="1"/>
        <w:numPr>
          <w:ilvl w:val="2"/>
          <w:numId w:val="2"/>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of the terms of the proposed Call-Off Contract are laid down in this Contract and do not require amendment or any supplementary terms and conditions;</w:t>
      </w:r>
    </w:p>
    <w:p w:rsidR="00000000" w:rsidDel="00000000" w:rsidP="00000000" w:rsidRDefault="00000000" w:rsidRPr="00000000" w14:paraId="00000008">
      <w:pPr>
        <w:pageBreakBefore w:val="0"/>
        <w:widowControl w:val="1"/>
        <w:pBdr>
          <w:top w:space="0" w:sz="0" w:val="nil"/>
          <w:left w:space="0" w:sz="0" w:val="nil"/>
          <w:bottom w:space="0" w:sz="0" w:val="nil"/>
          <w:right w:space="0" w:sz="0" w:val="nil"/>
          <w:between w:space="0" w:sz="0" w:val="nil"/>
        </w:pBdr>
        <w:tabs>
          <w:tab w:val="left" w:leader="none" w:pos="4536"/>
        </w:tabs>
        <w:spacing w:after="2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then the Buyer may award a Call-Off Contract in accordance with the procedure set out in Paragraph 2 below.</w:t>
      </w:r>
    </w:p>
    <w:p w:rsidR="00000000" w:rsidDel="00000000" w:rsidP="00000000" w:rsidRDefault="00000000" w:rsidRPr="00000000" w14:paraId="00000009">
      <w:pPr>
        <w:keepNext w:val="1"/>
        <w:pageBreakBefore w:val="0"/>
        <w:widowControl w:val="1"/>
        <w:numPr>
          <w:ilvl w:val="1"/>
          <w:numId w:val="2"/>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all of the terms of the proposed Call-Off Contract are not laid down in this Contract and the potential Buyer:</w:t>
      </w:r>
    </w:p>
    <w:p w:rsidR="00000000" w:rsidDel="00000000" w:rsidP="00000000" w:rsidRDefault="00000000" w:rsidRPr="00000000" w14:paraId="0000000A">
      <w:pPr>
        <w:pageBreakBefore w:val="0"/>
        <w:widowControl w:val="1"/>
        <w:numPr>
          <w:ilvl w:val="2"/>
          <w:numId w:val="2"/>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requires the Supplier to develop proposals or a solution in respect of such Deliverables; and/or</w:t>
      </w:r>
    </w:p>
    <w:p w:rsidR="00000000" w:rsidDel="00000000" w:rsidP="00000000" w:rsidRDefault="00000000" w:rsidRPr="00000000" w14:paraId="0000000B">
      <w:pPr>
        <w:pageBreakBefore w:val="0"/>
        <w:widowControl w:val="1"/>
        <w:numPr>
          <w:ilvl w:val="2"/>
          <w:numId w:val="2"/>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needs to amend or refine the terms of the Framework Contract to reflect its Deliverables to the extent permitted by and in accordance with the Regulations;</w:t>
      </w:r>
    </w:p>
    <w:p w:rsidR="00000000" w:rsidDel="00000000" w:rsidP="00000000" w:rsidRDefault="00000000" w:rsidRPr="00000000" w14:paraId="0000000C">
      <w:pPr>
        <w:pageBreakBefore w:val="0"/>
        <w:widowControl w:val="1"/>
        <w:pBdr>
          <w:top w:space="0" w:sz="0" w:val="nil"/>
          <w:left w:space="0" w:sz="0" w:val="nil"/>
          <w:bottom w:space="0" w:sz="0" w:val="nil"/>
          <w:right w:space="0" w:sz="0" w:val="nil"/>
          <w:between w:space="0" w:sz="0" w:val="nil"/>
        </w:pBdr>
        <w:tabs>
          <w:tab w:val="left" w:leader="none" w:pos="4536"/>
        </w:tabs>
        <w:spacing w:after="220" w:lineRule="auto"/>
        <w:ind w:left="90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then the Buyer may award a Call-Off Contract in accordance with the Further Competition Procedure set out in Paragraph 3 below.</w:t>
      </w:r>
    </w:p>
    <w:p w:rsidR="00000000" w:rsidDel="00000000" w:rsidP="00000000" w:rsidRDefault="00000000" w:rsidRPr="00000000" w14:paraId="0000000D">
      <w:pPr>
        <w:keepNext w:val="1"/>
        <w:pageBreakBefore w:val="0"/>
        <w:widowControl w:val="1"/>
        <w:numPr>
          <w:ilvl w:val="0"/>
          <w:numId w:val="2"/>
        </w:numPr>
        <w:pBdr>
          <w:top w:space="0" w:sz="0" w:val="nil"/>
          <w:left w:space="0" w:sz="0" w:val="nil"/>
          <w:bottom w:space="0" w:sz="0" w:val="nil"/>
          <w:right w:space="0" w:sz="0" w:val="nil"/>
          <w:between w:space="0" w:sz="0" w:val="nil"/>
        </w:pBdr>
        <w:tabs>
          <w:tab w:val="left" w:leader="none" w:pos="142"/>
        </w:tabs>
        <w:spacing w:after="240" w:before="12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How a direct award works</w:t>
      </w:r>
    </w:p>
    <w:p w:rsidR="00000000" w:rsidDel="00000000" w:rsidP="00000000" w:rsidRDefault="00000000" w:rsidRPr="00000000" w14:paraId="0000000E">
      <w:pPr>
        <w:keepNext w:val="1"/>
        <w:pageBreakBefore w:val="0"/>
        <w:widowControl w:val="1"/>
        <w:numPr>
          <w:ilvl w:val="1"/>
          <w:numId w:val="2"/>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Paragraph 1.2 above the Buyer awarding a Call-Off Contract under this Contract without holding a further competition shall:</w:t>
      </w:r>
    </w:p>
    <w:p w:rsidR="00000000" w:rsidDel="00000000" w:rsidP="00000000" w:rsidRDefault="00000000" w:rsidRPr="00000000" w14:paraId="0000000F">
      <w:pPr>
        <w:pageBreakBefore w:val="0"/>
        <w:widowControl w:val="1"/>
        <w:numPr>
          <w:ilvl w:val="2"/>
          <w:numId w:val="2"/>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develop a clear Statement of Requirements;</w:t>
      </w:r>
    </w:p>
    <w:p w:rsidR="00000000" w:rsidDel="00000000" w:rsidP="00000000" w:rsidRDefault="00000000" w:rsidRPr="00000000" w14:paraId="00000010">
      <w:pPr>
        <w:pageBreakBefore w:val="0"/>
        <w:widowControl w:val="1"/>
        <w:numPr>
          <w:ilvl w:val="2"/>
          <w:numId w:val="2"/>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apply the direct award criteria to the Suppliers’ catalogues and description of the Deliverables as set out in Framework Schedule 1 (Specification) and Framework Schedule 2 (Framework Tender) for all Suppliers capable of meeting the Statement of Requirements in order to establish which Supplier provides the most economically advantageous solution; and</w:t>
      </w:r>
    </w:p>
    <w:p w:rsidR="00000000" w:rsidDel="00000000" w:rsidP="00000000" w:rsidRDefault="00000000" w:rsidRPr="00000000" w14:paraId="00000011">
      <w:pPr>
        <w:pageBreakBefore w:val="0"/>
        <w:widowControl w:val="1"/>
        <w:numPr>
          <w:ilvl w:val="2"/>
          <w:numId w:val="2"/>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 the basis set out above, award the Call-Off Contract with the successful Supplier in accordance with Paragraph 6 below.</w:t>
      </w:r>
    </w:p>
    <w:p w:rsidR="00000000" w:rsidDel="00000000" w:rsidP="00000000" w:rsidRDefault="00000000" w:rsidRPr="00000000" w14:paraId="00000012">
      <w:pPr>
        <w:pageBreakBefore w:val="0"/>
        <w:widowControl w:val="1"/>
        <w:pBdr>
          <w:top w:space="0" w:sz="0" w:val="nil"/>
          <w:left w:space="0" w:sz="0" w:val="nil"/>
          <w:bottom w:space="0" w:sz="0" w:val="nil"/>
          <w:right w:space="0" w:sz="0" w:val="nil"/>
          <w:between w:space="0" w:sz="0" w:val="nil"/>
        </w:pBdr>
        <w:tabs>
          <w:tab w:val="left" w:leader="none" w:pos="3641"/>
        </w:tabs>
        <w:spacing w:after="120" w:before="120" w:lineRule="auto"/>
        <w:ind w:left="1985"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3">
      <w:pPr>
        <w:keepNext w:val="1"/>
        <w:pageBreakBefore w:val="0"/>
        <w:widowControl w:val="1"/>
        <w:numPr>
          <w:ilvl w:val="0"/>
          <w:numId w:val="2"/>
        </w:numPr>
        <w:pBdr>
          <w:top w:space="0" w:sz="0" w:val="nil"/>
          <w:left w:space="0" w:sz="0" w:val="nil"/>
          <w:bottom w:space="0" w:sz="0" w:val="nil"/>
          <w:right w:space="0" w:sz="0" w:val="nil"/>
          <w:between w:space="0" w:sz="0" w:val="nil"/>
        </w:pBdr>
        <w:tabs>
          <w:tab w:val="left" w:leader="none" w:pos="142"/>
        </w:tabs>
        <w:spacing w:after="240" w:before="12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How a further competition works</w:t>
      </w:r>
    </w:p>
    <w:p w:rsidR="00000000" w:rsidDel="00000000" w:rsidP="00000000" w:rsidRDefault="00000000" w:rsidRPr="00000000" w14:paraId="00000014">
      <w:pPr>
        <w:keepNext w:val="1"/>
        <w:pageBreakBefore w:val="0"/>
        <w:widowControl w:val="1"/>
        <w:pBdr>
          <w:top w:space="0" w:sz="0" w:val="nil"/>
          <w:left w:space="0" w:sz="0" w:val="nil"/>
          <w:bottom w:space="0" w:sz="0" w:val="nil"/>
          <w:right w:space="0" w:sz="0" w:val="nil"/>
          <w:between w:space="0" w:sz="0" w:val="nil"/>
        </w:pBdr>
        <w:tabs>
          <w:tab w:val="left" w:leader="none" w:pos="3054"/>
        </w:tabs>
        <w:spacing w:after="120" w:before="120" w:lineRule="auto"/>
        <w:ind w:left="1134" w:hanging="774"/>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What the Buyer has to do</w:t>
      </w:r>
    </w:p>
    <w:p w:rsidR="00000000" w:rsidDel="00000000" w:rsidP="00000000" w:rsidRDefault="00000000" w:rsidRPr="00000000" w14:paraId="00000015">
      <w:pPr>
        <w:keepNext w:val="1"/>
        <w:pageBreakBefore w:val="0"/>
        <w:widowControl w:val="1"/>
        <w:numPr>
          <w:ilvl w:val="1"/>
          <w:numId w:val="2"/>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awarding a Call-Off Contract under this Contract through a Further Competition Procedure shall:</w:t>
      </w:r>
    </w:p>
    <w:p w:rsidR="00000000" w:rsidDel="00000000" w:rsidP="00000000" w:rsidRDefault="00000000" w:rsidRPr="00000000" w14:paraId="00000016">
      <w:pPr>
        <w:pageBreakBefore w:val="0"/>
        <w:widowControl w:val="1"/>
        <w:numPr>
          <w:ilvl w:val="2"/>
          <w:numId w:val="2"/>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bookmarkStart w:colFirst="0" w:colLast="0" w:name="_heading=h.3znysh7" w:id="2"/>
      <w:bookmarkEnd w:id="2"/>
      <w:r w:rsidDel="00000000" w:rsidR="00000000" w:rsidRPr="00000000">
        <w:rPr>
          <w:rFonts w:ascii="Arial" w:cs="Arial" w:eastAsia="Arial" w:hAnsi="Arial"/>
          <w:color w:val="000000"/>
          <w:sz w:val="24"/>
          <w:szCs w:val="24"/>
          <w:rtl w:val="0"/>
        </w:rPr>
        <w:t xml:space="preserve">develop a Statement of Requirements setting out its requirements for the Deliverables and identify the Suppliers capable of </w:t>
      </w:r>
      <w:r w:rsidDel="00000000" w:rsidR="00000000" w:rsidRPr="00000000">
        <w:rPr>
          <w:rFonts w:ascii="Arial" w:cs="Arial" w:eastAsia="Arial" w:hAnsi="Arial"/>
          <w:sz w:val="24"/>
          <w:szCs w:val="24"/>
          <w:rtl w:val="0"/>
        </w:rPr>
        <w:t xml:space="preserve">supplying them</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17">
      <w:pPr>
        <w:pageBreakBefore w:val="0"/>
        <w:widowControl w:val="1"/>
        <w:numPr>
          <w:ilvl w:val="2"/>
          <w:numId w:val="2"/>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bookmarkStart w:colFirst="0" w:colLast="0" w:name="_heading=h.2et92p0" w:id="3"/>
      <w:bookmarkEnd w:id="3"/>
      <w:r w:rsidDel="00000000" w:rsidR="00000000" w:rsidRPr="00000000">
        <w:rPr>
          <w:rFonts w:ascii="Arial" w:cs="Arial" w:eastAsia="Arial" w:hAnsi="Arial"/>
          <w:color w:val="000000"/>
          <w:sz w:val="24"/>
          <w:szCs w:val="24"/>
          <w:rtl w:val="0"/>
        </w:rPr>
        <w:t xml:space="preserve">amend or refine the Deliverables to reflect its requirements by using the Order Form only to the extent permitted by and in accordance with the requirements of the Regulations;</w:t>
      </w:r>
    </w:p>
    <w:p w:rsidR="00000000" w:rsidDel="00000000" w:rsidP="00000000" w:rsidRDefault="00000000" w:rsidRPr="00000000" w14:paraId="00000018">
      <w:pPr>
        <w:keepNext w:val="1"/>
        <w:pageBreakBefore w:val="0"/>
        <w:widowControl w:val="1"/>
        <w:numPr>
          <w:ilvl w:val="2"/>
          <w:numId w:val="2"/>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bookmarkStart w:colFirst="0" w:colLast="0" w:name="_heading=h.tyjcwt" w:id="4"/>
      <w:bookmarkEnd w:id="4"/>
      <w:r w:rsidDel="00000000" w:rsidR="00000000" w:rsidRPr="00000000">
        <w:rPr>
          <w:rFonts w:ascii="Arial" w:cs="Arial" w:eastAsia="Arial" w:hAnsi="Arial"/>
          <w:color w:val="000000"/>
          <w:sz w:val="24"/>
          <w:szCs w:val="24"/>
          <w:rtl w:val="0"/>
        </w:rPr>
        <w:t xml:space="preserve">invite tenders by conducting a Further Competition Procedure for its Deliverables in accordance with the Regulations and in particular:</w:t>
      </w:r>
    </w:p>
    <w:p w:rsidR="00000000" w:rsidDel="00000000" w:rsidP="00000000" w:rsidRDefault="00000000" w:rsidRPr="00000000" w14:paraId="00000019">
      <w:pPr>
        <w:pageBreakBefore w:val="0"/>
        <w:widowControl w:val="1"/>
        <w:numPr>
          <w:ilvl w:val="3"/>
          <w:numId w:val="2"/>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 Electronic Reverse Auction (as defined in Paragraph 7 below) is to be held, the Buyer shall notify the Suppliers identified in accordance with Paragraph 3.1.1 and shall conduct the Further Competition Procedure in accordance with the procedures set out in Paragraph 3; or</w:t>
      </w:r>
    </w:p>
    <w:p w:rsidR="00000000" w:rsidDel="00000000" w:rsidP="00000000" w:rsidRDefault="00000000" w:rsidRPr="00000000" w14:paraId="0000001A">
      <w:pPr>
        <w:keepNext w:val="1"/>
        <w:pageBreakBefore w:val="0"/>
        <w:widowControl w:val="1"/>
        <w:numPr>
          <w:ilvl w:val="3"/>
          <w:numId w:val="2"/>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 Electronic Reverse Auction is not used, the Buyer shall:</w:t>
      </w:r>
    </w:p>
    <w:p w:rsidR="00000000" w:rsidDel="00000000" w:rsidP="00000000" w:rsidRDefault="00000000" w:rsidRPr="00000000" w14:paraId="0000001B">
      <w:pPr>
        <w:pageBreakBefore w:val="0"/>
        <w:widowControl w:val="1"/>
        <w:numPr>
          <w:ilvl w:val="4"/>
          <w:numId w:val="2"/>
        </w:numPr>
        <w:pBdr>
          <w:top w:space="0" w:sz="0" w:val="nil"/>
          <w:left w:space="0" w:sz="0" w:val="nil"/>
          <w:bottom w:space="0" w:sz="0" w:val="nil"/>
          <w:right w:space="0" w:sz="0" w:val="nil"/>
          <w:between w:space="0" w:sz="0" w:val="nil"/>
        </w:pBdr>
        <w:tabs>
          <w:tab w:val="left" w:leader="none" w:pos="6238"/>
        </w:tabs>
        <w:spacing w:after="120" w:before="120" w:lineRule="auto"/>
        <w:ind w:left="3119"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invite the Suppliers identified in accordance with Paragraph 3.1.1 to submit a tender in writing for each proposed Call-Off Contract to be awarded by giving written notice by email to the relevant Supplier Representative of each Supplier;</w:t>
      </w:r>
    </w:p>
    <w:p w:rsidR="00000000" w:rsidDel="00000000" w:rsidP="00000000" w:rsidRDefault="00000000" w:rsidRPr="00000000" w14:paraId="0000001C">
      <w:pPr>
        <w:pageBreakBefore w:val="0"/>
        <w:widowControl w:val="1"/>
        <w:numPr>
          <w:ilvl w:val="4"/>
          <w:numId w:val="2"/>
        </w:numPr>
        <w:pBdr>
          <w:top w:space="0" w:sz="0" w:val="nil"/>
          <w:left w:space="0" w:sz="0" w:val="nil"/>
          <w:bottom w:space="0" w:sz="0" w:val="nil"/>
          <w:right w:space="0" w:sz="0" w:val="nil"/>
          <w:between w:space="0" w:sz="0" w:val="nil"/>
        </w:pBdr>
        <w:tabs>
          <w:tab w:val="left" w:leader="none" w:pos="6238"/>
        </w:tabs>
        <w:spacing w:after="120" w:before="120" w:lineRule="auto"/>
        <w:ind w:left="3119"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set a time limit for the receipt by it of the tenders which takes into account factors such as the complexity of the subject matter of the proposed Call-Off Contract and the time needed to submit tenders; and</w:t>
      </w:r>
    </w:p>
    <w:p w:rsidR="00000000" w:rsidDel="00000000" w:rsidP="00000000" w:rsidRDefault="00000000" w:rsidRPr="00000000" w14:paraId="0000001D">
      <w:pPr>
        <w:pageBreakBefore w:val="0"/>
        <w:widowControl w:val="1"/>
        <w:numPr>
          <w:ilvl w:val="4"/>
          <w:numId w:val="2"/>
        </w:numPr>
        <w:pBdr>
          <w:top w:space="0" w:sz="0" w:val="nil"/>
          <w:left w:space="0" w:sz="0" w:val="nil"/>
          <w:bottom w:space="0" w:sz="0" w:val="nil"/>
          <w:right w:space="0" w:sz="0" w:val="nil"/>
          <w:between w:space="0" w:sz="0" w:val="nil"/>
        </w:pBdr>
        <w:tabs>
          <w:tab w:val="left" w:leader="none" w:pos="6238"/>
        </w:tabs>
        <w:spacing w:after="120" w:before="120" w:lineRule="auto"/>
        <w:ind w:left="3119"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keep each tender confidential until the time limit set out for the return of tenders has expired.</w:t>
      </w:r>
    </w:p>
    <w:p w:rsidR="00000000" w:rsidDel="00000000" w:rsidP="00000000" w:rsidRDefault="00000000" w:rsidRPr="00000000" w14:paraId="0000001E">
      <w:pPr>
        <w:pageBreakBefore w:val="0"/>
        <w:widowControl w:val="1"/>
        <w:numPr>
          <w:ilvl w:val="2"/>
          <w:numId w:val="2"/>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apply the further competition award criteria to the Suppliers' compliant tenders submitted through the Further Competition Procedure as the basis of its decision to award a Call-Off Contract for its Deliverables;</w:t>
      </w:r>
    </w:p>
    <w:p w:rsidR="00000000" w:rsidDel="00000000" w:rsidP="00000000" w:rsidRDefault="00000000" w:rsidRPr="00000000" w14:paraId="0000001F">
      <w:pPr>
        <w:keepNext w:val="1"/>
        <w:pageBreakBefore w:val="0"/>
        <w:widowControl w:val="1"/>
        <w:numPr>
          <w:ilvl w:val="2"/>
          <w:numId w:val="2"/>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 the basis set out above, award its Call-Off Contract to the successful Supplier in accordance with Paragraph 6. The Call-Off Contract shall:</w:t>
      </w:r>
    </w:p>
    <w:p w:rsidR="00000000" w:rsidDel="00000000" w:rsidP="00000000" w:rsidRDefault="00000000" w:rsidRPr="00000000" w14:paraId="00000020">
      <w:pPr>
        <w:pageBreakBefore w:val="0"/>
        <w:widowControl w:val="1"/>
        <w:numPr>
          <w:ilvl w:val="3"/>
          <w:numId w:val="2"/>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state the Deliverables;</w:t>
      </w:r>
    </w:p>
    <w:p w:rsidR="00000000" w:rsidDel="00000000" w:rsidP="00000000" w:rsidRDefault="00000000" w:rsidRPr="00000000" w14:paraId="00000021">
      <w:pPr>
        <w:pageBreakBefore w:val="0"/>
        <w:widowControl w:val="1"/>
        <w:numPr>
          <w:ilvl w:val="3"/>
          <w:numId w:val="2"/>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state the tender submitted by the successful Supplier;</w:t>
      </w:r>
    </w:p>
    <w:p w:rsidR="00000000" w:rsidDel="00000000" w:rsidP="00000000" w:rsidRDefault="00000000" w:rsidRPr="00000000" w14:paraId="00000022">
      <w:pPr>
        <w:pageBreakBefore w:val="0"/>
        <w:widowControl w:val="1"/>
        <w:numPr>
          <w:ilvl w:val="3"/>
          <w:numId w:val="2"/>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state the Charges payable for the Deliverables in accordance with the tender submitted by the successful Supplier; and</w:t>
      </w:r>
    </w:p>
    <w:p w:rsidR="00000000" w:rsidDel="00000000" w:rsidP="00000000" w:rsidRDefault="00000000" w:rsidRPr="00000000" w14:paraId="00000023">
      <w:pPr>
        <w:pageBreakBefore w:val="0"/>
        <w:widowControl w:val="1"/>
        <w:numPr>
          <w:ilvl w:val="3"/>
          <w:numId w:val="2"/>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incorporate the terms [of the Order Form and Contract] (as may be amended or refined by the Buyer in accordance with Paragraph 3.1.2. above) applicable to the Deliverables,</w:t>
      </w:r>
    </w:p>
    <w:p w:rsidR="00000000" w:rsidDel="00000000" w:rsidP="00000000" w:rsidRDefault="00000000" w:rsidRPr="00000000" w14:paraId="00000024">
      <w:pPr>
        <w:pageBreakBefore w:val="0"/>
        <w:widowControl w:val="1"/>
        <w:numPr>
          <w:ilvl w:val="2"/>
          <w:numId w:val="2"/>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 unsuccessful Suppliers with written feedback in relation to the reasons why their tenders were unsuccessful.</w:t>
      </w:r>
    </w:p>
    <w:p w:rsidR="00000000" w:rsidDel="00000000" w:rsidP="00000000" w:rsidRDefault="00000000" w:rsidRPr="00000000" w14:paraId="00000025">
      <w:pPr>
        <w:keepNext w:val="1"/>
        <w:pageBreakBefore w:val="0"/>
        <w:widowControl w:val="1"/>
        <w:pBdr>
          <w:top w:space="0" w:sz="0" w:val="nil"/>
          <w:left w:space="0" w:sz="0" w:val="nil"/>
          <w:bottom w:space="0" w:sz="0" w:val="nil"/>
          <w:right w:space="0" w:sz="0" w:val="nil"/>
          <w:between w:space="0" w:sz="0" w:val="nil"/>
        </w:pBdr>
        <w:tabs>
          <w:tab w:val="left" w:leader="none" w:pos="3054"/>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What the Supplier has to do</w:t>
      </w:r>
    </w:p>
    <w:p w:rsidR="00000000" w:rsidDel="00000000" w:rsidP="00000000" w:rsidRDefault="00000000" w:rsidRPr="00000000" w14:paraId="00000026">
      <w:pPr>
        <w:keepNext w:val="1"/>
        <w:pageBreakBefore w:val="0"/>
        <w:widowControl w:val="1"/>
        <w:numPr>
          <w:ilvl w:val="1"/>
          <w:numId w:val="2"/>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Supplier shall in writing, by the time and date specified by the Buyer following an invitation to tender pursuant to Paragraph 3.1.3 above, provide CCS and the Buyer with either:</w:t>
      </w:r>
      <w:r w:rsidDel="00000000" w:rsidR="00000000" w:rsidRPr="00000000">
        <w:rPr>
          <w:rtl w:val="0"/>
        </w:rPr>
      </w:r>
    </w:p>
    <w:p w:rsidR="00000000" w:rsidDel="00000000" w:rsidP="00000000" w:rsidRDefault="00000000" w:rsidRPr="00000000" w14:paraId="00000027">
      <w:pPr>
        <w:pageBreakBefore w:val="0"/>
        <w:widowControl w:val="1"/>
        <w:pBdr>
          <w:top w:space="0" w:sz="0" w:val="nil"/>
          <w:left w:space="0" w:sz="0" w:val="nil"/>
          <w:bottom w:space="0" w:sz="0" w:val="nil"/>
          <w:right w:space="0" w:sz="0" w:val="nil"/>
          <w:between w:space="0" w:sz="0" w:val="nil"/>
        </w:pBdr>
        <w:tabs>
          <w:tab w:val="left" w:leader="none" w:pos="3641"/>
        </w:tabs>
        <w:spacing w:after="120" w:before="12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8">
      <w:pPr>
        <w:pageBreakBefore w:val="0"/>
        <w:widowControl w:val="1"/>
        <w:numPr>
          <w:ilvl w:val="2"/>
          <w:numId w:val="2"/>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statement to the effect that it does not wish to tender in relation to the Deliverables; or</w:t>
      </w:r>
    </w:p>
    <w:p w:rsidR="00000000" w:rsidDel="00000000" w:rsidP="00000000" w:rsidRDefault="00000000" w:rsidRPr="00000000" w14:paraId="00000029">
      <w:pPr>
        <w:keepNext w:val="1"/>
        <w:pageBreakBefore w:val="0"/>
        <w:widowControl w:val="1"/>
        <w:numPr>
          <w:ilvl w:val="2"/>
          <w:numId w:val="2"/>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full details of its tender made in respect of the relevant Statement of Requirements. In the event that the Supplier submits such a tender, it should include, as a minimum:</w:t>
      </w:r>
    </w:p>
    <w:p w:rsidR="00000000" w:rsidDel="00000000" w:rsidP="00000000" w:rsidRDefault="00000000" w:rsidRPr="00000000" w14:paraId="0000002A">
      <w:pPr>
        <w:pageBreakBefore w:val="0"/>
        <w:widowControl w:val="1"/>
        <w:numPr>
          <w:ilvl w:val="3"/>
          <w:numId w:val="2"/>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email response subject line to comprise unique reference number and Supplier name, so as to clearly identify the Supplier;</w:t>
      </w:r>
    </w:p>
    <w:p w:rsidR="00000000" w:rsidDel="00000000" w:rsidP="00000000" w:rsidRDefault="00000000" w:rsidRPr="00000000" w14:paraId="0000002B">
      <w:pPr>
        <w:pageBreakBefore w:val="0"/>
        <w:widowControl w:val="1"/>
        <w:numPr>
          <w:ilvl w:val="3"/>
          <w:numId w:val="2"/>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brief summary, in the email (followed by a confirmation letter), stating that the Supplier is bidding for the Statement of Requirements;</w:t>
      </w:r>
    </w:p>
    <w:p w:rsidR="00000000" w:rsidDel="00000000" w:rsidP="00000000" w:rsidRDefault="00000000" w:rsidRPr="00000000" w14:paraId="0000002C">
      <w:pPr>
        <w:pageBreakBefore w:val="0"/>
        <w:widowControl w:val="1"/>
        <w:numPr>
          <w:ilvl w:val="3"/>
          <w:numId w:val="2"/>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proposal covering the Deliverables;</w:t>
      </w:r>
    </w:p>
    <w:p w:rsidR="00000000" w:rsidDel="00000000" w:rsidP="00000000" w:rsidRDefault="00000000" w:rsidRPr="00000000" w14:paraId="0000002D">
      <w:pPr>
        <w:pageBreakBefore w:val="0"/>
        <w:widowControl w:val="1"/>
        <w:numPr>
          <w:ilvl w:val="3"/>
          <w:numId w:val="2"/>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CVs of key staff – as a minimum any lead consultant, with others, as considered appropriate along with required staff levels (if necessary); and</w:t>
      </w:r>
    </w:p>
    <w:p w:rsidR="00000000" w:rsidDel="00000000" w:rsidP="00000000" w:rsidRDefault="00000000" w:rsidRPr="00000000" w14:paraId="0000002E">
      <w:pPr>
        <w:pageBreakBefore w:val="0"/>
        <w:widowControl w:val="1"/>
        <w:numPr>
          <w:ilvl w:val="3"/>
          <w:numId w:val="2"/>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confirmation of discounts applicable to the Deliverables, as referenced in Framework Schedule 3 (Framework Prices) (if applicable).</w:t>
      </w:r>
    </w:p>
    <w:p w:rsidR="00000000" w:rsidDel="00000000" w:rsidP="00000000" w:rsidRDefault="00000000" w:rsidRPr="00000000" w14:paraId="0000002F">
      <w:pPr>
        <w:pageBreakBefore w:val="0"/>
        <w:widowControl w:val="1"/>
        <w:numPr>
          <w:ilvl w:val="2"/>
          <w:numId w:val="2"/>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ensure that any prices submitted in relation to a Further Competition Procedure held pursuant to this Paragraph 3 shall be based on the charging structure and take into account any discount to which the Buyer may be entitled as set out in Framework Schedule 3 (Framework Prices).</w:t>
      </w:r>
    </w:p>
    <w:p w:rsidR="00000000" w:rsidDel="00000000" w:rsidP="00000000" w:rsidRDefault="00000000" w:rsidRPr="00000000" w14:paraId="00000030">
      <w:pPr>
        <w:keepNext w:val="1"/>
        <w:pageBreakBefore w:val="0"/>
        <w:widowControl w:val="1"/>
        <w:numPr>
          <w:ilvl w:val="2"/>
          <w:numId w:val="2"/>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agrees that:</w:t>
      </w:r>
    </w:p>
    <w:p w:rsidR="00000000" w:rsidDel="00000000" w:rsidP="00000000" w:rsidRDefault="00000000" w:rsidRPr="00000000" w14:paraId="00000031">
      <w:pPr>
        <w:pageBreakBefore w:val="0"/>
        <w:widowControl w:val="1"/>
        <w:numPr>
          <w:ilvl w:val="3"/>
          <w:numId w:val="2"/>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tenders submitted by the Supplier in relation to a Further Competition Procedure held pursuant to this Paragraph 3 shall remain open for acceptance by the Buyer for ninety (90) Working Days (or such other period specified in the invitation to tender issued by the Buyer in accordance with the Call-Off Procedure); and</w:t>
      </w:r>
    </w:p>
    <w:p w:rsidR="00000000" w:rsidDel="00000000" w:rsidP="00000000" w:rsidRDefault="00000000" w:rsidRPr="00000000" w14:paraId="00000032">
      <w:pPr>
        <w:pageBreakBefore w:val="0"/>
        <w:widowControl w:val="1"/>
        <w:numPr>
          <w:ilvl w:val="3"/>
          <w:numId w:val="2"/>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rsidR="00000000" w:rsidDel="00000000" w:rsidP="00000000" w:rsidRDefault="00000000" w:rsidRPr="00000000" w14:paraId="00000033">
      <w:pPr>
        <w:pageBreakBefore w:val="0"/>
        <w:widowControl w:val="1"/>
        <w:numPr>
          <w:ilvl w:val="4"/>
          <w:numId w:val="2"/>
        </w:numPr>
        <w:pBdr>
          <w:top w:space="0" w:sz="0" w:val="nil"/>
          <w:left w:space="0" w:sz="0" w:val="nil"/>
          <w:bottom w:space="0" w:sz="0" w:val="nil"/>
          <w:right w:space="0" w:sz="0" w:val="nil"/>
          <w:between w:space="0" w:sz="0" w:val="nil"/>
        </w:pBdr>
        <w:tabs>
          <w:tab w:val="left" w:leader="none" w:pos="6238"/>
        </w:tabs>
        <w:spacing w:after="120" w:before="120" w:lineRule="auto"/>
        <w:ind w:left="3119"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000000" w:rsidDel="00000000" w:rsidP="00000000" w:rsidRDefault="00000000" w:rsidRPr="00000000" w14:paraId="00000034">
      <w:pPr>
        <w:pageBreakBefore w:val="0"/>
        <w:widowControl w:val="1"/>
        <w:numPr>
          <w:ilvl w:val="4"/>
          <w:numId w:val="2"/>
        </w:numPr>
        <w:pBdr>
          <w:top w:space="0" w:sz="0" w:val="nil"/>
          <w:left w:space="0" w:sz="0" w:val="nil"/>
          <w:bottom w:space="0" w:sz="0" w:val="nil"/>
          <w:right w:space="0" w:sz="0" w:val="nil"/>
          <w:between w:space="0" w:sz="0" w:val="nil"/>
        </w:pBdr>
        <w:tabs>
          <w:tab w:val="left" w:leader="none" w:pos="6238"/>
        </w:tabs>
        <w:spacing w:after="120" w:before="120" w:lineRule="auto"/>
        <w:ind w:left="3119"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enter into any arrangement or agreement with any other person that he or the other person(s) shall refrain from submitting a tender or as to the amount of any tenders to be submitted.</w:t>
      </w:r>
    </w:p>
    <w:p w:rsidR="00000000" w:rsidDel="00000000" w:rsidP="00000000" w:rsidRDefault="00000000" w:rsidRPr="00000000" w14:paraId="00000035">
      <w:pPr>
        <w:keepNext w:val="1"/>
        <w:pageBreakBefore w:val="0"/>
        <w:widowControl w:val="1"/>
        <w:numPr>
          <w:ilvl w:val="0"/>
          <w:numId w:val="2"/>
        </w:numPr>
        <w:pBdr>
          <w:top w:space="0" w:sz="0" w:val="nil"/>
          <w:left w:space="0" w:sz="0" w:val="nil"/>
          <w:bottom w:space="0" w:sz="0" w:val="nil"/>
          <w:right w:space="0" w:sz="0" w:val="nil"/>
          <w:between w:space="0" w:sz="0" w:val="nil"/>
        </w:pBdr>
        <w:tabs>
          <w:tab w:val="left" w:leader="none" w:pos="142"/>
        </w:tabs>
        <w:spacing w:after="240" w:before="120" w:lineRule="auto"/>
        <w:ind w:left="360" w:hanging="360"/>
        <w:rPr>
          <w:rFonts w:ascii="Arial" w:cs="Arial" w:eastAsia="Arial" w:hAnsi="Arial"/>
          <w:b w:val="1"/>
          <w:smallCaps w:val="1"/>
          <w:color w:val="000000"/>
          <w:sz w:val="24"/>
          <w:szCs w:val="24"/>
        </w:rPr>
      </w:pPr>
      <w:r w:rsidDel="00000000" w:rsidR="00000000" w:rsidRPr="00000000">
        <w:rPr>
          <w:rFonts w:ascii="Arial" w:cs="Arial" w:eastAsia="Arial" w:hAnsi="Arial"/>
          <w:b w:val="1"/>
          <w:color w:val="000000"/>
          <w:sz w:val="24"/>
          <w:szCs w:val="24"/>
          <w:rtl w:val="0"/>
        </w:rPr>
        <w:t xml:space="preserve">No requirement to award</w:t>
      </w:r>
      <w:r w:rsidDel="00000000" w:rsidR="00000000" w:rsidRPr="00000000">
        <w:rPr>
          <w:rtl w:val="0"/>
        </w:rPr>
      </w:r>
    </w:p>
    <w:p w:rsidR="00000000" w:rsidDel="00000000" w:rsidP="00000000" w:rsidRDefault="00000000" w:rsidRPr="00000000" w14:paraId="00000036">
      <w:pPr>
        <w:pageBreakBefore w:val="0"/>
        <w:widowControl w:val="1"/>
        <w:numPr>
          <w:ilvl w:val="1"/>
          <w:numId w:val="2"/>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Notwithstanding the fact that the Buyer has followed a procedure as set out above in Paragraph 2 or 3 (as applicable), the Supplier acknowledges and agrees that the Buyer shall be entitled at all times to decline to make an award for its Deliverables and that nothing in this Contract shall oblige the Buyer to award any Call-Off Contract.</w:t>
      </w:r>
    </w:p>
    <w:p w:rsidR="00000000" w:rsidDel="00000000" w:rsidP="00000000" w:rsidRDefault="00000000" w:rsidRPr="00000000" w14:paraId="00000037">
      <w:pPr>
        <w:keepNext w:val="1"/>
        <w:pageBreakBefore w:val="0"/>
        <w:widowControl w:val="1"/>
        <w:numPr>
          <w:ilvl w:val="0"/>
          <w:numId w:val="2"/>
        </w:numPr>
        <w:pBdr>
          <w:top w:space="0" w:sz="0" w:val="nil"/>
          <w:left w:space="0" w:sz="0" w:val="nil"/>
          <w:bottom w:space="0" w:sz="0" w:val="nil"/>
          <w:right w:space="0" w:sz="0" w:val="nil"/>
          <w:between w:space="0" w:sz="0" w:val="nil"/>
        </w:pBdr>
        <w:tabs>
          <w:tab w:val="left" w:leader="none" w:pos="142"/>
        </w:tabs>
        <w:spacing w:after="240" w:before="12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Who is responsible for the award</w:t>
      </w:r>
    </w:p>
    <w:p w:rsidR="00000000" w:rsidDel="00000000" w:rsidP="00000000" w:rsidRDefault="00000000" w:rsidRPr="00000000" w14:paraId="00000038">
      <w:pPr>
        <w:pageBreakBefore w:val="0"/>
        <w:widowControl w:val="1"/>
        <w:numPr>
          <w:ilvl w:val="1"/>
          <w:numId w:val="2"/>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acknowledges that the Buyer is independently responsible for the conduct of its award of Call-Off Contracts under this Contract and that CCS is not responsible or accountable for and shall have no liability whatsoever, except where it is the Buyer, in relation to:</w:t>
      </w:r>
    </w:p>
    <w:p w:rsidR="00000000" w:rsidDel="00000000" w:rsidP="00000000" w:rsidRDefault="00000000" w:rsidRPr="00000000" w14:paraId="00000039">
      <w:pPr>
        <w:pageBreakBefore w:val="0"/>
        <w:widowControl w:val="1"/>
        <w:numPr>
          <w:ilvl w:val="2"/>
          <w:numId w:val="2"/>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conduct of Buyer in relation to this Contract; or</w:t>
      </w:r>
    </w:p>
    <w:p w:rsidR="00000000" w:rsidDel="00000000" w:rsidP="00000000" w:rsidRDefault="00000000" w:rsidRPr="00000000" w14:paraId="0000003A">
      <w:pPr>
        <w:pageBreakBefore w:val="0"/>
        <w:widowControl w:val="1"/>
        <w:numPr>
          <w:ilvl w:val="2"/>
          <w:numId w:val="2"/>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performance or non-performance of any Call-Off Contracts between the Supplier and Buyer entered into pursuant to this Contract.</w:t>
      </w:r>
    </w:p>
    <w:p w:rsidR="00000000" w:rsidDel="00000000" w:rsidP="00000000" w:rsidRDefault="00000000" w:rsidRPr="00000000" w14:paraId="0000003B">
      <w:pPr>
        <w:keepNext w:val="1"/>
        <w:pageBreakBefore w:val="0"/>
        <w:widowControl w:val="1"/>
        <w:numPr>
          <w:ilvl w:val="0"/>
          <w:numId w:val="2"/>
        </w:numPr>
        <w:pBdr>
          <w:top w:space="0" w:sz="0" w:val="nil"/>
          <w:left w:space="0" w:sz="0" w:val="nil"/>
          <w:bottom w:space="0" w:sz="0" w:val="nil"/>
          <w:right w:space="0" w:sz="0" w:val="nil"/>
          <w:between w:space="0" w:sz="0" w:val="nil"/>
        </w:pBdr>
        <w:tabs>
          <w:tab w:val="left" w:leader="none" w:pos="142"/>
        </w:tabs>
        <w:spacing w:after="240" w:before="120" w:lineRule="auto"/>
        <w:ind w:left="360" w:hanging="360"/>
        <w:rPr>
          <w:rFonts w:ascii="Arial" w:cs="Arial" w:eastAsia="Arial" w:hAnsi="Arial"/>
          <w:b w:val="1"/>
          <w:smallCaps w:val="1"/>
          <w:color w:val="000000"/>
          <w:sz w:val="24"/>
          <w:szCs w:val="24"/>
        </w:rPr>
      </w:pPr>
      <w:r w:rsidDel="00000000" w:rsidR="00000000" w:rsidRPr="00000000">
        <w:rPr>
          <w:rFonts w:ascii="Arial" w:cs="Arial" w:eastAsia="Arial" w:hAnsi="Arial"/>
          <w:b w:val="1"/>
          <w:color w:val="000000"/>
          <w:sz w:val="24"/>
          <w:szCs w:val="24"/>
          <w:rtl w:val="0"/>
        </w:rPr>
        <w:t xml:space="preserve">Awarding and creating a Call-Off Contract</w:t>
      </w:r>
      <w:r w:rsidDel="00000000" w:rsidR="00000000" w:rsidRPr="00000000">
        <w:rPr>
          <w:rtl w:val="0"/>
        </w:rPr>
      </w:r>
    </w:p>
    <w:p w:rsidR="00000000" w:rsidDel="00000000" w:rsidP="00000000" w:rsidRDefault="00000000" w:rsidRPr="00000000" w14:paraId="0000003C">
      <w:pPr>
        <w:pageBreakBefore w:val="0"/>
        <w:widowControl w:val="1"/>
        <w:numPr>
          <w:ilvl w:val="1"/>
          <w:numId w:val="2"/>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bookmarkStart w:colFirst="0" w:colLast="0" w:name="_heading=h.3dy6vkm" w:id="5"/>
      <w:bookmarkEnd w:id="5"/>
      <w:r w:rsidDel="00000000" w:rsidR="00000000" w:rsidRPr="00000000">
        <w:rPr>
          <w:rFonts w:ascii="Arial" w:cs="Arial" w:eastAsia="Arial" w:hAnsi="Arial"/>
          <w:color w:val="000000"/>
          <w:sz w:val="24"/>
          <w:szCs w:val="24"/>
          <w:rtl w:val="0"/>
        </w:rPr>
        <w:t xml:space="preserve">Subject to Paragraphs 1 to 5 above and 7, a Buyer may award a Call-Off Contract with the Supplier by sending (including electronically) a signed order form substantially in the form (as may be amended or refined by the Buyer in accordance with Paragraph 3.1.2 above) of the Order Form Template set out in Framework Schedule 6 (Order Form Template and Call-Off Schedules).</w:t>
      </w:r>
    </w:p>
    <w:p w:rsidR="00000000" w:rsidDel="00000000" w:rsidP="00000000" w:rsidRDefault="00000000" w:rsidRPr="00000000" w14:paraId="0000003D">
      <w:pPr>
        <w:pageBreakBefore w:val="0"/>
        <w:widowControl w:val="1"/>
        <w:numPr>
          <w:ilvl w:val="1"/>
          <w:numId w:val="2"/>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Parties agree that any document or communication (including any document or communication in the apparent form of a Call-Off Contract) which is not as described in this Paragraph 6 shall not constitute a Call-Off Contract under this Contract.</w:t>
      </w:r>
    </w:p>
    <w:p w:rsidR="00000000" w:rsidDel="00000000" w:rsidP="00000000" w:rsidRDefault="00000000" w:rsidRPr="00000000" w14:paraId="0000003E">
      <w:pPr>
        <w:pageBreakBefore w:val="0"/>
        <w:widowControl w:val="1"/>
        <w:numPr>
          <w:ilvl w:val="1"/>
          <w:numId w:val="2"/>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bookmarkStart w:colFirst="0" w:colLast="0" w:name="_heading=h.1t3h5sf" w:id="6"/>
      <w:bookmarkEnd w:id="6"/>
      <w:r w:rsidDel="00000000" w:rsidR="00000000" w:rsidRPr="00000000">
        <w:rPr>
          <w:rFonts w:ascii="Arial" w:cs="Arial" w:eastAsia="Arial" w:hAnsi="Arial"/>
          <w:color w:val="000000"/>
          <w:sz w:val="24"/>
          <w:szCs w:val="24"/>
          <w:rtl w:val="0"/>
        </w:rPr>
        <w:t xml:space="preserve">On receipt of an order form as described in Paragraph 6.1 from a Buyer the Supplier shall accept the Call-Off Contract by promptly signing and returning (including by electronic means) a copy of the order form to the Buyer concerned.</w:t>
      </w:r>
    </w:p>
    <w:p w:rsidR="00000000" w:rsidDel="00000000" w:rsidP="00000000" w:rsidRDefault="00000000" w:rsidRPr="00000000" w14:paraId="0000003F">
      <w:pPr>
        <w:pageBreakBefore w:val="0"/>
        <w:widowControl w:val="1"/>
        <w:numPr>
          <w:ilvl w:val="1"/>
          <w:numId w:val="2"/>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 receipt of the countersigned Order Form from the Supplier, the Buyer shall send (including by electronic means) a written notice of receipt to the Supplier within two (2) Working Days and the Call Off Contract shall be formed with effect from the Call Off Start Date stated in the Order Form.</w:t>
      </w:r>
    </w:p>
    <w:p w:rsidR="00000000" w:rsidDel="00000000" w:rsidP="00000000" w:rsidRDefault="00000000" w:rsidRPr="00000000" w14:paraId="00000040">
      <w:pPr>
        <w:keepNext w:val="1"/>
        <w:pageBreakBefore w:val="0"/>
        <w:widowControl w:val="1"/>
        <w:numPr>
          <w:ilvl w:val="0"/>
          <w:numId w:val="2"/>
        </w:numPr>
        <w:pBdr>
          <w:top w:space="0" w:sz="0" w:val="nil"/>
          <w:left w:space="0" w:sz="0" w:val="nil"/>
          <w:bottom w:space="0" w:sz="0" w:val="nil"/>
          <w:right w:space="0" w:sz="0" w:val="nil"/>
          <w:between w:space="0" w:sz="0" w:val="nil"/>
        </w:pBdr>
        <w:tabs>
          <w:tab w:val="left" w:leader="none" w:pos="142"/>
        </w:tabs>
        <w:spacing w:after="240" w:before="12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Awarding and creating an Exempt Call-off Contract</w:t>
      </w:r>
    </w:p>
    <w:p w:rsidR="00000000" w:rsidDel="00000000" w:rsidP="00000000" w:rsidRDefault="00000000" w:rsidRPr="00000000" w14:paraId="00000041">
      <w:pPr>
        <w:keepNext w:val="1"/>
        <w:pageBreakBefore w:val="0"/>
        <w:widowControl w:val="1"/>
        <w:numPr>
          <w:ilvl w:val="1"/>
          <w:numId w:val="2"/>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Paragraph 1 above shall not apply to an Exempt Buyer.</w:t>
      </w:r>
    </w:p>
    <w:p w:rsidR="00000000" w:rsidDel="00000000" w:rsidP="00000000" w:rsidRDefault="00000000" w:rsidRPr="00000000" w14:paraId="00000042">
      <w:pPr>
        <w:keepNext w:val="1"/>
        <w:pageBreakBefore w:val="0"/>
        <w:widowControl w:val="1"/>
        <w:numPr>
          <w:ilvl w:val="1"/>
          <w:numId w:val="2"/>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If a potential Exempt Buyer decides to source Deliverables through this Framework Contract, it will award an Exempt Call-off Contract for Deliverables in accordance with the procedure in this Schedule as modified by this Paragraph 8 and in accordance with any legal requirements applicable to that potential Exempt Buyer.</w:t>
      </w:r>
    </w:p>
    <w:p w:rsidR="00000000" w:rsidDel="00000000" w:rsidP="00000000" w:rsidRDefault="00000000" w:rsidRPr="00000000" w14:paraId="00000043">
      <w:pPr>
        <w:keepNext w:val="1"/>
        <w:pageBreakBefore w:val="0"/>
        <w:widowControl w:val="1"/>
        <w:numPr>
          <w:ilvl w:val="1"/>
          <w:numId w:val="2"/>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potential Exempt Buyer may award an Exempt Call-off Contract under this Framework Contract without holding a further competition in accordance with Paragraph 2 above as modified by Paragraph 8.4 below or through a Further Competition Procedure in accordance with Paragraph 3 as modified by Paragraph 8.5 below.</w:t>
      </w:r>
    </w:p>
    <w:p w:rsidR="00000000" w:rsidDel="00000000" w:rsidP="00000000" w:rsidRDefault="00000000" w:rsidRPr="00000000" w14:paraId="00000044">
      <w:pPr>
        <w:keepNext w:val="1"/>
        <w:pageBreakBefore w:val="0"/>
        <w:widowControl w:val="1"/>
        <w:numPr>
          <w:ilvl w:val="1"/>
          <w:numId w:val="2"/>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Notwithstanding the procedure set out in Paragraph 2 above, if the potential Exempt Buyer can determine that:</w:t>
      </w:r>
    </w:p>
    <w:p w:rsidR="00000000" w:rsidDel="00000000" w:rsidP="00000000" w:rsidRDefault="00000000" w:rsidRPr="00000000" w14:paraId="00000045">
      <w:pPr>
        <w:pageBreakBefore w:val="0"/>
        <w:widowControl w:val="1"/>
        <w:numPr>
          <w:ilvl w:val="2"/>
          <w:numId w:val="2"/>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its Deliverables can be met by the Supplier’s catalogues and description of the Deliverables as set out in Framework Schedule 1 (Specification) and Framework Schedule 2 (Framework Tender); and</w:t>
      </w:r>
    </w:p>
    <w:p w:rsidR="00000000" w:rsidDel="00000000" w:rsidP="00000000" w:rsidRDefault="00000000" w:rsidRPr="00000000" w14:paraId="00000046">
      <w:pPr>
        <w:pageBreakBefore w:val="0"/>
        <w:widowControl w:val="1"/>
        <w:numPr>
          <w:ilvl w:val="2"/>
          <w:numId w:val="2"/>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will accept any required Exempt Procurement Amendments,</w:t>
      </w:r>
    </w:p>
    <w:p w:rsidR="00000000" w:rsidDel="00000000" w:rsidP="00000000" w:rsidRDefault="00000000" w:rsidRPr="00000000" w14:paraId="00000047">
      <w:pPr>
        <w:pageBreakBefore w:val="0"/>
        <w:widowControl w:val="1"/>
        <w:pBdr>
          <w:top w:space="0" w:sz="0" w:val="nil"/>
          <w:left w:space="0" w:sz="0" w:val="nil"/>
          <w:bottom w:space="0" w:sz="0" w:val="nil"/>
          <w:right w:space="0" w:sz="0" w:val="nil"/>
          <w:between w:space="0" w:sz="0" w:val="nil"/>
        </w:pBdr>
        <w:tabs>
          <w:tab w:val="left" w:leader="none" w:pos="3641"/>
        </w:tabs>
        <w:spacing w:after="120" w:before="120" w:lineRule="auto"/>
        <w:ind w:left="189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then the Exempt Buyer may award an Exempt Call-off Contract to that Supplier in accordance with Paragraph 6 above.</w:t>
      </w:r>
    </w:p>
    <w:p w:rsidR="00000000" w:rsidDel="00000000" w:rsidP="00000000" w:rsidRDefault="00000000" w:rsidRPr="00000000" w14:paraId="00000048">
      <w:pPr>
        <w:keepNext w:val="1"/>
        <w:pageBreakBefore w:val="0"/>
        <w:widowControl w:val="1"/>
        <w:numPr>
          <w:ilvl w:val="1"/>
          <w:numId w:val="2"/>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potential Exempt Buyer requires the Supplier to develop proposals or a solution in respect of Deliverables, then the potential Exempt Buyer may at its discretion use the procedure set out in Paragraph 3 above as modified by this Paragraph 8.5. In that case, references to “the Regulations” in Paragraph 3 above shall be read as references to “any legal requirements applicable to that potential Exempt Buyer”, and the Exempt Buyer shall be permitted to modify the Further Competition Procedure in accordance with any legal requirements applicable to the Exempt Buyer.</w:t>
      </w:r>
    </w:p>
    <w:p w:rsidR="00000000" w:rsidDel="00000000" w:rsidP="00000000" w:rsidRDefault="00000000" w:rsidRPr="00000000" w14:paraId="00000049">
      <w:pPr>
        <w:keepNext w:val="1"/>
        <w:pageBreakBefore w:val="0"/>
        <w:widowControl w:val="1"/>
        <w:numPr>
          <w:ilvl w:val="1"/>
          <w:numId w:val="2"/>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bookmarkStart w:colFirst="0" w:colLast="0" w:name="_heading=h.3rdcrjn" w:id="7"/>
      <w:bookmarkEnd w:id="7"/>
      <w:r w:rsidDel="00000000" w:rsidR="00000000" w:rsidRPr="00000000">
        <w:rPr>
          <w:rFonts w:ascii="Arial" w:cs="Arial" w:eastAsia="Arial" w:hAnsi="Arial"/>
          <w:color w:val="000000"/>
          <w:sz w:val="24"/>
          <w:szCs w:val="24"/>
          <w:rtl w:val="0"/>
        </w:rPr>
        <w:t xml:space="preserve">Paragraphs 8.1 to 8.5 above are without prejudice to an Exempt Buyer’s ability to make such further modifications to the Call-Off Procedure as it considers necessary and in accordance with any legal requirements applicable to that potential Exempt Buyer.</w:t>
      </w:r>
    </w:p>
    <w:p w:rsidR="00000000" w:rsidDel="00000000" w:rsidP="00000000" w:rsidRDefault="00000000" w:rsidRPr="00000000" w14:paraId="0000004A">
      <w:pPr>
        <w:pageBreakBefore w:val="0"/>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B">
      <w:pPr>
        <w:pageBreakBefore w:val="0"/>
        <w:widowControl w:val="1"/>
        <w:pBdr>
          <w:top w:space="0" w:sz="0" w:val="nil"/>
          <w:left w:space="0" w:sz="0" w:val="nil"/>
          <w:bottom w:space="0" w:sz="0" w:val="nil"/>
          <w:right w:space="0" w:sz="0" w:val="nil"/>
          <w:between w:space="0" w:sz="0" w:val="nil"/>
        </w:pBdr>
        <w:tabs>
          <w:tab w:val="left" w:leader="none" w:pos="3054"/>
        </w:tabs>
        <w:spacing w:after="120" w:before="120" w:lineRule="auto"/>
        <w:ind w:left="936" w:hanging="57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C">
      <w:pPr>
        <w:pageBreakBefore w:val="0"/>
        <w:widowControl w:val="1"/>
        <w:pBdr>
          <w:top w:space="0" w:sz="0" w:val="nil"/>
          <w:left w:space="0" w:sz="0" w:val="nil"/>
          <w:bottom w:space="0" w:sz="0" w:val="nil"/>
          <w:right w:space="0" w:sz="0" w:val="nil"/>
          <w:between w:space="0" w:sz="0" w:val="nil"/>
        </w:pBdr>
        <w:tabs>
          <w:tab w:val="left" w:leader="none" w:pos="3054"/>
        </w:tabs>
        <w:spacing w:after="120" w:before="120" w:lineRule="auto"/>
        <w:ind w:left="936" w:hanging="576"/>
        <w:rPr>
          <w:rFonts w:ascii="Arial" w:cs="Arial" w:eastAsia="Arial" w:hAnsi="Arial"/>
          <w:color w:val="000000"/>
          <w:sz w:val="36"/>
          <w:szCs w:val="36"/>
        </w:rPr>
      </w:pPr>
      <w:r w:rsidDel="00000000" w:rsidR="00000000" w:rsidRPr="00000000">
        <w:rPr>
          <w:rFonts w:ascii="Arial" w:cs="Arial" w:eastAsia="Arial" w:hAnsi="Arial"/>
          <w:b w:val="1"/>
          <w:color w:val="000000"/>
          <w:sz w:val="36"/>
          <w:szCs w:val="36"/>
          <w:rtl w:val="0"/>
        </w:rPr>
        <w:t xml:space="preserve">Part 2: Award Criteria</w:t>
      </w:r>
      <w:r w:rsidDel="00000000" w:rsidR="00000000" w:rsidRPr="00000000">
        <w:rPr>
          <w:rtl w:val="0"/>
        </w:rPr>
      </w:r>
    </w:p>
    <w:p w:rsidR="00000000" w:rsidDel="00000000" w:rsidP="00000000" w:rsidRDefault="00000000" w:rsidRPr="00000000" w14:paraId="0000004D">
      <w:pPr>
        <w:pageBreakBefore w:val="0"/>
        <w:widowControl w:val="1"/>
        <w:numPr>
          <w:ilvl w:val="0"/>
          <w:numId w:val="4"/>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Part 2 lays out award criteria for direct award (Annex A) and for further competition (Annex B) in accordance with the Call-Off Procedure.</w:t>
      </w:r>
    </w:p>
    <w:p w:rsidR="00000000" w:rsidDel="00000000" w:rsidP="00000000" w:rsidRDefault="00000000" w:rsidRPr="00000000" w14:paraId="0000004E">
      <w:pPr>
        <w:pageBreakBefore w:val="0"/>
        <w:widowControl w:val="1"/>
        <w:numPr>
          <w:ilvl w:val="0"/>
          <w:numId w:val="4"/>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Call-Off Contract may be awarded on the basis </w:t>
      </w:r>
      <w:r w:rsidDel="00000000" w:rsidR="00000000" w:rsidRPr="00000000">
        <w:rPr>
          <w:rFonts w:ascii="Arial" w:cs="Arial" w:eastAsia="Arial" w:hAnsi="Arial"/>
          <w:sz w:val="24"/>
          <w:szCs w:val="24"/>
          <w:rtl w:val="0"/>
        </w:rPr>
        <w:t xml:space="preserve">of the most</w:t>
      </w:r>
      <w:r w:rsidDel="00000000" w:rsidR="00000000" w:rsidRPr="00000000">
        <w:rPr>
          <w:rFonts w:ascii="Arial" w:cs="Arial" w:eastAsia="Arial" w:hAnsi="Arial"/>
          <w:color w:val="000000"/>
          <w:sz w:val="24"/>
          <w:szCs w:val="24"/>
          <w:rtl w:val="0"/>
        </w:rPr>
        <w:t xml:space="preserve"> economically advantageous tender ("MEAT").</w:t>
      </w:r>
    </w:p>
    <w:p w:rsidR="00000000" w:rsidDel="00000000" w:rsidP="00000000" w:rsidRDefault="00000000" w:rsidRPr="00000000" w14:paraId="0000004F">
      <w:pPr>
        <w:pageBreakBefore w:val="0"/>
        <w:rPr>
          <w:rFonts w:ascii="Arial" w:cs="Arial" w:eastAsia="Arial" w:hAnsi="Arial"/>
          <w:b w:val="1"/>
          <w:smallCap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0">
      <w:pPr>
        <w:keepNext w:val="1"/>
        <w:pageBreakBefore w:val="0"/>
        <w:widowControl w:val="1"/>
        <w:pBdr>
          <w:top w:space="0" w:sz="0" w:val="nil"/>
          <w:left w:space="0" w:sz="0" w:val="nil"/>
          <w:bottom w:space="0" w:sz="0" w:val="nil"/>
          <w:right w:space="0" w:sz="0" w:val="nil"/>
          <w:between w:space="0" w:sz="0" w:val="nil"/>
        </w:pBdr>
        <w:spacing w:after="240" w:before="240" w:lineRule="auto"/>
        <w:ind w:firstLine="426"/>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Annex A: Direct award criteria</w:t>
      </w:r>
    </w:p>
    <w:p w:rsidR="00000000" w:rsidDel="00000000" w:rsidP="00000000" w:rsidRDefault="00000000" w:rsidRPr="00000000" w14:paraId="00000051">
      <w:pPr>
        <w:pageBreakBefore w:val="0"/>
        <w:widowControl w:val="1"/>
        <w:pBdr>
          <w:top w:space="0" w:sz="0" w:val="nil"/>
          <w:left w:space="0" w:sz="0" w:val="nil"/>
          <w:bottom w:space="0" w:sz="0" w:val="nil"/>
          <w:right w:space="0" w:sz="0" w:val="nil"/>
          <w:between w:space="0" w:sz="0" w:val="nil"/>
        </w:pBdr>
        <w:tabs>
          <w:tab w:val="left" w:leader="none" w:pos="851"/>
        </w:tabs>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criteria and weightings shall apply to the evaluation for direct award of each Call-Off.</w:t>
      </w:r>
    </w:p>
    <w:tbl>
      <w:tblPr>
        <w:tblStyle w:val="Table1"/>
        <w:tblW w:w="9214.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44"/>
        <w:gridCol w:w="5670"/>
        <w:tblGridChange w:id="0">
          <w:tblGrid>
            <w:gridCol w:w="3544"/>
            <w:gridCol w:w="5670"/>
          </w:tblGrid>
        </w:tblGridChange>
      </w:tblGrid>
      <w:tr>
        <w:trPr>
          <w:cantSplit w:val="0"/>
          <w:tblHeader w:val="0"/>
        </w:trPr>
        <w:tc>
          <w:tcPr>
            <w:shd w:fill="e7e6e6" w:val="clear"/>
          </w:tcPr>
          <w:p w:rsidR="00000000" w:rsidDel="00000000" w:rsidP="00000000" w:rsidRDefault="00000000" w:rsidRPr="00000000" w14:paraId="00000052">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both"/>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Criteria </w:t>
            </w:r>
          </w:p>
        </w:tc>
        <w:tc>
          <w:tcPr>
            <w:shd w:fill="e7e6e6" w:val="clear"/>
          </w:tcPr>
          <w:p w:rsidR="00000000" w:rsidDel="00000000" w:rsidP="00000000" w:rsidRDefault="00000000" w:rsidRPr="00000000" w14:paraId="00000053">
            <w:pPr>
              <w:widowControl w:val="1"/>
              <w:spacing w:after="200" w:before="12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Relative weighting percentage </w:t>
            </w:r>
          </w:p>
          <w:p w:rsidR="00000000" w:rsidDel="00000000" w:rsidP="00000000" w:rsidRDefault="00000000" w:rsidRPr="00000000" w14:paraId="00000054">
            <w:pPr>
              <w:widowControl w:val="1"/>
              <w:spacing w:after="200" w:line="276" w:lineRule="auto"/>
              <w:rPr>
                <w:rFonts w:ascii="Arial" w:cs="Arial" w:eastAsia="Arial" w:hAnsi="Arial"/>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5">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Price (life cycle costs, cost effectiveness &amp; price; price and running costs)</w:t>
            </w:r>
          </w:p>
        </w:tc>
        <w:tc>
          <w:tcPr/>
          <w:p w:rsidR="00000000" w:rsidDel="00000000" w:rsidP="00000000" w:rsidRDefault="00000000" w:rsidRPr="00000000" w14:paraId="00000056">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sz w:val="24"/>
                <w:szCs w:val="24"/>
                <w:highlight w:val="white"/>
                <w:rtl w:val="0"/>
              </w:rPr>
              <w:t xml:space="preserve">0-100%</w:t>
            </w:r>
            <w:r w:rsidDel="00000000" w:rsidR="00000000" w:rsidRPr="00000000">
              <w:rPr>
                <w:rtl w:val="0"/>
              </w:rPr>
            </w:r>
          </w:p>
        </w:tc>
      </w:tr>
      <w:tr>
        <w:trPr>
          <w:cantSplit w:val="0"/>
          <w:tblHeader w:val="0"/>
        </w:trPr>
        <w:tc>
          <w:tcPr/>
          <w:p w:rsidR="00000000" w:rsidDel="00000000" w:rsidP="00000000" w:rsidRDefault="00000000" w:rsidRPr="00000000" w14:paraId="00000057">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Technical merit; coverage, network capacity and performance as specified in relevant service levels</w:t>
            </w:r>
          </w:p>
        </w:tc>
        <w:tc>
          <w:tcPr/>
          <w:p w:rsidR="00000000" w:rsidDel="00000000" w:rsidP="00000000" w:rsidRDefault="00000000" w:rsidRPr="00000000" w14:paraId="00000058">
            <w:pPr>
              <w:keepNext w:val="1"/>
              <w:widowControl w:val="1"/>
              <w:spacing w:after="120" w:before="240" w:lineRule="auto"/>
              <w:ind w:left="142"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sz w:val="24"/>
                <w:szCs w:val="24"/>
                <w:highlight w:val="white"/>
                <w:rtl w:val="0"/>
              </w:rPr>
              <w:t xml:space="preserve">0-100%</w:t>
            </w:r>
            <w:r w:rsidDel="00000000" w:rsidR="00000000" w:rsidRPr="00000000">
              <w:rPr>
                <w:rtl w:val="0"/>
              </w:rPr>
            </w:r>
          </w:p>
        </w:tc>
      </w:tr>
      <w:tr>
        <w:trPr>
          <w:cantSplit w:val="0"/>
          <w:tblHeader w:val="0"/>
        </w:trPr>
        <w:tc>
          <w:tcPr/>
          <w:p w:rsidR="00000000" w:rsidDel="00000000" w:rsidP="00000000" w:rsidRDefault="00000000" w:rsidRPr="00000000" w14:paraId="00000059">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Help desk, account management function and assurance of supply of a range of devices and good value accessories</w:t>
            </w:r>
          </w:p>
        </w:tc>
        <w:tc>
          <w:tcPr/>
          <w:p w:rsidR="00000000" w:rsidDel="00000000" w:rsidP="00000000" w:rsidRDefault="00000000" w:rsidRPr="00000000" w14:paraId="0000005A">
            <w:pPr>
              <w:keepNext w:val="1"/>
              <w:widowControl w:val="1"/>
              <w:spacing w:after="120" w:before="240" w:lineRule="auto"/>
              <w:ind w:left="142"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sz w:val="24"/>
                <w:szCs w:val="24"/>
                <w:highlight w:val="white"/>
                <w:rtl w:val="0"/>
              </w:rPr>
              <w:t xml:space="preserve">0-100%</w:t>
            </w:r>
            <w:r w:rsidDel="00000000" w:rsidR="00000000" w:rsidRPr="00000000">
              <w:rPr>
                <w:rtl w:val="0"/>
              </w:rPr>
            </w:r>
          </w:p>
        </w:tc>
      </w:tr>
      <w:tr>
        <w:trPr>
          <w:cantSplit w:val="0"/>
          <w:tblHeader w:val="0"/>
        </w:trPr>
        <w:tc>
          <w:tcPr/>
          <w:p w:rsidR="00000000" w:rsidDel="00000000" w:rsidP="00000000" w:rsidRDefault="00000000" w:rsidRPr="00000000" w14:paraId="0000005B">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Environmental characteristics</w:t>
            </w:r>
          </w:p>
        </w:tc>
        <w:tc>
          <w:tcPr/>
          <w:p w:rsidR="00000000" w:rsidDel="00000000" w:rsidP="00000000" w:rsidRDefault="00000000" w:rsidRPr="00000000" w14:paraId="0000005C">
            <w:pPr>
              <w:keepNext w:val="1"/>
              <w:widowControl w:val="1"/>
              <w:spacing w:after="120" w:before="240" w:lineRule="auto"/>
              <w:ind w:left="142"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sz w:val="24"/>
                <w:szCs w:val="24"/>
                <w:highlight w:val="white"/>
                <w:rtl w:val="0"/>
              </w:rPr>
              <w:t xml:space="preserve">0-100%</w:t>
            </w:r>
            <w:r w:rsidDel="00000000" w:rsidR="00000000" w:rsidRPr="00000000">
              <w:rPr>
                <w:rtl w:val="0"/>
              </w:rPr>
            </w:r>
          </w:p>
        </w:tc>
      </w:tr>
      <w:tr>
        <w:trPr>
          <w:cantSplit w:val="0"/>
          <w:tblHeader w:val="0"/>
        </w:trPr>
        <w:tc>
          <w:tcPr/>
          <w:p w:rsidR="00000000" w:rsidDel="00000000" w:rsidP="00000000" w:rsidRDefault="00000000" w:rsidRPr="00000000" w14:paraId="0000005D">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Quality (including delivery time, sales service, good value, accessories, service fitness for purpose)</w:t>
            </w:r>
          </w:p>
        </w:tc>
        <w:tc>
          <w:tcPr/>
          <w:p w:rsidR="00000000" w:rsidDel="00000000" w:rsidP="00000000" w:rsidRDefault="00000000" w:rsidRPr="00000000" w14:paraId="0000005E">
            <w:pPr>
              <w:keepNext w:val="1"/>
              <w:widowControl w:val="1"/>
              <w:spacing w:after="120" w:before="240" w:lineRule="auto"/>
              <w:ind w:left="142"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sz w:val="24"/>
                <w:szCs w:val="24"/>
                <w:highlight w:val="white"/>
                <w:rtl w:val="0"/>
              </w:rPr>
              <w:t xml:space="preserve">0-100%</w:t>
            </w:r>
            <w:r w:rsidDel="00000000" w:rsidR="00000000" w:rsidRPr="00000000">
              <w:rPr>
                <w:rtl w:val="0"/>
              </w:rPr>
            </w:r>
          </w:p>
        </w:tc>
      </w:tr>
    </w:tbl>
    <w:p w:rsidR="00000000" w:rsidDel="00000000" w:rsidP="00000000" w:rsidRDefault="00000000" w:rsidRPr="00000000" w14:paraId="0000005F">
      <w:pPr>
        <w:pageBreakBefore w:val="0"/>
        <w:widowControl w:val="1"/>
        <w:pBdr>
          <w:top w:space="0" w:sz="0" w:val="nil"/>
          <w:left w:space="0" w:sz="0" w:val="nil"/>
          <w:bottom w:space="0" w:sz="0" w:val="nil"/>
          <w:right w:space="0" w:sz="0" w:val="nil"/>
          <w:between w:space="0" w:sz="0" w:val="nil"/>
        </w:pBdr>
        <w:ind w:left="1080" w:firstLine="0"/>
        <w:jc w:val="both"/>
        <w:rPr>
          <w:rFonts w:ascii="Arial" w:cs="Arial" w:eastAsia="Arial" w:hAnsi="Arial"/>
          <w:color w:val="ffffff"/>
          <w:sz w:val="24"/>
          <w:szCs w:val="24"/>
        </w:rPr>
      </w:pPr>
      <w:r w:rsidDel="00000000" w:rsidR="00000000" w:rsidRPr="00000000">
        <w:rPr>
          <w:rtl w:val="0"/>
        </w:rPr>
      </w:r>
    </w:p>
    <w:p w:rsidR="00000000" w:rsidDel="00000000" w:rsidP="00000000" w:rsidRDefault="00000000" w:rsidRPr="00000000" w14:paraId="00000060">
      <w:pPr>
        <w:keepNext w:val="1"/>
        <w:pageBreakBefore w:val="0"/>
        <w:widowControl w:val="1"/>
        <w:pBdr>
          <w:top w:space="0" w:sz="0" w:val="nil"/>
          <w:left w:space="0" w:sz="0" w:val="nil"/>
          <w:bottom w:space="0" w:sz="0" w:val="nil"/>
          <w:right w:space="0" w:sz="0" w:val="nil"/>
          <w:between w:space="0" w:sz="0" w:val="nil"/>
        </w:pBdr>
        <w:spacing w:after="240" w:before="240" w:lineRule="auto"/>
        <w:rPr>
          <w:rFonts w:ascii="Arial" w:cs="Arial" w:eastAsia="Arial" w:hAnsi="Arial"/>
          <w:b w:val="1"/>
          <w:color w:val="000000"/>
          <w:sz w:val="36"/>
          <w:szCs w:val="36"/>
        </w:rPr>
      </w:pPr>
      <w:r w:rsidDel="00000000" w:rsidR="00000000" w:rsidRPr="00000000">
        <w:br w:type="page"/>
      </w:r>
      <w:r w:rsidDel="00000000" w:rsidR="00000000" w:rsidRPr="00000000">
        <w:rPr>
          <w:rFonts w:ascii="Arial" w:cs="Arial" w:eastAsia="Arial" w:hAnsi="Arial"/>
          <w:b w:val="1"/>
          <w:color w:val="000000"/>
          <w:sz w:val="36"/>
          <w:szCs w:val="36"/>
          <w:rtl w:val="0"/>
        </w:rPr>
        <w:t xml:space="preserve">Annex B: Further Competition Award Criteria</w:t>
      </w:r>
    </w:p>
    <w:p w:rsidR="00000000" w:rsidDel="00000000" w:rsidP="00000000" w:rsidRDefault="00000000" w:rsidRPr="00000000" w14:paraId="00000061">
      <w:pPr>
        <w:pageBreakBefore w:val="0"/>
        <w:widowControl w:val="1"/>
        <w:pBdr>
          <w:top w:space="0" w:sz="0" w:val="nil"/>
          <w:left w:space="0" w:sz="0" w:val="nil"/>
          <w:bottom w:space="0" w:sz="0" w:val="nil"/>
          <w:right w:space="0" w:sz="0" w:val="nil"/>
          <w:between w:space="0" w:sz="0" w:val="nil"/>
        </w:pBdr>
        <w:tabs>
          <w:tab w:val="left" w:leader="none" w:pos="851"/>
        </w:tabs>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criteria and weightings shall apply to the evaluation of tenders received through the Further Competition Procedure:</w:t>
      </w:r>
    </w:p>
    <w:tbl>
      <w:tblPr>
        <w:tblStyle w:val="Table2"/>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shd w:fill="e7e6e6" w:val="clear"/>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Criteria</w:t>
            </w:r>
            <w:r w:rsidDel="00000000" w:rsidR="00000000" w:rsidRPr="00000000">
              <w:rPr>
                <w:rtl w:val="0"/>
              </w:rPr>
            </w:r>
          </w:p>
        </w:tc>
        <w:tc>
          <w:tcPr>
            <w:shd w:fill="e7e6e6" w:val="clear"/>
          </w:tcPr>
          <w:p w:rsidR="00000000" w:rsidDel="00000000" w:rsidP="00000000" w:rsidRDefault="00000000" w:rsidRPr="00000000" w14:paraId="00000063">
            <w:pPr>
              <w:widowControl w:val="1"/>
              <w:spacing w:after="200" w:before="12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Relative weighting percentage </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5">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Quality</w:t>
            </w:r>
          </w:p>
          <w:p w:rsidR="00000000" w:rsidDel="00000000" w:rsidP="00000000" w:rsidRDefault="00000000" w:rsidRPr="00000000" w14:paraId="00000066">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Which consists of the following criteria:</w:t>
            </w:r>
          </w:p>
          <w:p w:rsidR="00000000" w:rsidDel="00000000" w:rsidP="00000000" w:rsidRDefault="00000000" w:rsidRPr="00000000" w14:paraId="00000067">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Added Value / Innovation</w:t>
            </w:r>
            <w:r w:rsidDel="00000000" w:rsidR="00000000" w:rsidRPr="00000000">
              <w:rPr>
                <w:rtl w:val="0"/>
              </w:rPr>
            </w:r>
          </w:p>
          <w:p w:rsidR="00000000" w:rsidDel="00000000" w:rsidP="00000000" w:rsidRDefault="00000000" w:rsidRPr="00000000" w14:paraId="00000068">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Social Value</w:t>
            </w:r>
            <w:r w:rsidDel="00000000" w:rsidR="00000000" w:rsidRPr="00000000">
              <w:rPr>
                <w:rtl w:val="0"/>
              </w:rPr>
            </w:r>
          </w:p>
          <w:p w:rsidR="00000000" w:rsidDel="00000000" w:rsidP="00000000" w:rsidRDefault="00000000" w:rsidRPr="00000000" w14:paraId="00000069">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Approach To Delivery Of The Services</w:t>
            </w:r>
            <w:r w:rsidDel="00000000" w:rsidR="00000000" w:rsidRPr="00000000">
              <w:rPr>
                <w:rtl w:val="0"/>
              </w:rPr>
            </w:r>
          </w:p>
          <w:p w:rsidR="00000000" w:rsidDel="00000000" w:rsidP="00000000" w:rsidRDefault="00000000" w:rsidRPr="00000000" w14:paraId="0000006A">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Implementation</w:t>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Use Of Supply Chain / Partners</w:t>
            </w:r>
          </w:p>
        </w:tc>
        <w:tc>
          <w:tcPr/>
          <w:p w:rsidR="00000000" w:rsidDel="00000000" w:rsidP="00000000" w:rsidRDefault="00000000" w:rsidRPr="00000000" w14:paraId="0000006C">
            <w:pPr>
              <w:keepNext w:val="1"/>
              <w:widowControl w:val="1"/>
              <w:spacing w:after="120" w:before="240" w:lineRule="auto"/>
              <w:ind w:left="142"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sz w:val="24"/>
                <w:szCs w:val="24"/>
                <w:highlight w:val="white"/>
                <w:rtl w:val="0"/>
              </w:rPr>
              <w:t xml:space="preserve">0-100%</w:t>
            </w:r>
            <w:r w:rsidDel="00000000" w:rsidR="00000000" w:rsidRPr="00000000">
              <w:rPr>
                <w:rtl w:val="0"/>
              </w:rPr>
            </w:r>
          </w:p>
        </w:tc>
      </w:tr>
      <w:tr>
        <w:trPr>
          <w:cantSplit w:val="0"/>
          <w:tblHeader w:val="0"/>
        </w:trPr>
        <w:tc>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Cost effectiveness</w:t>
            </w:r>
          </w:p>
        </w:tc>
        <w:tc>
          <w:tcPr/>
          <w:p w:rsidR="00000000" w:rsidDel="00000000" w:rsidP="00000000" w:rsidRDefault="00000000" w:rsidRPr="00000000" w14:paraId="0000006E">
            <w:pPr>
              <w:keepNext w:val="1"/>
              <w:widowControl w:val="1"/>
              <w:spacing w:after="120" w:before="240" w:lineRule="auto"/>
              <w:ind w:left="142"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sz w:val="24"/>
                <w:szCs w:val="24"/>
                <w:highlight w:val="white"/>
                <w:rtl w:val="0"/>
              </w:rPr>
              <w:t xml:space="preserve">0-100%</w:t>
            </w:r>
            <w:r w:rsidDel="00000000" w:rsidR="00000000" w:rsidRPr="00000000">
              <w:rPr>
                <w:rtl w:val="0"/>
              </w:rPr>
            </w:r>
          </w:p>
        </w:tc>
      </w:tr>
      <w:tr>
        <w:trPr>
          <w:cantSplit w:val="0"/>
          <w:tblHeader w:val="0"/>
        </w:trPr>
        <w:tc>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Technical merit</w:t>
            </w:r>
          </w:p>
        </w:tc>
        <w:tc>
          <w:tcPr/>
          <w:p w:rsidR="00000000" w:rsidDel="00000000" w:rsidP="00000000" w:rsidRDefault="00000000" w:rsidRPr="00000000" w14:paraId="00000070">
            <w:pPr>
              <w:keepNext w:val="1"/>
              <w:widowControl w:val="1"/>
              <w:spacing w:after="120" w:before="240" w:lineRule="auto"/>
              <w:ind w:left="142"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sz w:val="24"/>
                <w:szCs w:val="24"/>
                <w:highlight w:val="white"/>
                <w:rtl w:val="0"/>
              </w:rPr>
              <w:t xml:space="preserve">0-100%</w:t>
            </w:r>
            <w:r w:rsidDel="00000000" w:rsidR="00000000" w:rsidRPr="00000000">
              <w:rPr>
                <w:rtl w:val="0"/>
              </w:rPr>
            </w:r>
          </w:p>
        </w:tc>
      </w:tr>
      <w:tr>
        <w:trPr>
          <w:cantSplit w:val="0"/>
          <w:tblHeader w:val="0"/>
        </w:trPr>
        <w:tc>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Technical assistance</w:t>
            </w:r>
          </w:p>
        </w:tc>
        <w:tc>
          <w:tcPr/>
          <w:p w:rsidR="00000000" w:rsidDel="00000000" w:rsidP="00000000" w:rsidRDefault="00000000" w:rsidRPr="00000000" w14:paraId="00000072">
            <w:pPr>
              <w:keepNext w:val="1"/>
              <w:widowControl w:val="1"/>
              <w:spacing w:after="120" w:before="240" w:lineRule="auto"/>
              <w:ind w:left="142"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sz w:val="24"/>
                <w:szCs w:val="24"/>
                <w:highlight w:val="white"/>
                <w:rtl w:val="0"/>
              </w:rPr>
              <w:t xml:space="preserve">0-100%</w:t>
            </w:r>
            <w:r w:rsidDel="00000000" w:rsidR="00000000" w:rsidRPr="00000000">
              <w:rPr>
                <w:rtl w:val="0"/>
              </w:rPr>
            </w:r>
          </w:p>
        </w:tc>
      </w:tr>
      <w:tr>
        <w:trPr>
          <w:cantSplit w:val="0"/>
          <w:tblHeader w:val="0"/>
        </w:trPr>
        <w:tc>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After sales service</w:t>
            </w:r>
          </w:p>
        </w:tc>
        <w:tc>
          <w:tcPr/>
          <w:p w:rsidR="00000000" w:rsidDel="00000000" w:rsidP="00000000" w:rsidRDefault="00000000" w:rsidRPr="00000000" w14:paraId="00000074">
            <w:pPr>
              <w:keepNext w:val="1"/>
              <w:widowControl w:val="1"/>
              <w:spacing w:after="120" w:before="240" w:lineRule="auto"/>
              <w:ind w:left="142"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sz w:val="24"/>
                <w:szCs w:val="24"/>
                <w:highlight w:val="white"/>
                <w:rtl w:val="0"/>
              </w:rPr>
              <w:t xml:space="preserve">0-100%</w:t>
            </w:r>
            <w:r w:rsidDel="00000000" w:rsidR="00000000" w:rsidRPr="00000000">
              <w:rPr>
                <w:rtl w:val="0"/>
              </w:rPr>
            </w:r>
          </w:p>
        </w:tc>
      </w:tr>
      <w:tr>
        <w:trPr>
          <w:cantSplit w:val="0"/>
          <w:tblHeader w:val="0"/>
        </w:trPr>
        <w:tc>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Price</w:t>
            </w:r>
          </w:p>
        </w:tc>
        <w:tc>
          <w:tcPr/>
          <w:p w:rsidR="00000000" w:rsidDel="00000000" w:rsidP="00000000" w:rsidRDefault="00000000" w:rsidRPr="00000000" w14:paraId="00000076">
            <w:pPr>
              <w:keepNext w:val="1"/>
              <w:widowControl w:val="1"/>
              <w:spacing w:after="120" w:before="240" w:lineRule="auto"/>
              <w:ind w:left="142"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sz w:val="24"/>
                <w:szCs w:val="24"/>
                <w:highlight w:val="white"/>
                <w:rtl w:val="0"/>
              </w:rPr>
              <w:t xml:space="preserve">0-100%</w:t>
            </w:r>
            <w:r w:rsidDel="00000000" w:rsidR="00000000" w:rsidRPr="00000000">
              <w:rPr>
                <w:rtl w:val="0"/>
              </w:rPr>
            </w:r>
          </w:p>
        </w:tc>
      </w:tr>
      <w:tr>
        <w:trPr>
          <w:cantSplit w:val="0"/>
          <w:tblHeader w:val="0"/>
        </w:trPr>
        <w:tc>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Aesthetic and functional characteristics</w:t>
            </w:r>
          </w:p>
        </w:tc>
        <w:tc>
          <w:tcPr/>
          <w:p w:rsidR="00000000" w:rsidDel="00000000" w:rsidP="00000000" w:rsidRDefault="00000000" w:rsidRPr="00000000" w14:paraId="00000078">
            <w:pPr>
              <w:keepNext w:val="1"/>
              <w:widowControl w:val="1"/>
              <w:spacing w:after="120" w:before="240" w:lineRule="auto"/>
              <w:ind w:left="142"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sz w:val="24"/>
                <w:szCs w:val="24"/>
                <w:highlight w:val="white"/>
                <w:rtl w:val="0"/>
              </w:rPr>
              <w:t xml:space="preserve">0-100%</w:t>
            </w:r>
            <w:r w:rsidDel="00000000" w:rsidR="00000000" w:rsidRPr="00000000">
              <w:rPr>
                <w:rtl w:val="0"/>
              </w:rPr>
            </w:r>
          </w:p>
        </w:tc>
      </w:tr>
      <w:tr>
        <w:trPr>
          <w:cantSplit w:val="0"/>
          <w:tblHeader w:val="0"/>
        </w:trPr>
        <w:tc>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Running costs</w:t>
            </w:r>
          </w:p>
        </w:tc>
        <w:tc>
          <w:tcPr/>
          <w:p w:rsidR="00000000" w:rsidDel="00000000" w:rsidP="00000000" w:rsidRDefault="00000000" w:rsidRPr="00000000" w14:paraId="0000007A">
            <w:pPr>
              <w:keepNext w:val="1"/>
              <w:widowControl w:val="1"/>
              <w:spacing w:after="120" w:before="240" w:lineRule="auto"/>
              <w:ind w:left="142"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sz w:val="24"/>
                <w:szCs w:val="24"/>
                <w:highlight w:val="white"/>
                <w:rtl w:val="0"/>
              </w:rPr>
              <w:t xml:space="preserve">0-100%</w:t>
            </w:r>
            <w:r w:rsidDel="00000000" w:rsidR="00000000" w:rsidRPr="00000000">
              <w:rPr>
                <w:rtl w:val="0"/>
              </w:rPr>
            </w:r>
          </w:p>
        </w:tc>
      </w:tr>
      <w:tr>
        <w:trPr>
          <w:cantSplit w:val="0"/>
          <w:tblHeader w:val="0"/>
        </w:trPr>
        <w:tc>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Environmental characteristics</w:t>
            </w:r>
          </w:p>
        </w:tc>
        <w:tc>
          <w:tcPr/>
          <w:p w:rsidR="00000000" w:rsidDel="00000000" w:rsidP="00000000" w:rsidRDefault="00000000" w:rsidRPr="00000000" w14:paraId="0000007C">
            <w:pPr>
              <w:keepNext w:val="1"/>
              <w:widowControl w:val="1"/>
              <w:spacing w:after="120" w:before="240" w:lineRule="auto"/>
              <w:ind w:left="142"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sz w:val="24"/>
                <w:szCs w:val="24"/>
                <w:highlight w:val="white"/>
                <w:rtl w:val="0"/>
              </w:rPr>
              <w:t xml:space="preserve">0-100%</w:t>
            </w:r>
            <w:r w:rsidDel="00000000" w:rsidR="00000000" w:rsidRPr="00000000">
              <w:rPr>
                <w:rtl w:val="0"/>
              </w:rPr>
            </w:r>
          </w:p>
        </w:tc>
      </w:tr>
      <w:tr>
        <w:trPr>
          <w:cantSplit w:val="0"/>
          <w:tblHeader w:val="0"/>
        </w:trPr>
        <w:tc>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Delivery date and delivery period</w:t>
            </w:r>
          </w:p>
        </w:tc>
        <w:tc>
          <w:tcPr/>
          <w:p w:rsidR="00000000" w:rsidDel="00000000" w:rsidP="00000000" w:rsidRDefault="00000000" w:rsidRPr="00000000" w14:paraId="0000007E">
            <w:pPr>
              <w:keepNext w:val="1"/>
              <w:widowControl w:val="1"/>
              <w:spacing w:after="120" w:before="240" w:lineRule="auto"/>
              <w:ind w:left="142"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sz w:val="24"/>
                <w:szCs w:val="24"/>
                <w:highlight w:val="white"/>
                <w:rtl w:val="0"/>
              </w:rPr>
              <w:t xml:space="preserve">0-100%</w:t>
            </w:r>
            <w:r w:rsidDel="00000000" w:rsidR="00000000" w:rsidRPr="00000000">
              <w:rPr>
                <w:rtl w:val="0"/>
              </w:rPr>
            </w:r>
          </w:p>
        </w:tc>
      </w:tr>
      <w:tr>
        <w:trPr>
          <w:cantSplit w:val="0"/>
          <w:tblHeader w:val="0"/>
        </w:trPr>
        <w:tc>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Period of completion</w:t>
            </w:r>
          </w:p>
        </w:tc>
        <w:tc>
          <w:tcPr/>
          <w:p w:rsidR="00000000" w:rsidDel="00000000" w:rsidP="00000000" w:rsidRDefault="00000000" w:rsidRPr="00000000" w14:paraId="00000080">
            <w:pPr>
              <w:keepNext w:val="1"/>
              <w:widowControl w:val="1"/>
              <w:spacing w:after="120" w:before="240" w:lineRule="auto"/>
              <w:ind w:left="142"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sz w:val="24"/>
                <w:szCs w:val="24"/>
                <w:highlight w:val="white"/>
                <w:rtl w:val="0"/>
              </w:rPr>
              <w:t xml:space="preserve">0-100%</w:t>
            </w:r>
            <w:r w:rsidDel="00000000" w:rsidR="00000000" w:rsidRPr="00000000">
              <w:rPr>
                <w:rtl w:val="0"/>
              </w:rPr>
            </w:r>
          </w:p>
        </w:tc>
      </w:tr>
    </w:tbl>
    <w:p w:rsidR="00000000" w:rsidDel="00000000" w:rsidP="00000000" w:rsidRDefault="00000000" w:rsidRPr="00000000" w14:paraId="00000081">
      <w:pPr>
        <w:pageBreakBefore w:val="0"/>
        <w:widowControl w:val="1"/>
        <w:pBdr>
          <w:top w:space="0" w:sz="0" w:val="nil"/>
          <w:left w:space="0" w:sz="0" w:val="nil"/>
          <w:bottom w:space="0" w:sz="0" w:val="nil"/>
          <w:right w:space="0" w:sz="0" w:val="nil"/>
          <w:between w:space="0" w:sz="0" w:val="nil"/>
        </w:pBdr>
        <w:jc w:val="both"/>
        <w:rPr>
          <w:rFonts w:ascii="Arial" w:cs="Arial" w:eastAsia="Arial" w:hAnsi="Arial"/>
          <w:color w:val="ffffff"/>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RM6353 Tyres, Glass and Telematics</w:t>
      <w:tab/>
      <w:t xml:space="preserve">                                           </w:t>
    </w:r>
  </w:p>
  <w:p w:rsidR="00000000" w:rsidDel="00000000" w:rsidP="00000000" w:rsidRDefault="00000000" w:rsidRPr="00000000" w14:paraId="00000089">
    <w:pPr>
      <w:widowControl w:val="1"/>
      <w:pBdr>
        <w:top w:space="0" w:sz="0" w:val="nil"/>
        <w:left w:space="0" w:sz="0" w:val="nil"/>
        <w:bottom w:space="0" w:sz="0" w:val="nil"/>
        <w:right w:space="0" w:sz="0" w:val="nil"/>
        <w:between w:space="0" w:sz="0" w:val="nil"/>
      </w:pBdr>
      <w:tabs>
        <w:tab w:val="center" w:leader="none" w:pos="4513"/>
        <w:tab w:val="right" w:leader="none" w:pos="9026"/>
      </w:tabs>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A">
    <w:pPr>
      <w:tabs>
        <w:tab w:val="left" w:leader="none" w:pos="720"/>
        <w:tab w:val="left" w:leader="none" w:pos="1440"/>
        <w:tab w:val="left" w:leader="none" w:pos="2160"/>
        <w:tab w:val="left" w:leader="none" w:pos="2880"/>
        <w:tab w:val="left" w:leader="none" w:pos="3600"/>
        <w:tab w:val="center" w:leader="none" w:pos="4513"/>
      </w:tabs>
      <w:rPr>
        <w:rFonts w:ascii="Arial" w:cs="Arial" w:eastAsia="Arial" w:hAnsi="Arial"/>
        <w:sz w:val="20"/>
        <w:szCs w:val="20"/>
      </w:rPr>
    </w:pPr>
    <w:bookmarkStart w:colFirst="0" w:colLast="0" w:name="_heading=h.gjdgxs" w:id="8"/>
    <w:bookmarkEnd w:id="8"/>
    <w:r w:rsidDel="00000000" w:rsidR="00000000" w:rsidRPr="00000000">
      <w:rPr>
        <w:rFonts w:ascii="Arial" w:cs="Arial" w:eastAsia="Arial" w:hAnsi="Arial"/>
        <w:sz w:val="20"/>
        <w:szCs w:val="20"/>
        <w:rtl w:val="0"/>
      </w:rPr>
      <w:t xml:space="preserve">Model Version : v3.3</w:t>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color w:val="000000"/>
      </w:rPr>
    </w:pPr>
    <w:r w:rsidDel="00000000" w:rsidR="00000000" w:rsidRPr="00000000">
      <w:rPr>
        <w:rtl w:val="0"/>
      </w:rPr>
    </w:r>
  </w:p>
  <w:p w:rsidR="00000000" w:rsidDel="00000000" w:rsidP="00000000" w:rsidRDefault="00000000" w:rsidRPr="00000000" w14:paraId="0000008C">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r>
  </w:p>
  <w:p w:rsidR="00000000" w:rsidDel="00000000" w:rsidP="00000000" w:rsidRDefault="00000000" w:rsidRPr="00000000" w14:paraId="0000008D">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1.0</w:t>
      <w:tab/>
      <w:tab/>
      <w:t xml:space="preserv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E">
    <w:pPr>
      <w:tabs>
        <w:tab w:val="left" w:leader="none" w:pos="720"/>
        <w:tab w:val="left" w:leader="none" w:pos="1440"/>
        <w:tab w:val="left" w:leader="none" w:pos="2160"/>
        <w:tab w:val="left" w:leader="none" w:pos="2880"/>
        <w:tab w:val="left" w:leader="none" w:pos="3600"/>
        <w:tab w:val="center" w:leader="none" w:pos="4513"/>
      </w:tabs>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 v3.0</w:t>
      <w:tab/>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Framework Schedule 7 (Call-Off Award Procedure)</w:t>
    </w:r>
  </w:p>
  <w:p w:rsidR="00000000" w:rsidDel="00000000" w:rsidP="00000000" w:rsidRDefault="00000000" w:rsidRPr="00000000" w14:paraId="00000083">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rFonts w:ascii="Arial" w:cs="Arial" w:eastAsia="Arial" w:hAnsi="Arial"/>
        <w:b w:val="1"/>
        <w:color w:val="bfbfbf"/>
        <w:sz w:val="20"/>
        <w:szCs w:val="20"/>
      </w:rPr>
    </w:pPr>
    <w:r w:rsidDel="00000000" w:rsidR="00000000" w:rsidRPr="00000000">
      <w:rPr>
        <w:rFonts w:ascii="Arial" w:cs="Arial" w:eastAsia="Arial" w:hAnsi="Arial"/>
        <w:b w:val="1"/>
        <w:color w:val="bfbfbf"/>
        <w:sz w:val="20"/>
        <w:szCs w:val="20"/>
        <w:rtl w:val="0"/>
      </w:rPr>
      <w:t xml:space="preserve">Framework Schedule 7 (Call-Off Award Procedure)</w:t>
    </w:r>
  </w:p>
  <w:p w:rsidR="00000000" w:rsidDel="00000000" w:rsidP="00000000" w:rsidRDefault="00000000" w:rsidRPr="00000000" w14:paraId="00000085">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Crown Copyright 2018</w:t>
    </w:r>
  </w:p>
  <w:p w:rsidR="00000000" w:rsidDel="00000000" w:rsidP="00000000" w:rsidRDefault="00000000" w:rsidRPr="00000000" w14:paraId="00000086">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b w:val="1"/>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4"/>
        <w:szCs w:val="24"/>
        <w:u w:val="none"/>
        <w:vertAlign w:val="baseline"/>
      </w:rPr>
    </w:lvl>
    <w:lvl w:ilvl="2">
      <w:start w:val="1"/>
      <w:numFmt w:val="decimal"/>
      <w:lvlText w:val="%1.%2.%3"/>
      <w:lvlJc w:val="left"/>
      <w:pPr>
        <w:ind w:left="2610" w:hanging="720"/>
      </w:pPr>
      <w:rPr>
        <w:b w:val="0"/>
        <w:i w:val="0"/>
        <w:smallCaps w:val="0"/>
        <w:strike w:val="0"/>
        <w:color w:val="00000a"/>
        <w:sz w:val="24"/>
        <w:szCs w:val="24"/>
        <w:u w:val="none"/>
        <w:vertAlign w:val="baseline"/>
      </w:rPr>
    </w:lvl>
    <w:lvl w:ilvl="3">
      <w:start w:val="1"/>
      <w:numFmt w:val="lowerLetter"/>
      <w:lvlText w:val="(%4)"/>
      <w:lvlJc w:val="left"/>
      <w:pPr>
        <w:ind w:left="2847" w:hanging="720"/>
      </w:pPr>
      <w:rPr>
        <w:b w:val="0"/>
        <w:i w:val="0"/>
        <w:smallCaps w:val="0"/>
        <w:strike w:val="0"/>
        <w:color w:val="00000a"/>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1"/>
      <w:numFmt w:val="decimal"/>
      <w:lvlText w:val="%1."/>
      <w:lvlJc w:val="left"/>
      <w:pPr>
        <w:ind w:left="360" w:hanging="360"/>
      </w:pPr>
      <w:rPr>
        <w:b w:val="1"/>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2"/>
        <w:szCs w:val="22"/>
        <w:u w:val="none"/>
        <w:vertAlign w:val="baseline"/>
      </w:rPr>
    </w:lvl>
    <w:lvl w:ilvl="2">
      <w:start w:val="1"/>
      <w:numFmt w:val="decimal"/>
      <w:lvlText w:val="%1.%2.%3"/>
      <w:lvlJc w:val="left"/>
      <w:pPr>
        <w:ind w:left="2610" w:hanging="720"/>
      </w:pPr>
      <w:rPr>
        <w:b w:val="0"/>
        <w:i w:val="0"/>
        <w:smallCaps w:val="0"/>
        <w:strike w:val="0"/>
        <w:color w:val="00000a"/>
        <w:sz w:val="22"/>
        <w:szCs w:val="22"/>
        <w:u w:val="none"/>
        <w:vertAlign w:val="baseline"/>
      </w:rPr>
    </w:lvl>
    <w:lvl w:ilvl="3">
      <w:start w:val="1"/>
      <w:numFmt w:val="lowerLetter"/>
      <w:lvlText w:val="(%4)"/>
      <w:lvlJc w:val="left"/>
      <w:pPr>
        <w:ind w:left="2847" w:hanging="720"/>
      </w:pPr>
      <w:rPr>
        <w:b w:val="0"/>
        <w:i w:val="0"/>
        <w:smallCaps w:val="0"/>
        <w:strike w:val="0"/>
        <w:color w:val="00000a"/>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
    <w:lvl w:ilvl="0">
      <w:start w:val="1"/>
      <w:numFmt w:val="decimal"/>
      <w:lvlText w:val="%1."/>
      <w:lvlJc w:val="left"/>
      <w:pPr>
        <w:ind w:left="1080" w:hanging="360"/>
      </w:pPr>
      <w:rPr>
        <w:b w:val="0"/>
        <w:i w:val="0"/>
        <w:smallCaps w:val="0"/>
        <w:strike w:val="0"/>
        <w:color w:val="00000a"/>
        <w:sz w:val="24"/>
        <w:szCs w:val="24"/>
        <w:u w:val="none"/>
        <w:vertAlign w:val="baseline"/>
      </w:rPr>
    </w:lvl>
    <w:lvl w:ilvl="1">
      <w:start w:val="1"/>
      <w:numFmt w:val="decimal"/>
      <w:lvlText w:val="%1.%2"/>
      <w:lvlJc w:val="left"/>
      <w:pPr>
        <w:ind w:left="1800" w:hanging="360"/>
      </w:pPr>
      <w:rPr>
        <w:b w:val="0"/>
        <w:i w:val="0"/>
        <w:smallCaps w:val="0"/>
        <w:strike w:val="0"/>
        <w:color w:val="00000a"/>
        <w:sz w:val="22"/>
        <w:szCs w:val="22"/>
        <w:u w:val="none"/>
        <w:vertAlign w:val="baseline"/>
      </w:rPr>
    </w:lvl>
    <w:lvl w:ilvl="2">
      <w:start w:val="1"/>
      <w:numFmt w:val="decimal"/>
      <w:lvlText w:val="%1.%2.%3"/>
      <w:lvlJc w:val="left"/>
      <w:pPr>
        <w:ind w:left="3330" w:hanging="720"/>
      </w:pPr>
      <w:rPr>
        <w:b w:val="0"/>
        <w:i w:val="0"/>
        <w:smallCaps w:val="0"/>
        <w:strike w:val="0"/>
        <w:color w:val="00000a"/>
        <w:sz w:val="22"/>
        <w:szCs w:val="22"/>
        <w:u w:val="none"/>
        <w:vertAlign w:val="baseline"/>
      </w:rPr>
    </w:lvl>
    <w:lvl w:ilvl="3">
      <w:start w:val="1"/>
      <w:numFmt w:val="lowerLetter"/>
      <w:lvlText w:val="(%4)"/>
      <w:lvlJc w:val="left"/>
      <w:pPr>
        <w:ind w:left="3567" w:hanging="720"/>
      </w:pPr>
      <w:rPr>
        <w:b w:val="0"/>
        <w:i w:val="0"/>
        <w:smallCaps w:val="0"/>
        <w:strike w:val="0"/>
        <w:color w:val="00000a"/>
        <w:sz w:val="22"/>
        <w:szCs w:val="22"/>
        <w:u w:val="none"/>
        <w:vertAlign w:val="baseline"/>
      </w:rPr>
    </w:lvl>
    <w:lvl w:ilvl="4">
      <w:start w:val="1"/>
      <w:numFmt w:val="lowerRoman"/>
      <w:lvlText w:val="(%5)"/>
      <w:lvlJc w:val="left"/>
      <w:pPr>
        <w:ind w:left="2160" w:hanging="1080"/>
      </w:pPr>
      <w:rPr>
        <w:b w:val="0"/>
        <w:i w:val="0"/>
        <w:smallCaps w:val="0"/>
        <w:strike w:val="0"/>
        <w:color w:val="000000"/>
        <w:u w:val="none"/>
        <w:vertAlign w:val="baseline"/>
      </w:rPr>
    </w:lvl>
    <w:lvl w:ilvl="5">
      <w:start w:val="1"/>
      <w:numFmt w:val="upperLetter"/>
      <w:lvlText w:val="(%6)"/>
      <w:lvlJc w:val="left"/>
      <w:pPr>
        <w:ind w:left="2160" w:hanging="1080"/>
      </w:pPr>
      <w:rPr>
        <w:b w:val="0"/>
        <w:i w:val="0"/>
        <w:smallCaps w:val="0"/>
        <w:strike w:val="0"/>
        <w:color w:val="000000"/>
        <w:u w:val="none"/>
        <w:vertAlign w:val="baseline"/>
      </w:rPr>
    </w:lvl>
    <w:lvl w:ilvl="6">
      <w:start w:val="1"/>
      <w:numFmt w:val="decimal"/>
      <w:lvlText w:val="%1.%2.%3.%4.%5.%6.%7"/>
      <w:lvlJc w:val="left"/>
      <w:pPr>
        <w:ind w:left="2520" w:hanging="1440"/>
      </w:pPr>
      <w:rPr/>
    </w:lvl>
    <w:lvl w:ilvl="7">
      <w:start w:val="1"/>
      <w:numFmt w:val="decimal"/>
      <w:lvlText w:val="%1.%2.%3.%4.%5.%6.%7.%8"/>
      <w:lvlJc w:val="left"/>
      <w:pPr>
        <w:ind w:left="2520" w:hanging="1440"/>
      </w:pPr>
      <w:rPr/>
    </w:lvl>
    <w:lvl w:ilvl="8">
      <w:start w:val="1"/>
      <w:numFmt w:val="decimal"/>
      <w:lvlText w:val="%1.%2.%3.%4.%5.%6.%7.%8.%9"/>
      <w:lvlJc w:val="left"/>
      <w:pPr>
        <w:ind w:left="288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532FDD"/>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tandard" w:customStyle="1">
    <w:name w:val="Standard"/>
    <w:pPr>
      <w:widowControl w:val="1"/>
      <w:spacing w:after="240"/>
      <w:jc w:val="both"/>
    </w:pPr>
    <w:rPr>
      <w:rFonts w:cs="Arial" w:eastAsia="Times New Roman"/>
    </w:rPr>
  </w:style>
  <w:style w:type="paragraph" w:styleId="Heading" w:customStyle="1">
    <w:name w:val="Heading"/>
    <w:basedOn w:val="Standard"/>
    <w:next w:val="Textbody"/>
    <w:pPr>
      <w:keepNext w:val="1"/>
      <w:spacing w:after="120" w:before="240"/>
    </w:pPr>
    <w:rPr>
      <w:rFonts w:ascii="Liberation Sans" w:cs="Arial Unicode MS" w:eastAsia="Arial Unicode MS" w:hAnsi="Liberation Sans"/>
      <w:sz w:val="28"/>
      <w:szCs w:val="28"/>
    </w:rPr>
  </w:style>
  <w:style w:type="paragraph" w:styleId="Textbody" w:customStyle="1">
    <w:name w:val="Text body"/>
    <w:basedOn w:val="Standard"/>
    <w:pPr>
      <w:spacing w:after="140" w:line="288" w:lineRule="auto"/>
    </w:pPr>
  </w:style>
  <w:style w:type="paragraph" w:styleId="List">
    <w:name w:val="List"/>
    <w:basedOn w:val="Textbody"/>
    <w:rPr>
      <w:sz w:val="24"/>
    </w:rPr>
  </w:style>
  <w:style w:type="paragraph" w:styleId="Caption">
    <w:name w:val="caption"/>
    <w:basedOn w:val="Standard"/>
    <w:pPr>
      <w:suppressLineNumbers w:val="1"/>
      <w:spacing w:after="120" w:before="120"/>
    </w:pPr>
    <w:rPr>
      <w:i w:val="1"/>
      <w:iCs w:val="1"/>
      <w:sz w:val="24"/>
      <w:szCs w:val="24"/>
    </w:rPr>
  </w:style>
  <w:style w:type="paragraph" w:styleId="Index" w:customStyle="1">
    <w:name w:val="Index"/>
    <w:basedOn w:val="Standard"/>
    <w:pPr>
      <w:suppressLineNumbers w:val="1"/>
    </w:pPr>
    <w:rPr>
      <w:sz w:val="24"/>
    </w:rPr>
  </w:style>
  <w:style w:type="paragraph" w:styleId="Header">
    <w:name w:val="header"/>
    <w:basedOn w:val="Standard"/>
    <w:pPr>
      <w:tabs>
        <w:tab w:val="center" w:pos="4513"/>
        <w:tab w:val="right" w:pos="9026"/>
      </w:tabs>
      <w:spacing w:after="0"/>
    </w:pPr>
  </w:style>
  <w:style w:type="paragraph" w:styleId="Footer">
    <w:name w:val="footer"/>
    <w:basedOn w:val="Standard"/>
    <w:uiPriority w:val="99"/>
    <w:pPr>
      <w:tabs>
        <w:tab w:val="center" w:pos="4513"/>
        <w:tab w:val="right" w:pos="9026"/>
      </w:tabs>
      <w:spacing w:after="0"/>
    </w:pPr>
  </w:style>
  <w:style w:type="paragraph" w:styleId="MarginText" w:customStyle="1">
    <w:name w:val="Margin Text"/>
    <w:basedOn w:val="Standard"/>
    <w:pPr>
      <w:keepNext w:val="1"/>
      <w:overflowPunct w:val="0"/>
      <w:spacing w:after="120" w:before="240"/>
      <w:ind w:left="142"/>
    </w:pPr>
    <w:rPr>
      <w:rFonts w:cs="Times New Roman" w:eastAsia="STZhongsong"/>
      <w:szCs w:val="18"/>
      <w:lang w:eastAsia="zh-CN"/>
    </w:rPr>
  </w:style>
  <w:style w:type="paragraph" w:styleId="GPSL1CLAUSEHEADING" w:customStyle="1">
    <w:name w:val="GPS L1 CLAUSE HEADING"/>
    <w:basedOn w:val="Standard"/>
    <w:next w:val="Standard"/>
    <w:pPr>
      <w:tabs>
        <w:tab w:val="left" w:pos="142"/>
      </w:tabs>
      <w:overflowPunct w:val="0"/>
      <w:spacing w:before="120"/>
      <w:outlineLvl w:val="1"/>
    </w:pPr>
    <w:rPr>
      <w:rFonts w:eastAsia="STZhongsong"/>
      <w:b w:val="1"/>
      <w:caps w:val="1"/>
      <w:lang w:eastAsia="zh-CN"/>
    </w:rPr>
  </w:style>
  <w:style w:type="paragraph" w:styleId="GPSL3numberedclause" w:customStyle="1">
    <w:name w:val="GPS L3 numbered clause"/>
    <w:basedOn w:val="Standard"/>
    <w:pPr>
      <w:tabs>
        <w:tab w:val="left" w:pos="3641"/>
      </w:tabs>
      <w:overflowPunct w:val="0"/>
      <w:spacing w:after="120" w:before="120"/>
      <w:ind w:left="1656"/>
    </w:pPr>
    <w:rPr>
      <w:lang w:eastAsia="zh-CN"/>
    </w:rPr>
  </w:style>
  <w:style w:type="paragraph" w:styleId="GPSL4numberedclause" w:customStyle="1">
    <w:name w:val="GPS L4 numbered clause"/>
    <w:basedOn w:val="GPSL3numberedclause"/>
    <w:pPr>
      <w:tabs>
        <w:tab w:val="clear" w:pos="3641"/>
      </w:tabs>
      <w:ind w:left="2592" w:hanging="936"/>
    </w:pPr>
  </w:style>
  <w:style w:type="paragraph" w:styleId="GPSL5numberedclause" w:customStyle="1">
    <w:name w:val="GPS L5 numbered clause"/>
    <w:basedOn w:val="GPSL4numberedclause"/>
    <w:pPr>
      <w:tabs>
        <w:tab w:val="left" w:pos="6238"/>
      </w:tabs>
      <w:ind w:left="3119" w:hanging="567"/>
    </w:pPr>
  </w:style>
  <w:style w:type="paragraph" w:styleId="GPSL2NumberedBoldHeading" w:customStyle="1">
    <w:name w:val="GPS L2 Numbered Bold Heading"/>
    <w:basedOn w:val="Standard"/>
    <w:pPr>
      <w:tabs>
        <w:tab w:val="left" w:pos="3054"/>
      </w:tabs>
      <w:overflowPunct w:val="0"/>
      <w:spacing w:after="120" w:before="120"/>
      <w:ind w:left="1920"/>
    </w:pPr>
    <w:rPr>
      <w:b w:val="1"/>
      <w:lang w:eastAsia="zh-CN"/>
    </w:rPr>
  </w:style>
  <w:style w:type="paragraph" w:styleId="GPSL6numbered" w:customStyle="1">
    <w:name w:val="GPS L6 numbered"/>
    <w:basedOn w:val="GPSL5numberedclause"/>
    <w:pPr>
      <w:tabs>
        <w:tab w:val="clear" w:pos="6238"/>
        <w:tab w:val="left" w:pos="4046"/>
        <w:tab w:val="left" w:pos="7372"/>
      </w:tabs>
      <w:ind w:left="3686"/>
    </w:pPr>
  </w:style>
  <w:style w:type="paragraph" w:styleId="GPSL1Guidance" w:customStyle="1">
    <w:name w:val="GPS L1 Guidance"/>
    <w:basedOn w:val="Standard"/>
    <w:pPr>
      <w:spacing w:after="120" w:before="240"/>
      <w:ind w:left="426"/>
    </w:pPr>
    <w:rPr>
      <w:b w:val="1"/>
      <w:i w:val="1"/>
    </w:rPr>
  </w:style>
  <w:style w:type="paragraph" w:styleId="GPSL1SCHEDULEHeading" w:customStyle="1">
    <w:name w:val="GPS L1 SCHEDULE Heading"/>
    <w:basedOn w:val="GPSL1CLAUSEHEADING"/>
    <w:pPr>
      <w:tabs>
        <w:tab w:val="clear" w:pos="142"/>
      </w:tabs>
    </w:pPr>
  </w:style>
  <w:style w:type="paragraph" w:styleId="GPSmacrorestart" w:customStyle="1">
    <w:name w:val="GPS macro restart"/>
    <w:basedOn w:val="Standard"/>
    <w:qFormat w:val="1"/>
    <w:pPr>
      <w:spacing w:after="0"/>
    </w:pPr>
    <w:rPr>
      <w:color w:val="ffffff"/>
      <w:sz w:val="16"/>
      <w:szCs w:val="16"/>
    </w:rPr>
  </w:style>
  <w:style w:type="paragraph" w:styleId="GPSSchTitleandNumber" w:customStyle="1">
    <w:name w:val="GPS Sch Title and Number"/>
    <w:basedOn w:val="Standard"/>
    <w:pPr>
      <w:keepNext w:val="1"/>
      <w:overflowPunct w:val="0"/>
      <w:ind w:firstLine="426"/>
      <w:jc w:val="center"/>
      <w:outlineLvl w:val="0"/>
    </w:pPr>
    <w:rPr>
      <w:rFonts w:ascii="Arial Bold" w:cs="Times New Roman" w:eastAsia="STZhongsong" w:hAnsi="Arial Bold"/>
      <w:b w:val="1"/>
      <w:caps w:val="1"/>
      <w:lang w:eastAsia="zh-CN"/>
    </w:rPr>
  </w:style>
  <w:style w:type="paragraph" w:styleId="GPSSchPart" w:customStyle="1">
    <w:name w:val="GPS Sch Part"/>
    <w:basedOn w:val="Standard"/>
    <w:qFormat w:val="1"/>
    <w:pPr>
      <w:keepNext w:val="1"/>
      <w:overflowPunct w:val="0"/>
      <w:spacing w:before="240"/>
      <w:ind w:firstLine="426"/>
      <w:jc w:val="center"/>
    </w:pPr>
    <w:rPr>
      <w:rFonts w:ascii="Arial Bold" w:cs="Times New Roman" w:eastAsia="STZhongsong" w:hAnsi="Arial Bold"/>
      <w:b w:val="1"/>
      <w:caps w:val="1"/>
      <w:lang w:eastAsia="zh-CN"/>
    </w:rPr>
  </w:style>
  <w:style w:type="paragraph" w:styleId="GPSL2Numbered" w:customStyle="1">
    <w:name w:val="GPS L2 Numbered"/>
    <w:basedOn w:val="GPSL2NumberedBoldHeading"/>
    <w:pPr>
      <w:tabs>
        <w:tab w:val="clear" w:pos="3054"/>
      </w:tabs>
      <w:ind w:left="936" w:hanging="576"/>
    </w:pPr>
    <w:rPr>
      <w:b w:val="0"/>
    </w:rPr>
  </w:style>
  <w:style w:type="paragraph" w:styleId="GPSL1Schedulenumbered" w:customStyle="1">
    <w:name w:val="GPS L1 Schedule numbered"/>
    <w:basedOn w:val="Standard"/>
    <w:qFormat w:val="1"/>
    <w:pPr>
      <w:tabs>
        <w:tab w:val="left" w:pos="851"/>
      </w:tabs>
    </w:pPr>
  </w:style>
  <w:style w:type="paragraph" w:styleId="BalloonText">
    <w:name w:val="Balloon Text"/>
    <w:basedOn w:val="Standard"/>
    <w:pPr>
      <w:spacing w:after="0"/>
    </w:pPr>
    <w:rPr>
      <w:rFonts w:ascii="Tahoma" w:cs="Tahoma" w:eastAsia="Tahoma" w:hAnsi="Tahoma"/>
      <w:sz w:val="16"/>
      <w:szCs w:val="16"/>
    </w:rPr>
  </w:style>
  <w:style w:type="paragraph" w:styleId="GPSL2Guidance" w:customStyle="1">
    <w:name w:val="GPS L2 Guidance"/>
    <w:basedOn w:val="Standard"/>
    <w:pPr>
      <w:tabs>
        <w:tab w:val="left" w:pos="2268"/>
      </w:tabs>
      <w:overflowPunct w:val="0"/>
      <w:spacing w:after="120" w:before="120"/>
      <w:ind w:left="1134"/>
    </w:pPr>
    <w:rPr>
      <w:b w:val="1"/>
      <w:i w:val="1"/>
      <w:lang w:eastAsia="zh-CN"/>
    </w:rPr>
  </w:style>
  <w:style w:type="paragraph" w:styleId="GPSL2Indent" w:customStyle="1">
    <w:name w:val="GPS L2 Indent"/>
    <w:basedOn w:val="Standard"/>
    <w:pPr>
      <w:tabs>
        <w:tab w:val="left" w:pos="4536"/>
      </w:tabs>
      <w:spacing w:after="220"/>
      <w:ind w:left="1134"/>
    </w:pPr>
    <w:rPr>
      <w:szCs w:val="24"/>
    </w:rPr>
  </w:style>
  <w:style w:type="paragraph" w:styleId="GPSL4Guidance" w:customStyle="1">
    <w:name w:val="GPS L4 Guidance"/>
    <w:basedOn w:val="Standard"/>
    <w:pPr>
      <w:tabs>
        <w:tab w:val="left" w:pos="3970"/>
      </w:tabs>
      <w:overflowPunct w:val="0"/>
      <w:spacing w:after="120" w:before="120"/>
      <w:ind w:left="1985"/>
    </w:pPr>
    <w:rPr>
      <w:b w:val="1"/>
      <w:i w:val="1"/>
      <w:lang w:eastAsia="zh-CN"/>
    </w:rPr>
  </w:style>
  <w:style w:type="paragraph" w:styleId="GPSL2non-numberboldheading" w:customStyle="1">
    <w:name w:val="GPS L2 non-number bold heading"/>
    <w:basedOn w:val="GPSL2NumberedBoldHeading"/>
    <w:pPr>
      <w:ind w:left="1134"/>
    </w:pPr>
  </w:style>
  <w:style w:type="paragraph" w:styleId="CommentText">
    <w:name w:val="annotation text"/>
    <w:basedOn w:val="Standard"/>
    <w:rPr>
      <w:sz w:val="20"/>
      <w:szCs w:val="20"/>
    </w:rPr>
  </w:style>
  <w:style w:type="paragraph" w:styleId="CommentSubject">
    <w:name w:val="annotation subject"/>
    <w:basedOn w:val="CommentText"/>
    <w:rPr>
      <w:b w:val="1"/>
      <w:bCs w:val="1"/>
    </w:rPr>
  </w:style>
  <w:style w:type="character" w:styleId="HeaderChar" w:customStyle="1">
    <w:name w:val="Header Char"/>
    <w:basedOn w:val="DefaultParagraphFont"/>
  </w:style>
  <w:style w:type="character" w:styleId="FooterChar" w:customStyle="1">
    <w:name w:val="Footer Char"/>
    <w:basedOn w:val="DefaultParagraphFont"/>
    <w:uiPriority w:val="99"/>
  </w:style>
  <w:style w:type="character" w:styleId="Emphasis">
    <w:name w:val="Emphasis"/>
    <w:basedOn w:val="DefaultParagraphFont"/>
    <w:rPr>
      <w:i w:val="1"/>
      <w:iCs w:val="1"/>
    </w:rPr>
  </w:style>
  <w:style w:type="character" w:styleId="MarginTextChar" w:customStyle="1">
    <w:name w:val="Margin Text Char"/>
    <w:rPr>
      <w:rFonts w:ascii="Calibri" w:cs="Times New Roman" w:eastAsia="STZhongsong" w:hAnsi="Calibri"/>
      <w:szCs w:val="18"/>
      <w:lang w:eastAsia="zh-CN"/>
    </w:rPr>
  </w:style>
  <w:style w:type="character" w:styleId="GPSL2NumberedChar" w:customStyle="1">
    <w:name w:val="GPS L2 Numbered Char"/>
    <w:rPr>
      <w:rFonts w:ascii="Calibri" w:cs="Arial" w:eastAsia="Times New Roman" w:hAnsi="Calibri"/>
      <w:lang w:eastAsia="zh-CN"/>
    </w:rPr>
  </w:style>
  <w:style w:type="character" w:styleId="GPSL1SCHEDULEHeadingChar" w:customStyle="1">
    <w:name w:val="GPS L1 SCHEDULE Heading Char"/>
    <w:rPr>
      <w:rFonts w:ascii="Calibri" w:cs="Arial" w:eastAsia="STZhongsong" w:hAnsi="Calibri"/>
      <w:b w:val="1"/>
      <w:caps w:val="1"/>
      <w:lang w:eastAsia="zh-CN"/>
    </w:rPr>
  </w:style>
  <w:style w:type="character" w:styleId="GPSL1SchedulenumberedChar1" w:customStyle="1">
    <w:name w:val="GPS L1 Schedule numbered Char1"/>
    <w:rPr>
      <w:rFonts w:ascii="Calibri" w:cs="Arial" w:eastAsia="Times New Roman" w:hAnsi="Calibri"/>
    </w:rPr>
  </w:style>
  <w:style w:type="character" w:styleId="GPSL1GuidanceChar" w:customStyle="1">
    <w:name w:val="GPS L1 Guidance Char"/>
    <w:rPr>
      <w:rFonts w:ascii="Calibri" w:cs="Arial" w:eastAsia="Times New Roman" w:hAnsi="Calibri"/>
      <w:b w:val="1"/>
      <w:i w:val="1"/>
    </w:rPr>
  </w:style>
  <w:style w:type="character" w:styleId="GPSSchTitleandNumberChar" w:customStyle="1">
    <w:name w:val="GPS Sch Title and Number Char"/>
    <w:rPr>
      <w:rFonts w:ascii="Arial Bold" w:cs="Times New Roman" w:eastAsia="STZhongsong" w:hAnsi="Arial Bold"/>
      <w:b w:val="1"/>
      <w:caps w:val="1"/>
      <w:lang w:eastAsia="zh-CN"/>
    </w:rPr>
  </w:style>
  <w:style w:type="character" w:styleId="GPSSchPartChar" w:customStyle="1">
    <w:name w:val="GPS Sch Part Char"/>
    <w:rPr>
      <w:rFonts w:ascii="Arial Bold" w:cs="Times New Roman" w:eastAsia="STZhongsong" w:hAnsi="Arial Bold"/>
      <w:b w:val="1"/>
      <w:caps w:val="1"/>
      <w:lang w:eastAsia="zh-CN"/>
    </w:rPr>
  </w:style>
  <w:style w:type="character" w:styleId="BalloonTextChar" w:customStyle="1">
    <w:name w:val="Balloon Text Char"/>
    <w:basedOn w:val="DefaultParagraphFont"/>
    <w:rPr>
      <w:rFonts w:ascii="Tahoma" w:cs="Tahoma" w:eastAsia="Times New Roman" w:hAnsi="Tahoma"/>
      <w:sz w:val="16"/>
      <w:szCs w:val="16"/>
    </w:rPr>
  </w:style>
  <w:style w:type="character" w:styleId="GPSL4numberedclauseChar" w:customStyle="1">
    <w:name w:val="GPS L4 numbered clause Char"/>
    <w:rPr>
      <w:rFonts w:ascii="Calibri" w:cs="Arial" w:eastAsia="Times New Roman" w:hAnsi="Calibri"/>
      <w:lang w:eastAsia="zh-CN"/>
    </w:rPr>
  </w:style>
  <w:style w:type="character" w:styleId="GPSL3numberedclauseChar" w:customStyle="1">
    <w:name w:val="GPS L3 numbered clause Char"/>
    <w:rPr>
      <w:rFonts w:ascii="Calibri" w:cs="Arial" w:eastAsia="Times New Roman" w:hAnsi="Calibri"/>
      <w:lang w:eastAsia="zh-CN"/>
    </w:rPr>
  </w:style>
  <w:style w:type="character" w:styleId="GPSL5numberedclauseChar" w:customStyle="1">
    <w:name w:val="GPS L5 numbered clause Char"/>
    <w:rPr>
      <w:rFonts w:ascii="Calibri" w:cs="Arial" w:eastAsia="Times New Roman" w:hAnsi="Calibri"/>
      <w:lang w:eastAsia="zh-CN"/>
    </w:rPr>
  </w:style>
  <w:style w:type="character" w:styleId="GPSL4GuidanceChar" w:customStyle="1">
    <w:name w:val="GPS L4 Guidance Char"/>
    <w:rPr>
      <w:rFonts w:ascii="Calibri" w:cs="Arial" w:eastAsia="Times New Roman" w:hAnsi="Calibri"/>
      <w:b w:val="1"/>
      <w:i w:val="1"/>
      <w:lang w:eastAsia="zh-CN"/>
    </w:rPr>
  </w:style>
  <w:style w:type="character" w:styleId="GPSL2non-numberboldheadingChar" w:customStyle="1">
    <w:name w:val="GPS L2 non-number bold heading Char"/>
    <w:rPr>
      <w:rFonts w:ascii="Calibri" w:cs="Arial" w:eastAsia="Times New Roman" w:hAnsi="Calibri"/>
      <w:b w:val="1"/>
      <w:lang w:eastAsia="zh-CN"/>
    </w:rPr>
  </w:style>
  <w:style w:type="character" w:styleId="GPSL2IndentChar" w:customStyle="1">
    <w:name w:val="GPS L2 Indent Char"/>
    <w:rPr>
      <w:rFonts w:ascii="Calibri" w:cs="Arial" w:eastAsia="Times New Roman" w:hAnsi="Calibri"/>
      <w:szCs w:val="24"/>
    </w:rPr>
  </w:style>
  <w:style w:type="character" w:styleId="GPSL2GuidanceChar" w:customStyle="1">
    <w:name w:val="GPS L2 Guidance Char"/>
    <w:rPr>
      <w:rFonts w:ascii="Calibri" w:cs="Arial" w:eastAsia="Times New Roman" w:hAnsi="Calibri"/>
      <w:b w:val="1"/>
      <w:i w:val="1"/>
      <w:lang w:eastAsia="zh-CN"/>
    </w:rPr>
  </w:style>
  <w:style w:type="character" w:styleId="CommentReference">
    <w:name w:val="annotation reference"/>
    <w:basedOn w:val="DefaultParagraphFont"/>
    <w:rPr>
      <w:sz w:val="16"/>
      <w:szCs w:val="16"/>
    </w:rPr>
  </w:style>
  <w:style w:type="character" w:styleId="CommentTextChar" w:customStyle="1">
    <w:name w:val="Comment Text Char"/>
    <w:basedOn w:val="DefaultParagraphFont"/>
    <w:rPr>
      <w:rFonts w:ascii="Calibri" w:cs="Arial" w:eastAsia="Times New Roman" w:hAnsi="Calibri"/>
      <w:sz w:val="20"/>
      <w:szCs w:val="20"/>
    </w:rPr>
  </w:style>
  <w:style w:type="character" w:styleId="CommentSubjectChar" w:customStyle="1">
    <w:name w:val="Comment Subject Char"/>
    <w:basedOn w:val="CommentTextChar"/>
    <w:rPr>
      <w:rFonts w:ascii="Calibri" w:cs="Arial" w:eastAsia="Times New Roman" w:hAnsi="Calibri"/>
      <w:b w:val="1"/>
      <w:bCs w:val="1"/>
      <w:sz w:val="20"/>
      <w:szCs w:val="20"/>
    </w:rPr>
  </w:style>
  <w:style w:type="character" w:styleId="ListLabel1" w:customStyle="1">
    <w:name w:val="ListLabel 1"/>
    <w:rPr>
      <w:rFonts w:cs="Arial"/>
      <w:b w:val="1"/>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2" w:customStyle="1">
    <w:name w:val="ListLabel 2"/>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3" w:customStyle="1">
    <w:name w:val="ListLabel 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4" w:customStyle="1">
    <w:name w:val="ListLabel 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5" w:customStyle="1">
    <w:name w:val="ListLabel 5"/>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6" w:customStyle="1">
    <w:name w:val="ListLabel 6"/>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7" w:customStyle="1">
    <w:name w:val="ListLabel 7"/>
    <w:rPr>
      <w:rFonts w:cs="Times New Roman"/>
    </w:rPr>
  </w:style>
  <w:style w:type="character" w:styleId="ListLabel8" w:customStyle="1">
    <w:name w:val="ListLabel 8"/>
    <w:rPr>
      <w:rFonts w:cs="Times New Roman"/>
    </w:rPr>
  </w:style>
  <w:style w:type="character" w:styleId="ListLabel9" w:customStyle="1">
    <w:name w:val="ListLabel 9"/>
    <w:rPr>
      <w:rFonts w:cs="Times New Roman"/>
    </w:rPr>
  </w:style>
  <w:style w:type="character" w:styleId="ListLabel10" w:customStyle="1">
    <w:name w:val="ListLabel 1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11" w:customStyle="1">
    <w:name w:val="ListLabel 11"/>
    <w:rPr>
      <w:rFonts w:cs="Times New Roman"/>
    </w:rPr>
  </w:style>
  <w:style w:type="character" w:styleId="ListLabel12" w:customStyle="1">
    <w:name w:val="ListLabel 12"/>
    <w:rPr>
      <w:rFonts w:cs="Times New Roman"/>
    </w:rPr>
  </w:style>
  <w:style w:type="character" w:styleId="ListLabel13" w:customStyle="1">
    <w:name w:val="ListLabel 13"/>
    <w:rPr>
      <w:rFonts w:cs="Times New Roman"/>
    </w:rPr>
  </w:style>
  <w:style w:type="character" w:styleId="ListLabel14" w:customStyle="1">
    <w:name w:val="ListLabel 14"/>
    <w:rPr>
      <w:rFonts w:cs="Times New Roman"/>
    </w:rPr>
  </w:style>
  <w:style w:type="character" w:styleId="ListLabel15" w:customStyle="1">
    <w:name w:val="ListLabel 15"/>
    <w:rPr>
      <w:rFonts w:cs="Times New Roman"/>
    </w:rPr>
  </w:style>
  <w:style w:type="character" w:styleId="ListLabel16" w:customStyle="1">
    <w:name w:val="ListLabel 16"/>
    <w:rPr>
      <w:rFonts w:cs="Times New Roman"/>
    </w:rPr>
  </w:style>
  <w:style w:type="character" w:styleId="ListLabel17" w:customStyle="1">
    <w:name w:val="ListLabel 17"/>
    <w:rPr>
      <w:rFonts w:cs="Times New Roman"/>
    </w:rPr>
  </w:style>
  <w:style w:type="character" w:styleId="ListLabel18" w:customStyle="1">
    <w:name w:val="ListLabel 18"/>
    <w:rPr>
      <w:rFonts w:cs="Times New Roman"/>
    </w:rPr>
  </w:style>
  <w:style w:type="character" w:styleId="ListLabel19" w:customStyle="1">
    <w:name w:val="ListLabel 1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20" w:customStyle="1">
    <w:name w:val="ListLabel 20"/>
    <w:rPr>
      <w:rFonts w:cs="Times New Roman"/>
    </w:rPr>
  </w:style>
  <w:style w:type="character" w:styleId="ListLabel21" w:customStyle="1">
    <w:name w:val="ListLabel 21"/>
    <w:rPr>
      <w:rFonts w:cs="Times New Roman"/>
    </w:rPr>
  </w:style>
  <w:style w:type="character" w:styleId="ListLabel22" w:customStyle="1">
    <w:name w:val="ListLabel 22"/>
    <w:rPr>
      <w:rFonts w:cs="Times New Roman"/>
    </w:rPr>
  </w:style>
  <w:style w:type="character" w:styleId="ListLabel23" w:customStyle="1">
    <w:name w:val="ListLabel 23"/>
    <w:rPr>
      <w:rFonts w:cs="Times New Roman"/>
    </w:rPr>
  </w:style>
  <w:style w:type="character" w:styleId="ListLabel24" w:customStyle="1">
    <w:name w:val="ListLabel 24"/>
    <w:rPr>
      <w:rFonts w:cs="Times New Roman"/>
    </w:rPr>
  </w:style>
  <w:style w:type="character" w:styleId="ListLabel25" w:customStyle="1">
    <w:name w:val="ListLabel 25"/>
    <w:rPr>
      <w:rFonts w:cs="Times New Roman"/>
    </w:rPr>
  </w:style>
  <w:style w:type="character" w:styleId="ListLabel26" w:customStyle="1">
    <w:name w:val="ListLabel 26"/>
    <w:rPr>
      <w:rFonts w:cs="Times New Roman"/>
    </w:rPr>
  </w:style>
  <w:style w:type="character" w:styleId="ListLabel27" w:customStyle="1">
    <w:name w:val="ListLabel 27"/>
    <w:rPr>
      <w:rFonts w:cs="Times New Roman"/>
    </w:rPr>
  </w:style>
  <w:style w:type="character" w:styleId="ListLabel28" w:customStyle="1">
    <w:name w:val="ListLabel 28"/>
    <w:rPr>
      <w:rFonts w:cs="Arial"/>
      <w:b w:val="1"/>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29" w:customStyle="1">
    <w:name w:val="ListLabel 2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30" w:customStyle="1">
    <w:name w:val="ListLabel 3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31" w:customStyle="1">
    <w:name w:val="ListLabel 31"/>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32" w:customStyle="1">
    <w:name w:val="ListLabel 32"/>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33" w:customStyle="1">
    <w:name w:val="ListLabel 33"/>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34" w:customStyle="1">
    <w:name w:val="ListLabel 34"/>
    <w:rPr>
      <w:rFonts w:cs="Times New Roman"/>
    </w:rPr>
  </w:style>
  <w:style w:type="character" w:styleId="ListLabel35" w:customStyle="1">
    <w:name w:val="ListLabel 35"/>
    <w:rPr>
      <w:rFonts w:cs="Times New Roman"/>
    </w:rPr>
  </w:style>
  <w:style w:type="character" w:styleId="ListLabel36" w:customStyle="1">
    <w:name w:val="ListLabel 36"/>
    <w:rPr>
      <w:rFonts w:cs="Times New Roman"/>
    </w:rPr>
  </w:style>
  <w:style w:type="character" w:styleId="ListLabel37" w:customStyle="1">
    <w:name w:val="ListLabel 37"/>
    <w:rPr>
      <w:rFonts w:cs="Arial"/>
      <w:b w:val="1"/>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38" w:customStyle="1">
    <w:name w:val="ListLabel 3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39" w:customStyle="1">
    <w:name w:val="ListLabel 3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40" w:customStyle="1">
    <w:name w:val="ListLabel 4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41" w:customStyle="1">
    <w:name w:val="ListLabel 41"/>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42" w:customStyle="1">
    <w:name w:val="ListLabel 42"/>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43" w:customStyle="1">
    <w:name w:val="ListLabel 43"/>
    <w:rPr>
      <w:rFonts w:cs="Times New Roman"/>
    </w:rPr>
  </w:style>
  <w:style w:type="character" w:styleId="ListLabel44" w:customStyle="1">
    <w:name w:val="ListLabel 44"/>
    <w:rPr>
      <w:rFonts w:cs="Times New Roman"/>
    </w:rPr>
  </w:style>
  <w:style w:type="character" w:styleId="ListLabel45" w:customStyle="1">
    <w:name w:val="ListLabel 45"/>
    <w:rPr>
      <w:rFonts w:cs="Times New Roman"/>
    </w:rPr>
  </w:style>
  <w:style w:type="character" w:styleId="ListLabel46" w:customStyle="1">
    <w:name w:val="ListLabel 46"/>
    <w:rPr>
      <w:rFonts w:cs="Arial"/>
      <w:b w:val="1"/>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47" w:customStyle="1">
    <w:name w:val="ListLabel 4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48" w:customStyle="1">
    <w:name w:val="ListLabel 4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49" w:customStyle="1">
    <w:name w:val="ListLabel 4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50" w:customStyle="1">
    <w:name w:val="ListLabel 50"/>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51" w:customStyle="1">
    <w:name w:val="ListLabel 51"/>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52" w:customStyle="1">
    <w:name w:val="ListLabel 52"/>
    <w:rPr>
      <w:rFonts w:cs="Times New Roman"/>
    </w:rPr>
  </w:style>
  <w:style w:type="character" w:styleId="ListLabel53" w:customStyle="1">
    <w:name w:val="ListLabel 53"/>
    <w:rPr>
      <w:rFonts w:cs="Times New Roman"/>
    </w:rPr>
  </w:style>
  <w:style w:type="character" w:styleId="ListLabel54" w:customStyle="1">
    <w:name w:val="ListLabel 54"/>
    <w:rPr>
      <w:rFonts w:cs="Times New Roman"/>
    </w:rPr>
  </w:style>
  <w:style w:type="character" w:styleId="ListLabel55" w:customStyle="1">
    <w:name w:val="ListLabel 55"/>
    <w:rPr>
      <w:rFonts w:cs="Arial"/>
      <w:b w:val="1"/>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56" w:customStyle="1">
    <w:name w:val="ListLabel 5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57" w:customStyle="1">
    <w:name w:val="ListLabel 5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58" w:customStyle="1">
    <w:name w:val="ListLabel 5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59" w:customStyle="1">
    <w:name w:val="ListLabel 59"/>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60" w:customStyle="1">
    <w:name w:val="ListLabel 60"/>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61" w:customStyle="1">
    <w:name w:val="ListLabel 61"/>
    <w:rPr>
      <w:rFonts w:cs="Times New Roman"/>
    </w:rPr>
  </w:style>
  <w:style w:type="character" w:styleId="ListLabel62" w:customStyle="1">
    <w:name w:val="ListLabel 62"/>
    <w:rPr>
      <w:rFonts w:cs="Times New Roman"/>
    </w:rPr>
  </w:style>
  <w:style w:type="character" w:styleId="ListLabel63" w:customStyle="1">
    <w:name w:val="ListLabel 63"/>
    <w:rPr>
      <w:rFonts w:cs="Times New Roman"/>
    </w:rPr>
  </w:style>
  <w:style w:type="character" w:styleId="ListLabel64" w:customStyle="1">
    <w:name w:val="ListLabel 64"/>
    <w:rPr>
      <w:rFonts w:cs="Courier New"/>
      <w:b w:val="0"/>
    </w:rPr>
  </w:style>
  <w:style w:type="character" w:styleId="ListLabel65" w:customStyle="1">
    <w:name w:val="ListLabel 65"/>
    <w:rPr>
      <w:rFonts w:cs="Courier New"/>
    </w:rPr>
  </w:style>
  <w:style w:type="character" w:styleId="ListLabel66" w:customStyle="1">
    <w:name w:val="ListLabel 66"/>
    <w:rPr>
      <w:rFonts w:cs="Courier New"/>
    </w:rPr>
  </w:style>
  <w:style w:type="character" w:styleId="ListLabel67" w:customStyle="1">
    <w:name w:val="ListLabel 67"/>
    <w:rPr>
      <w:rFonts w:cs="Courier New"/>
    </w:rPr>
  </w:style>
  <w:style w:type="character" w:styleId="ListLabel68" w:customStyle="1">
    <w:name w:val="ListLabel 68"/>
    <w:rPr>
      <w:rFonts w:cs="Courier New"/>
    </w:rPr>
  </w:style>
  <w:style w:type="character" w:styleId="ListLabel69" w:customStyle="1">
    <w:name w:val="ListLabel 69"/>
    <w:rPr>
      <w:rFonts w:cs="Courier New"/>
    </w:rPr>
  </w:style>
  <w:style w:type="character" w:styleId="ListLabel70" w:customStyle="1">
    <w:name w:val="ListLabel 70"/>
    <w:rPr>
      <w:rFonts w:cs="Courier New"/>
    </w:rPr>
  </w:style>
  <w:style w:type="character" w:styleId="ListLabel71" w:customStyle="1">
    <w:name w:val="ListLabel 71"/>
    <w:rPr>
      <w:rFonts w:cs="Courier New"/>
    </w:rPr>
  </w:style>
  <w:style w:type="character" w:styleId="ListLabel72" w:customStyle="1">
    <w:name w:val="ListLabel 72"/>
    <w:rPr>
      <w:rFonts w:cs="Courier New"/>
    </w:rPr>
  </w:style>
  <w:style w:type="character" w:styleId="ListLabel73" w:customStyle="1">
    <w:name w:val="ListLabel 73"/>
    <w:rPr>
      <w:rFonts w:cs="Arial"/>
      <w:b w:val="1"/>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74" w:customStyle="1">
    <w:name w:val="ListLabel 7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75" w:customStyle="1">
    <w:name w:val="ListLabel 7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76" w:customStyle="1">
    <w:name w:val="ListLabel 7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77" w:customStyle="1">
    <w:name w:val="ListLabel 77"/>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78" w:customStyle="1">
    <w:name w:val="ListLabel 78"/>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79" w:customStyle="1">
    <w:name w:val="ListLabel 79"/>
    <w:rPr>
      <w:rFonts w:cs="Times New Roman"/>
    </w:rPr>
  </w:style>
  <w:style w:type="character" w:styleId="ListLabel80" w:customStyle="1">
    <w:name w:val="ListLabel 80"/>
    <w:rPr>
      <w:rFonts w:cs="Times New Roman"/>
    </w:rPr>
  </w:style>
  <w:style w:type="character" w:styleId="ListLabel81" w:customStyle="1">
    <w:name w:val="ListLabel 81"/>
    <w:rPr>
      <w:rFonts w:cs="Times New Roman"/>
    </w:rPr>
  </w:style>
  <w:style w:type="character" w:styleId="ListLabel82" w:customStyle="1">
    <w:name w:val="ListLabel 82"/>
    <w:rPr>
      <w:rFonts w:cs="Arial"/>
      <w:b w:val="1"/>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83" w:customStyle="1">
    <w:name w:val="ListLabel 8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84" w:customStyle="1">
    <w:name w:val="ListLabel 8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85" w:customStyle="1">
    <w:name w:val="ListLabel 8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86" w:customStyle="1">
    <w:name w:val="ListLabel 86"/>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87" w:customStyle="1">
    <w:name w:val="ListLabel 87"/>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88" w:customStyle="1">
    <w:name w:val="ListLabel 88"/>
    <w:rPr>
      <w:rFonts w:cs="Times New Roman"/>
    </w:rPr>
  </w:style>
  <w:style w:type="character" w:styleId="ListLabel89" w:customStyle="1">
    <w:name w:val="ListLabel 89"/>
    <w:rPr>
      <w:rFonts w:cs="Times New Roman"/>
    </w:rPr>
  </w:style>
  <w:style w:type="character" w:styleId="ListLabel90" w:customStyle="1">
    <w:name w:val="ListLabel 90"/>
    <w:rPr>
      <w:rFonts w:cs="Times New Roman"/>
    </w:rPr>
  </w:style>
  <w:style w:type="numbering" w:styleId="NoList1" w:customStyle="1">
    <w:name w:val="No List_1"/>
    <w:basedOn w:val="NoList"/>
  </w:style>
  <w:style w:type="numbering" w:styleId="WWNum1" w:customStyle="1">
    <w:name w:val="WWNum1"/>
    <w:basedOn w:val="NoList"/>
  </w:style>
  <w:style w:type="numbering" w:styleId="WWNum2" w:customStyle="1">
    <w:name w:val="WWNum2"/>
    <w:basedOn w:val="NoList"/>
  </w:style>
  <w:style w:type="numbering" w:styleId="WWNum3" w:customStyle="1">
    <w:name w:val="WWNum3"/>
    <w:basedOn w:val="NoList"/>
  </w:style>
  <w:style w:type="numbering" w:styleId="WWNum4" w:customStyle="1">
    <w:name w:val="WWNum4"/>
    <w:basedOn w:val="NoList"/>
  </w:style>
  <w:style w:type="numbering" w:styleId="WWNum5" w:customStyle="1">
    <w:name w:val="WWNum5"/>
    <w:basedOn w:val="NoList"/>
  </w:style>
  <w:style w:type="numbering" w:styleId="WWNum6" w:customStyle="1">
    <w:name w:val="WWNum6"/>
    <w:basedOn w:val="NoList"/>
  </w:style>
  <w:style w:type="numbering" w:styleId="WWNum7" w:customStyle="1">
    <w:name w:val="WWNum7"/>
    <w:basedOn w:val="NoList"/>
  </w:style>
  <w:style w:type="numbering" w:styleId="WWNum8" w:customStyle="1">
    <w:name w:val="WWNum8"/>
    <w:basedOn w:val="NoList"/>
  </w:style>
  <w:style w:type="numbering" w:styleId="WWNum9" w:customStyle="1">
    <w:name w:val="WWNum9"/>
    <w:basedOn w:val="NoList"/>
  </w:style>
  <w:style w:type="numbering" w:styleId="WWNum10" w:customStyle="1">
    <w:name w:val="WWNum10"/>
    <w:basedOn w:val="NoList"/>
    <w:pPr>
      <w:numPr>
        <w:numId w:val="17"/>
      </w:numPr>
    </w:pPr>
  </w:style>
  <w:style w:type="numbering" w:styleId="WWNum11" w:customStyle="1">
    <w:name w:val="WWNum11"/>
    <w:basedOn w:val="NoList"/>
  </w:style>
  <w:style w:type="numbering" w:styleId="WWNum12" w:customStyle="1">
    <w:name w:val="WWNum12"/>
    <w:basedOn w:val="NoList"/>
  </w:style>
  <w:style w:type="numbering" w:styleId="WWNum13" w:customStyle="1">
    <w:name w:val="WWNum13"/>
    <w:basedOn w:val="NoList"/>
  </w:style>
  <w:style w:type="table" w:styleId="TableGrid">
    <w:name w:val="Table Grid"/>
    <w:basedOn w:val="TableNormal"/>
    <w:uiPriority w:val="39"/>
    <w:rsid w:val="007A5C9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AMainHeading" w:customStyle="1">
    <w:name w:val="FA: Main Heading"/>
    <w:basedOn w:val="Heading1"/>
    <w:qFormat w:val="1"/>
    <w:rsid w:val="00532FDD"/>
    <w:pPr>
      <w:numPr>
        <w:numId w:val="15"/>
      </w:numPr>
      <w:tabs>
        <w:tab w:val="num" w:pos="360"/>
      </w:tabs>
      <w:spacing w:after="20" w:before="20"/>
      <w:ind w:left="0" w:firstLine="0"/>
    </w:pPr>
    <w:rPr>
      <w:rFonts w:ascii="Arial" w:cs="Arial" w:eastAsia="Calibri" w:hAnsi="Arial"/>
      <w:b w:val="1"/>
      <w:color w:val="auto"/>
      <w:sz w:val="22"/>
      <w:szCs w:val="36"/>
    </w:rPr>
  </w:style>
  <w:style w:type="paragraph" w:styleId="FALevel1" w:customStyle="1">
    <w:name w:val="FA: Level 1"/>
    <w:basedOn w:val="Normal"/>
    <w:link w:val="FALevel1Char"/>
    <w:qFormat w:val="1"/>
    <w:rsid w:val="00532FDD"/>
    <w:pPr>
      <w:widowControl w:val="1"/>
      <w:numPr>
        <w:ilvl w:val="1"/>
        <w:numId w:val="15"/>
      </w:numPr>
      <w:spacing w:after="280" w:before="120" w:line="259" w:lineRule="auto"/>
    </w:pPr>
    <w:rPr>
      <w:rFonts w:ascii="Arial" w:cs="Arial" w:hAnsi="Arial" w:eastAsiaTheme="minorHAnsi"/>
    </w:rPr>
  </w:style>
  <w:style w:type="character" w:styleId="FALevel1Char" w:customStyle="1">
    <w:name w:val="FA: Level 1 Char"/>
    <w:basedOn w:val="DefaultParagraphFont"/>
    <w:link w:val="FALevel1"/>
    <w:rsid w:val="00532FDD"/>
    <w:rPr>
      <w:rFonts w:ascii="Arial" w:cs="Arial" w:hAnsi="Arial" w:eastAsiaTheme="minorHAnsi"/>
    </w:rPr>
  </w:style>
  <w:style w:type="paragraph" w:styleId="FALevel2" w:customStyle="1">
    <w:name w:val="FA: Level 2"/>
    <w:basedOn w:val="Normal"/>
    <w:link w:val="FALevel2Char"/>
    <w:qFormat w:val="1"/>
    <w:rsid w:val="00532FDD"/>
    <w:pPr>
      <w:widowControl w:val="1"/>
      <w:numPr>
        <w:ilvl w:val="2"/>
        <w:numId w:val="15"/>
      </w:numPr>
      <w:spacing w:after="280" w:before="120" w:line="259" w:lineRule="auto"/>
    </w:pPr>
    <w:rPr>
      <w:rFonts w:ascii="Arial" w:cs="Arial" w:hAnsi="Arial" w:eastAsiaTheme="minorHAnsi"/>
    </w:rPr>
  </w:style>
  <w:style w:type="character" w:styleId="FALevel2Char" w:customStyle="1">
    <w:name w:val="FA: Level 2 Char"/>
    <w:basedOn w:val="DefaultParagraphFont"/>
    <w:link w:val="FALevel2"/>
    <w:rsid w:val="00532FDD"/>
    <w:rPr>
      <w:rFonts w:ascii="Arial" w:cs="Arial" w:hAnsi="Arial" w:eastAsiaTheme="minorHAnsi"/>
    </w:rPr>
  </w:style>
  <w:style w:type="character" w:styleId="Heading1Char" w:customStyle="1">
    <w:name w:val="Heading 1 Char"/>
    <w:basedOn w:val="DefaultParagraphFont"/>
    <w:link w:val="Heading1"/>
    <w:uiPriority w:val="9"/>
    <w:rsid w:val="00532FDD"/>
    <w:rPr>
      <w:rFonts w:asciiTheme="majorHAnsi" w:cstheme="majorBidi" w:eastAsiaTheme="majorEastAsia" w:hAnsiTheme="majorHAnsi"/>
      <w:color w:val="2f5496" w:themeColor="accent1" w:themeShade="0000BF"/>
      <w:sz w:val="32"/>
      <w:szCs w:val="32"/>
    </w:rPr>
  </w:style>
  <w:style w:type="paragraph" w:styleId="FABulletPoints" w:customStyle="1">
    <w:name w:val="FA: Bullet Points"/>
    <w:basedOn w:val="Normal"/>
    <w:link w:val="FABulletPointsChar"/>
    <w:qFormat w:val="1"/>
    <w:rsid w:val="00532FDD"/>
    <w:pPr>
      <w:widowControl w:val="1"/>
      <w:tabs>
        <w:tab w:val="num" w:pos="720"/>
      </w:tabs>
      <w:ind w:left="720" w:hanging="720"/>
    </w:pPr>
    <w:rPr>
      <w:rFonts w:ascii="Arial" w:cs="Arial" w:hAnsi="Arial" w:eastAsiaTheme="minorHAnsi"/>
    </w:rPr>
  </w:style>
  <w:style w:type="character" w:styleId="FABulletPointsChar" w:customStyle="1">
    <w:name w:val="FA: Bullet Points Char"/>
    <w:basedOn w:val="DefaultParagraphFont"/>
    <w:link w:val="FABulletPoints"/>
    <w:rsid w:val="00532FDD"/>
    <w:rPr>
      <w:rFonts w:ascii="Arial" w:cs="Arial" w:hAnsi="Arial" w:eastAsiaTheme="minorHAnsi"/>
    </w:rPr>
  </w:style>
  <w:style w:type="paragraph" w:styleId="Revision">
    <w:name w:val="Revision"/>
    <w:hidden w:val="1"/>
    <w:uiPriority w:val="99"/>
    <w:semiHidden w:val="1"/>
    <w:rsid w:val="00CE0EDB"/>
    <w:pPr>
      <w:widowControl w:val="1"/>
    </w:p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5soO/NqmmOCGnNsfmX7BN1wBaA==">CgMxLjAyCWguMzBqMHpsbDIJaC4xZm9iOXRlMgloLjN6bnlzaDcyCWguMmV0OTJwMDIIaC50eWpjd3QyCWguM2R5NnZrbTIJaC4xdDNoNXNmMgloLjNyZGNyam4yCGguZ2pkZ3hzOAByITE3eXdfQlNndDlib1luaTNLNGdCWUtjXzVwcFotNTVYbg==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2020-10-15T09:02:00Z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CurrentVersion">
    <vt:lpwstr>15 November 2017 D1V4</vt:lpwstr>
  </property>
</Properties>
</file>