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bookmarkStart w:colFirst="0" w:colLast="0" w:name="_heading=h.2et92p0" w:id="0"/>
      <w:bookmarkEnd w:id="0"/>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3">
      <w:pPr>
        <w:numPr>
          <w:ilvl w:val="1"/>
          <w:numId w:val="1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4">
      <w:pPr>
        <w:numPr>
          <w:ilvl w:val="1"/>
          <w:numId w:val="1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5">
      <w:pPr>
        <w:numPr>
          <w:ilvl w:val="1"/>
          <w:numId w:val="1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w:t>
      </w:r>
    </w:p>
    <w:p w:rsidR="00000000" w:rsidDel="00000000" w:rsidP="00000000" w:rsidRDefault="00000000" w:rsidRPr="00000000" w14:paraId="00000006">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singular includes the plural and vice versa;</w:t>
      </w:r>
    </w:p>
    <w:p w:rsidR="00000000" w:rsidDel="00000000" w:rsidP="00000000" w:rsidRDefault="00000000" w:rsidRPr="00000000" w14:paraId="00000007">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p>
    <w:p w:rsidR="00000000" w:rsidDel="00000000" w:rsidP="00000000" w:rsidRDefault="00000000" w:rsidRPr="00000000" w14:paraId="00000008">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09">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p>
    <w:p w:rsidR="00000000" w:rsidDel="00000000" w:rsidP="00000000" w:rsidRDefault="00000000" w:rsidRPr="00000000" w14:paraId="0000000A">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B">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C">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p>
    <w:p w:rsidR="00000000" w:rsidDel="00000000" w:rsidP="00000000" w:rsidRDefault="00000000" w:rsidRPr="00000000" w14:paraId="0000000D">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E">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p>
    <w:p w:rsidR="00000000" w:rsidDel="00000000" w:rsidP="00000000" w:rsidRDefault="00000000" w:rsidRPr="00000000" w14:paraId="0000000F">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p>
    <w:p w:rsidR="00000000" w:rsidDel="00000000" w:rsidP="00000000" w:rsidRDefault="00000000" w:rsidRPr="00000000" w14:paraId="00000010">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p>
    <w:p w:rsidR="00000000" w:rsidDel="00000000" w:rsidP="00000000" w:rsidRDefault="00000000" w:rsidRPr="00000000" w14:paraId="00000011">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w:t>
      </w:r>
    </w:p>
    <w:p w:rsidR="00000000" w:rsidDel="00000000" w:rsidP="00000000" w:rsidRDefault="00000000" w:rsidRPr="00000000" w14:paraId="00000012">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was a reference to (as it has effect from time to time):</w:t>
      </w:r>
    </w:p>
    <w:p w:rsidR="00000000" w:rsidDel="00000000" w:rsidP="00000000" w:rsidRDefault="00000000" w:rsidRPr="00000000" w14:paraId="00000013">
      <w:pPr>
        <w:numPr>
          <w:ilvl w:val="3"/>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000000" w:rsidDel="00000000" w:rsidP="00000000" w:rsidRDefault="00000000" w:rsidRPr="00000000" w14:paraId="00000014">
      <w:pPr>
        <w:numPr>
          <w:ilvl w:val="3"/>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p>
    <w:p w:rsidR="00000000" w:rsidDel="00000000" w:rsidP="00000000" w:rsidRDefault="00000000" w:rsidRPr="00000000" w14:paraId="00000015">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p>
    <w:p w:rsidR="00000000" w:rsidDel="00000000" w:rsidP="00000000" w:rsidRDefault="00000000" w:rsidRPr="00000000" w14:paraId="00000016">
      <w:pPr>
        <w:numPr>
          <w:ilvl w:val="2"/>
          <w:numId w:val="1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p>
    <w:p w:rsidR="00000000" w:rsidDel="00000000" w:rsidP="00000000" w:rsidRDefault="00000000" w:rsidRPr="00000000" w14:paraId="00000017">
      <w:pPr>
        <w:numPr>
          <w:ilvl w:val="1"/>
          <w:numId w:val="1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360"/>
        <w:jc w:val="both"/>
        <w:rPr>
          <w:rFonts w:ascii="Arial" w:cs="Arial" w:eastAsia="Arial" w:hAnsi="Arial"/>
          <w:color w:val="000000"/>
          <w:sz w:val="24"/>
          <w:szCs w:val="24"/>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010"/>
        <w:tblGridChange w:id="0">
          <w:tblGrid>
            <w:gridCol w:w="2070"/>
            <w:gridCol w:w="8010"/>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bookmarkStart w:colFirst="0" w:colLast="0" w:name="_heading=h.3znysh7" w:id="3"/>
            <w:bookmarkEnd w:id="3"/>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A">
            <w:pPr>
              <w:tabs>
                <w:tab w:val="left" w:leader="none" w:pos="-179"/>
                <w:tab w:val="left" w:leader="none" w:pos="-9"/>
              </w:tabs>
              <w:ind w:left="141.73228346456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Test, to successfully pass such Test without any Test Issues and in respect of a Milestone, the issue of a Satisfaction Certificate in respect of that Milestone and "Achieved", "Achieving" and "Achievement" shall be construed accordingly;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Insurances"</w:t>
            </w:r>
          </w:p>
        </w:tc>
        <w:tc>
          <w:tcPr/>
          <w:p w:rsidR="00000000" w:rsidDel="00000000" w:rsidP="00000000" w:rsidRDefault="00000000" w:rsidRPr="00000000" w14:paraId="0000001C">
            <w:pPr>
              <w:tabs>
                <w:tab w:val="left" w:leader="none" w:pos="-179"/>
                <w:tab w:val="left" w:leader="none" w:pos="-9"/>
              </w:tabs>
              <w:ind w:left="141.73228346456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insurance requirements relating to a Call-Off Contract specified in the Order Form additional to those outlined in Joint Schedule 3 (Insurance Requirements); </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1E">
            <w:pPr>
              <w:tabs>
                <w:tab w:val="left" w:leader="none" w:pos="-179"/>
                <w:tab w:val="left" w:leader="none" w:pos="-9"/>
              </w:tabs>
              <w:ind w:left="141.73228346456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0">
            <w:pPr>
              <w:tabs>
                <w:tab w:val="left" w:leader="none" w:pos="-179"/>
                <w:tab w:val="left" w:leader="none" w:pos="135"/>
              </w:tabs>
              <w:ind w:firstLine="141.7322834645671"/>
              <w:rPr>
                <w:rFonts w:ascii="Arial" w:cs="Arial" w:eastAsia="Arial" w:hAnsi="Arial"/>
                <w:sz w:val="24"/>
                <w:szCs w:val="24"/>
              </w:rPr>
            </w:pPr>
            <w:r w:rsidDel="00000000" w:rsidR="00000000" w:rsidRPr="00000000">
              <w:rPr>
                <w:rFonts w:ascii="Arial" w:cs="Arial" w:eastAsia="Arial" w:hAnsi="Arial"/>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2">
            <w:pPr>
              <w:tabs>
                <w:tab w:val="left" w:leader="none" w:pos="-179"/>
                <w:tab w:val="left" w:leader="none" w:pos="135"/>
              </w:tabs>
              <w:ind w:left="141.73228346456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4">
            <w:pPr>
              <w:tabs>
                <w:tab w:val="left" w:leader="none" w:pos="-179"/>
                <w:tab w:val="left" w:leader="none" w:pos="135"/>
              </w:tabs>
              <w:ind w:left="141.73228346456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26">
            <w:pPr>
              <w:tabs>
                <w:tab w:val="left" w:leader="none" w:pos="-179"/>
                <w:tab w:val="left" w:leader="none" w:pos="135"/>
              </w:tabs>
              <w:ind w:left="141.73228346456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prior written consent of the Buyer and "Approve" and "Approved" shall be construed accordingly;</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“Associates”</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r w:rsidDel="00000000" w:rsidR="00000000" w:rsidRPr="00000000">
              <w:rPr>
                <w:rtl w:val="0"/>
              </w:rPr>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2B">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C">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D">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Open Book Data;</w:t>
            </w:r>
          </w:p>
          <w:p w:rsidR="00000000" w:rsidDel="00000000" w:rsidP="00000000" w:rsidRDefault="00000000" w:rsidRPr="00000000" w14:paraId="0000002E">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Supplier’s and each Subcontractor’s compliance with the Contract and applicable Law;</w:t>
            </w:r>
          </w:p>
          <w:p w:rsidR="00000000" w:rsidDel="00000000" w:rsidP="00000000" w:rsidRDefault="00000000" w:rsidRPr="00000000" w14:paraId="0000002F">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30">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31">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2">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3">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4">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5">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37">
            <w:pPr>
              <w:numPr>
                <w:ilvl w:val="0"/>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501" w:hanging="33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internal and external auditors;</w:t>
            </w:r>
          </w:p>
          <w:p w:rsidR="00000000" w:rsidDel="00000000" w:rsidP="00000000" w:rsidRDefault="00000000" w:rsidRPr="00000000" w14:paraId="00000038">
            <w:pPr>
              <w:numPr>
                <w:ilvl w:val="0"/>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statutory or regulatory auditors;</w:t>
            </w:r>
          </w:p>
          <w:p w:rsidR="00000000" w:rsidDel="00000000" w:rsidP="00000000" w:rsidRDefault="00000000" w:rsidRPr="00000000" w14:paraId="00000039">
            <w:pPr>
              <w:numPr>
                <w:ilvl w:val="0"/>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3A">
            <w:pPr>
              <w:numPr>
                <w:ilvl w:val="0"/>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or the Cabinet Office;</w:t>
            </w:r>
          </w:p>
          <w:p w:rsidR="00000000" w:rsidDel="00000000" w:rsidP="00000000" w:rsidRDefault="00000000" w:rsidRPr="00000000" w14:paraId="0000003B">
            <w:pPr>
              <w:numPr>
                <w:ilvl w:val="0"/>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party formally appointed by the Relevant Authority to carry out audit or similar review functions; and</w:t>
            </w:r>
          </w:p>
          <w:p w:rsidR="00000000" w:rsidDel="00000000" w:rsidP="00000000" w:rsidRDefault="00000000" w:rsidRPr="00000000" w14:paraId="0000003C">
            <w:pPr>
              <w:numPr>
                <w:ilvl w:val="0"/>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   CCS and each Buyer;</w:t>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"Business Continuity Plan"</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1.3.2 of Call-Off Schedule 8;</w:t>
            </w:r>
            <w:r w:rsidDel="00000000" w:rsidR="00000000" w:rsidRPr="00000000">
              <w:rPr>
                <w:rtl w:val="0"/>
              </w:rPr>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w:t>
            </w:r>
            <w:r w:rsidDel="00000000" w:rsidR="00000000" w:rsidRPr="00000000">
              <w:rPr>
                <w:rFonts w:ascii="Arial" w:cs="Arial" w:eastAsia="Arial" w:hAnsi="Arial"/>
                <w:sz w:val="24"/>
                <w:szCs w:val="24"/>
                <w:rtl w:val="0"/>
              </w:rPr>
              <w:t xml:space="preserve">subcategories</w:t>
            </w:r>
            <w:r w:rsidDel="00000000" w:rsidR="00000000" w:rsidRPr="00000000">
              <w:rPr>
                <w:rFonts w:ascii="Arial" w:cs="Arial" w:eastAsia="Arial" w:hAnsi="Arial"/>
                <w:color w:val="000000"/>
                <w:sz w:val="24"/>
                <w:szCs w:val="24"/>
                <w:rtl w:val="0"/>
              </w:rPr>
              <w:t xml:space="preserve"> of the Central Government classification of the Public Sector Classification Guide, as published and amended from time to time by the Office for National Statistics:</w:t>
            </w:r>
          </w:p>
          <w:p w:rsidR="00000000" w:rsidDel="00000000" w:rsidP="00000000" w:rsidRDefault="00000000" w:rsidRPr="00000000" w14:paraId="00000069">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Department;</w:t>
            </w:r>
          </w:p>
          <w:p w:rsidR="00000000" w:rsidDel="00000000" w:rsidP="00000000" w:rsidRDefault="00000000" w:rsidRPr="00000000" w14:paraId="0000006A">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p>
          <w:p w:rsidR="00000000" w:rsidDel="00000000" w:rsidP="00000000" w:rsidRDefault="00000000" w:rsidRPr="00000000" w14:paraId="0000006B">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Non-Ministerial Department; or</w:t>
            </w:r>
          </w:p>
          <w:p w:rsidR="00000000" w:rsidDel="00000000" w:rsidP="00000000" w:rsidRDefault="00000000" w:rsidRPr="00000000" w14:paraId="0000006C">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Executive Agency;</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79"/>
                <w:tab w:val="left" w:leader="none" w:pos="135"/>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7C">
            <w:pPr>
              <w:tabs>
                <w:tab w:val="left" w:leader="none" w:pos="-179"/>
                <w:tab w:val="left" w:leader="none" w:pos="0"/>
              </w:tabs>
              <w:ind w:left="141.7322834645671" w:firstLine="0"/>
              <w:rPr>
                <w:rFonts w:ascii="Arial" w:cs="Arial" w:eastAsia="Arial" w:hAnsi="Arial"/>
                <w:color w:val="000000"/>
                <w:sz w:val="28"/>
                <w:szCs w:val="28"/>
              </w:rPr>
            </w:pPr>
            <w:r w:rsidDel="00000000" w:rsidR="00000000" w:rsidRPr="00000000">
              <w:rPr>
                <w:rFonts w:ascii="Arial" w:cs="Arial" w:eastAsia="Arial" w:hAnsi="Arial"/>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"confidential") or which ought reasonably to be considered to be confidential;</w:t>
            </w:r>
            <w:r w:rsidDel="00000000" w:rsidR="00000000" w:rsidRPr="00000000">
              <w:rPr>
                <w:rtl w:val="0"/>
              </w:rPr>
            </w:r>
          </w:p>
        </w:tc>
      </w:tr>
      <w:tr>
        <w:trPr>
          <w:cantSplit w:val="0"/>
          <w:tblHeader w:val="0"/>
        </w:trPr>
        <w:tc>
          <w:tcPr/>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7E">
            <w:pPr>
              <w:tabs>
                <w:tab w:val="left" w:leader="none" w:pos="-179"/>
                <w:tab w:val="left" w:leader="none" w:pos="135"/>
              </w:tabs>
              <w:ind w:left="141.7322834645671"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conflict between the financial or personal duties of the Supplier or the Supplier Staff and the duties owed to CCS or any Buyer under a Contract, in the reasonable opinion of the Buyer or CCS;</w:t>
            </w:r>
            <w:r w:rsidDel="00000000" w:rsidR="00000000" w:rsidRPr="00000000">
              <w:rPr>
                <w:rtl w:val="0"/>
              </w:rPr>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to and including the applicable End Date; </w:t>
            </w:r>
          </w:p>
        </w:tc>
      </w:tr>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79"/>
                <w:tab w:val="left" w:leader="none" w:pos="135"/>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79"/>
                <w:tab w:val="left" w:leader="none" w:pos="135"/>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79"/>
                <w:tab w:val="left" w:leader="none" w:pos="135"/>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terms and conditions for common goods and services which govern how Suppliers must interact with CCS and Buyers under Framework Contracts and Call-Off Contracts;</w:t>
            </w:r>
          </w:p>
        </w:tc>
      </w:tr>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1.7322834645671" w:right="-68.7401574803146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92">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93">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 salary paid to the Supplier Staff;</w:t>
            </w:r>
          </w:p>
          <w:p w:rsidR="00000000" w:rsidDel="00000000" w:rsidP="00000000" w:rsidRDefault="00000000" w:rsidRPr="00000000" w14:paraId="00000094">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National Insurance contributions;</w:t>
            </w:r>
          </w:p>
          <w:p w:rsidR="00000000" w:rsidDel="00000000" w:rsidP="00000000" w:rsidRDefault="00000000" w:rsidRPr="00000000" w14:paraId="00000095">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pension contributions;</w:t>
            </w:r>
          </w:p>
          <w:p w:rsidR="00000000" w:rsidDel="00000000" w:rsidP="00000000" w:rsidRDefault="00000000" w:rsidRPr="00000000" w14:paraId="00000096">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 allowances; </w:t>
            </w:r>
          </w:p>
          <w:p w:rsidR="00000000" w:rsidDel="00000000" w:rsidP="00000000" w:rsidRDefault="00000000" w:rsidRPr="00000000" w14:paraId="00000097">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contractual employment benefits;</w:t>
            </w:r>
          </w:p>
          <w:p w:rsidR="00000000" w:rsidDel="00000000" w:rsidP="00000000" w:rsidRDefault="00000000" w:rsidRPr="00000000" w14:paraId="00000098">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training;</w:t>
            </w:r>
          </w:p>
          <w:p w:rsidR="00000000" w:rsidDel="00000000" w:rsidP="00000000" w:rsidRDefault="00000000" w:rsidRPr="00000000" w14:paraId="00000099">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workplace</w:t>
            </w:r>
            <w:r w:rsidDel="00000000" w:rsidR="00000000" w:rsidRPr="00000000">
              <w:rPr>
                <w:rFonts w:ascii="Arial" w:cs="Arial" w:eastAsia="Arial" w:hAnsi="Arial"/>
                <w:color w:val="000000"/>
                <w:sz w:val="24"/>
                <w:szCs w:val="24"/>
                <w:rtl w:val="0"/>
              </w:rPr>
              <w:t xml:space="preserve"> accommodation;</w:t>
            </w:r>
          </w:p>
          <w:p w:rsidR="00000000" w:rsidDel="00000000" w:rsidP="00000000" w:rsidRDefault="00000000" w:rsidRPr="00000000" w14:paraId="0000009A">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workplace</w:t>
            </w:r>
            <w:r w:rsidDel="00000000" w:rsidR="00000000" w:rsidRPr="00000000">
              <w:rPr>
                <w:rFonts w:ascii="Arial" w:cs="Arial" w:eastAsia="Arial" w:hAnsi="Arial"/>
                <w:color w:val="000000"/>
                <w:sz w:val="24"/>
                <w:szCs w:val="24"/>
                <w:rtl w:val="0"/>
              </w:rPr>
              <w:t xml:space="preserve"> IT equipment and tools reasonably necessary to provide the Deliverables (but not including items included within limb (b) below); and</w:t>
            </w:r>
          </w:p>
          <w:p w:rsidR="00000000" w:rsidDel="00000000" w:rsidP="00000000" w:rsidRDefault="00000000" w:rsidRPr="00000000" w14:paraId="0000009B">
            <w:pPr>
              <w:numPr>
                <w:ilvl w:val="2"/>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reasonable recruitment costs, as agreed with the Buyer; </w:t>
            </w:r>
          </w:p>
          <w:p w:rsidR="00000000" w:rsidDel="00000000" w:rsidP="00000000" w:rsidRDefault="00000000" w:rsidRPr="00000000" w14:paraId="0000009C">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9D">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9E">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79"/>
                <w:tab w:val="left" w:leader="none" w:pos="411"/>
              </w:tabs>
              <w:spacing w:after="120" w:lineRule="auto"/>
              <w:ind w:left="283.464566929133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A0">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w:t>
            </w:r>
          </w:p>
          <w:p w:rsidR="00000000" w:rsidDel="00000000" w:rsidP="00000000" w:rsidRDefault="00000000" w:rsidRPr="00000000" w14:paraId="000000A1">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financing or similar costs;</w:t>
            </w:r>
          </w:p>
          <w:p w:rsidR="00000000" w:rsidDel="00000000" w:rsidP="00000000" w:rsidRDefault="00000000" w:rsidRPr="00000000" w14:paraId="000000A2">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A3">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taxation;</w:t>
            </w:r>
          </w:p>
          <w:p w:rsidR="00000000" w:rsidDel="00000000" w:rsidP="00000000" w:rsidRDefault="00000000" w:rsidRPr="00000000" w14:paraId="000000A4">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fines and penalties;</w:t>
            </w:r>
          </w:p>
          <w:p w:rsidR="00000000" w:rsidDel="00000000" w:rsidP="00000000" w:rsidRDefault="00000000" w:rsidRPr="00000000" w14:paraId="000000A5">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p>
          <w:p w:rsidR="00000000" w:rsidDel="00000000" w:rsidP="00000000" w:rsidRDefault="00000000" w:rsidRPr="00000000" w14:paraId="000000A6">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rPr>
          <w:cantSplit w:val="0"/>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Protection Officer"</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Subject"</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Subject Access Request"</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and/or Services that may be ordered under the Contract including the Documentation; </w:t>
            </w:r>
          </w:p>
        </w:tc>
      </w:tr>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“Dependent Parent Undertaking”</w:t>
            </w: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r w:rsidDel="00000000" w:rsidR="00000000" w:rsidRPr="00000000">
              <w:rPr>
                <w:rtl w:val="0"/>
              </w:rPr>
            </w:r>
          </w:p>
        </w:tc>
      </w:tr>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lineRule="auto"/>
              <w:ind w:left="85.7480314960631"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CB">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CC">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p>
          <w:p w:rsidR="00000000" w:rsidDel="00000000" w:rsidP="00000000" w:rsidRDefault="00000000" w:rsidRPr="00000000" w14:paraId="000000CD">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32283464567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lineRule="auto"/>
              <w:ind w:left="-108" w:firstLine="249.7322834645669"/>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 </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576"/>
                <w:tab w:val="left" w:leader="none" w:pos="144"/>
              </w:tabs>
              <w:spacing w:after="120" w:lineRule="auto"/>
              <w:ind w:firstLine="14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0DE">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p>
          <w:p w:rsidR="00000000" w:rsidDel="00000000" w:rsidP="00000000" w:rsidRDefault="00000000" w:rsidRPr="00000000" w14:paraId="000000DF">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lineRule="auto"/>
              <w:ind w:left="141.7322834645668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7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"Existing IPR"</w:t>
            </w:r>
          </w:p>
        </w:tc>
        <w:tc>
          <w:tcPr/>
          <w:p w:rsidR="00000000" w:rsidDel="00000000" w:rsidP="00000000" w:rsidRDefault="00000000" w:rsidRPr="00000000" w14:paraId="000000E8">
            <w:pPr>
              <w:tabs>
                <w:tab w:val="left" w:leader="none" w:pos="-179"/>
                <w:tab w:val="left" w:leader="none"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0E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“Exit Day”</w:t>
            </w:r>
          </w:p>
        </w:tc>
        <w:tc>
          <w:tcPr/>
          <w:p w:rsidR="00000000" w:rsidDel="00000000" w:rsidP="00000000" w:rsidRDefault="00000000" w:rsidRPr="00000000" w14:paraId="000000EA">
            <w:pPr>
              <w:tabs>
                <w:tab w:val="left" w:leader="none" w:pos="-179"/>
                <w:tab w:val="left" w:leader="none"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shall have the meaning in the European Union (Withdrawal) Act 2018;</w:t>
            </w:r>
          </w:p>
        </w:tc>
      </w:tr>
      <w:tr>
        <w:trPr>
          <w:cantSplit w:val="0"/>
          <w:tblHeader w:val="0"/>
        </w:trPr>
        <w:tc>
          <w:tcPr/>
          <w:p w:rsidR="00000000" w:rsidDel="00000000" w:rsidP="00000000" w:rsidRDefault="00000000" w:rsidRPr="00000000" w14:paraId="000000E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"Expiry Date"</w:t>
            </w:r>
          </w:p>
        </w:tc>
        <w:tc>
          <w:tcPr/>
          <w:p w:rsidR="00000000" w:rsidDel="00000000" w:rsidP="00000000" w:rsidRDefault="00000000" w:rsidRPr="00000000" w14:paraId="000000EC">
            <w:pPr>
              <w:tabs>
                <w:tab w:val="left" w:leader="none" w:pos="-576"/>
                <w:tab w:val="left" w:leader="none" w:pos="144"/>
              </w:tabs>
              <w:spacing w:after="120" w:lineRule="auto"/>
              <w:ind w:left="1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0E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"Extension Period"</w:t>
            </w:r>
          </w:p>
        </w:tc>
        <w:tc>
          <w:tcPr/>
          <w:p w:rsidR="00000000" w:rsidDel="00000000" w:rsidP="00000000" w:rsidRDefault="00000000" w:rsidRPr="00000000" w14:paraId="000000EE">
            <w:pPr>
              <w:tabs>
                <w:tab w:val="left" w:leader="none" w:pos="-179"/>
                <w:tab w:val="left" w:leader="none" w:pos="-9"/>
              </w:tabs>
              <w:spacing w:after="120" w:lineRule="auto"/>
              <w:ind w:left="1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0E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"FOIA"</w:t>
            </w:r>
          </w:p>
        </w:tc>
        <w:tc>
          <w:tcPr/>
          <w:p w:rsidR="00000000" w:rsidDel="00000000" w:rsidP="00000000" w:rsidRDefault="00000000" w:rsidRPr="00000000" w14:paraId="000000F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0F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"Force Majeure Event"</w:t>
            </w:r>
          </w:p>
        </w:tc>
        <w:tc>
          <w:tcPr/>
          <w:p w:rsidR="00000000" w:rsidDel="00000000" w:rsidP="00000000" w:rsidRDefault="00000000" w:rsidRPr="00000000" w14:paraId="000000F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0F3">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riots, civil commotion, war or armed conflict;</w:t>
            </w:r>
          </w:p>
          <w:p w:rsidR="00000000" w:rsidDel="00000000" w:rsidP="00000000" w:rsidRDefault="00000000" w:rsidRPr="00000000" w14:paraId="000000F4">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acts of terrorism;</w:t>
            </w:r>
          </w:p>
          <w:p w:rsidR="00000000" w:rsidDel="00000000" w:rsidP="00000000" w:rsidRDefault="00000000" w:rsidRPr="00000000" w14:paraId="000000F5">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acts of government, local government or regulatory bodies;</w:t>
            </w:r>
          </w:p>
          <w:p w:rsidR="00000000" w:rsidDel="00000000" w:rsidP="00000000" w:rsidRDefault="00000000" w:rsidRPr="00000000" w14:paraId="000000F6">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fire, flood, storm or earthquake or other natural disaster,</w:t>
            </w:r>
          </w:p>
          <w:p w:rsidR="00000000" w:rsidDel="00000000" w:rsidP="00000000" w:rsidRDefault="00000000" w:rsidRPr="00000000" w14:paraId="000000F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0F8">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"FOIA"</w:t>
            </w:r>
          </w:p>
        </w:tc>
        <w:tc>
          <w:tcPr/>
          <w:p w:rsidR="00000000" w:rsidDel="00000000" w:rsidP="00000000" w:rsidRDefault="00000000" w:rsidRPr="00000000" w14:paraId="000000F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0F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"Force Majeure Event"</w:t>
            </w:r>
          </w:p>
        </w:tc>
        <w:tc>
          <w:tcPr/>
          <w:p w:rsidR="00000000" w:rsidDel="00000000" w:rsidP="00000000" w:rsidRDefault="00000000" w:rsidRPr="00000000" w14:paraId="000000F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0FC">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riots, civil commotion, war or armed conflict;</w:t>
            </w:r>
          </w:p>
          <w:p w:rsidR="00000000" w:rsidDel="00000000" w:rsidP="00000000" w:rsidRDefault="00000000" w:rsidRPr="00000000" w14:paraId="000000FD">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acts of terrorism;</w:t>
            </w:r>
          </w:p>
          <w:p w:rsidR="00000000" w:rsidDel="00000000" w:rsidP="00000000" w:rsidRDefault="00000000" w:rsidRPr="00000000" w14:paraId="000000FE">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acts of government, local government or regulatory bodies;</w:t>
            </w:r>
          </w:p>
          <w:p w:rsidR="00000000" w:rsidDel="00000000" w:rsidP="00000000" w:rsidRDefault="00000000" w:rsidRPr="00000000" w14:paraId="000000FF">
            <w:pPr>
              <w:numPr>
                <w:ilvl w:val="1"/>
                <w:numId w:val="2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fire, flood, storm or earthquake or other natural disaster,</w:t>
            </w:r>
          </w:p>
          <w:p w:rsidR="00000000" w:rsidDel="00000000" w:rsidP="00000000" w:rsidRDefault="00000000" w:rsidRPr="00000000" w14:paraId="0000010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10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"Force Majeure Notice"</w:t>
            </w:r>
          </w:p>
        </w:tc>
        <w:tc>
          <w:tcPr/>
          <w:p w:rsidR="00000000" w:rsidDel="00000000" w:rsidP="00000000" w:rsidRDefault="00000000" w:rsidRPr="00000000" w14:paraId="0000010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03">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Award Form"</w:t>
            </w:r>
          </w:p>
        </w:tc>
        <w:tc>
          <w:tcPr/>
          <w:p w:rsidR="00000000" w:rsidDel="00000000" w:rsidP="00000000" w:rsidRDefault="00000000" w:rsidRPr="00000000" w14:paraId="00000104">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05">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Contract"</w:t>
            </w:r>
          </w:p>
        </w:tc>
        <w:tc>
          <w:tcPr/>
          <w:p w:rsidR="00000000" w:rsidDel="00000000" w:rsidP="00000000" w:rsidRDefault="00000000" w:rsidRPr="00000000" w14:paraId="00000106">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agreement established between CCS and the Supplier in accordance with Regulation 33 by the Framework Award Form for the provision of the Deliverables to Buyers by the Supplier pursuant to the notice published on the Find a Tender Service;</w:t>
            </w:r>
          </w:p>
        </w:tc>
      </w:tr>
      <w:tr>
        <w:trPr>
          <w:cantSplit w:val="0"/>
          <w:tblHeader w:val="0"/>
        </w:trPr>
        <w:tc>
          <w:tcPr/>
          <w:p w:rsidR="00000000" w:rsidDel="00000000" w:rsidP="00000000" w:rsidRDefault="00000000" w:rsidRPr="00000000" w14:paraId="0000010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Contract Period"</w:t>
            </w:r>
          </w:p>
        </w:tc>
        <w:tc>
          <w:tcPr/>
          <w:p w:rsidR="00000000" w:rsidDel="00000000" w:rsidP="00000000" w:rsidRDefault="00000000" w:rsidRPr="00000000" w14:paraId="00000108">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0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Expiry Date"</w:t>
            </w:r>
          </w:p>
        </w:tc>
        <w:tc>
          <w:tcPr/>
          <w:p w:rsidR="00000000" w:rsidDel="00000000" w:rsidP="00000000" w:rsidRDefault="00000000" w:rsidRPr="00000000" w14:paraId="0000010A">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0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Incorporated Terms"</w:t>
            </w:r>
          </w:p>
        </w:tc>
        <w:tc>
          <w:tcPr/>
          <w:p w:rsidR="00000000" w:rsidDel="00000000" w:rsidP="00000000" w:rsidRDefault="00000000" w:rsidRPr="00000000" w14:paraId="0000010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0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Optional Extension Period"</w:t>
            </w:r>
          </w:p>
        </w:tc>
        <w:tc>
          <w:tcPr/>
          <w:p w:rsidR="00000000" w:rsidDel="00000000" w:rsidP="00000000" w:rsidRDefault="00000000" w:rsidRPr="00000000" w14:paraId="0000010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0F">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Price(s)"</w:t>
            </w:r>
          </w:p>
        </w:tc>
        <w:tc>
          <w:tcPr/>
          <w:p w:rsidR="00000000" w:rsidDel="00000000" w:rsidP="00000000" w:rsidRDefault="00000000" w:rsidRPr="00000000" w14:paraId="0000011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1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Special Terms"</w:t>
            </w:r>
          </w:p>
        </w:tc>
        <w:tc>
          <w:tcPr/>
          <w:p w:rsidR="00000000" w:rsidDel="00000000" w:rsidP="00000000" w:rsidRDefault="00000000" w:rsidRPr="00000000" w14:paraId="0000011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13">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Start Date"</w:t>
            </w:r>
          </w:p>
        </w:tc>
        <w:tc>
          <w:tcPr/>
          <w:p w:rsidR="00000000" w:rsidDel="00000000" w:rsidP="00000000" w:rsidRDefault="00000000" w:rsidRPr="00000000" w14:paraId="00000114">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15">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Tender Response"</w:t>
            </w:r>
          </w:p>
        </w:tc>
        <w:tc>
          <w:tcPr/>
          <w:p w:rsidR="00000000" w:rsidDel="00000000" w:rsidP="00000000" w:rsidRDefault="00000000" w:rsidRPr="00000000" w14:paraId="00000116">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tender submitted by the Supplier to CCS and annexed to or referred to in Framework Schedule 2 (Framework Tender);</w:t>
            </w:r>
          </w:p>
        </w:tc>
      </w:tr>
      <w:tr>
        <w:trPr>
          <w:cantSplit w:val="0"/>
          <w:tblHeader w:val="0"/>
        </w:trPr>
        <w:tc>
          <w:tcPr/>
          <w:p w:rsidR="00000000" w:rsidDel="00000000" w:rsidP="00000000" w:rsidRDefault="00000000" w:rsidRPr="00000000" w14:paraId="0000011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"Further Competition Procedure"</w:t>
            </w:r>
          </w:p>
        </w:tc>
        <w:tc>
          <w:tcPr/>
          <w:p w:rsidR="00000000" w:rsidDel="00000000" w:rsidP="00000000" w:rsidRDefault="00000000" w:rsidRPr="00000000" w14:paraId="00000118">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further competition procedure described in Framework Schedule 7 (Call-Off Award Procedure);</w:t>
            </w:r>
          </w:p>
        </w:tc>
      </w:tr>
      <w:tr>
        <w:trPr>
          <w:cantSplit w:val="0"/>
          <w:tblHeader w:val="0"/>
        </w:trPr>
        <w:tc>
          <w:tcPr/>
          <w:p w:rsidR="00000000" w:rsidDel="00000000" w:rsidP="00000000" w:rsidRDefault="00000000" w:rsidRPr="00000000" w14:paraId="0000011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GDPR"</w:t>
            </w:r>
          </w:p>
        </w:tc>
        <w:tc>
          <w:tcPr/>
          <w:p w:rsidR="00000000" w:rsidDel="00000000" w:rsidP="00000000" w:rsidRDefault="00000000" w:rsidRPr="00000000" w14:paraId="0000011A">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retained EU law version of the General Data Protection Regulation (Regulation (EU) 2016/679);</w:t>
            </w:r>
          </w:p>
        </w:tc>
      </w:tr>
      <w:tr>
        <w:trPr>
          <w:cantSplit w:val="0"/>
          <w:tblHeader w:val="0"/>
        </w:trPr>
        <w:tc>
          <w:tcPr/>
          <w:p w:rsidR="00000000" w:rsidDel="00000000" w:rsidP="00000000" w:rsidRDefault="00000000" w:rsidRPr="00000000" w14:paraId="0000011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"General Anti-Abuse Rule"</w:t>
            </w:r>
          </w:p>
        </w:tc>
        <w:tc>
          <w:tcPr/>
          <w:p w:rsidR="00000000" w:rsidDel="00000000" w:rsidP="00000000" w:rsidRDefault="00000000" w:rsidRPr="00000000" w14:paraId="0000011C">
            <w:pPr>
              <w:numPr>
                <w:ilvl w:val="1"/>
                <w:numId w:val="19"/>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legislation in Part 5 of the Finance Act 2013 and; and </w:t>
            </w:r>
          </w:p>
          <w:p w:rsidR="00000000" w:rsidDel="00000000" w:rsidP="00000000" w:rsidRDefault="00000000" w:rsidRPr="00000000" w14:paraId="0000011D">
            <w:pPr>
              <w:numPr>
                <w:ilvl w:val="1"/>
                <w:numId w:val="19"/>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11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"General Change in Law"</w:t>
            </w:r>
          </w:p>
        </w:tc>
        <w:tc>
          <w:tcPr/>
          <w:p w:rsidR="00000000" w:rsidDel="00000000" w:rsidP="00000000" w:rsidRDefault="00000000" w:rsidRPr="00000000" w14:paraId="0000011F">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Change in Law where the change is of a general legislative nature (including Tax or duties of any sort affecting the Supplier) or which affects or relates to a Comparable Supply;</w:t>
            </w:r>
          </w:p>
        </w:tc>
      </w:tr>
      <w:tr>
        <w:trPr>
          <w:cantSplit w:val="0"/>
          <w:tblHeader w:val="0"/>
        </w:trPr>
        <w:tc>
          <w:tcPr/>
          <w:p w:rsidR="00000000" w:rsidDel="00000000" w:rsidP="00000000" w:rsidRDefault="00000000" w:rsidRPr="00000000" w14:paraId="00000120">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"Goods"</w:t>
            </w:r>
          </w:p>
        </w:tc>
        <w:tc>
          <w:tcPr/>
          <w:p w:rsidR="00000000" w:rsidDel="00000000" w:rsidP="00000000" w:rsidRDefault="00000000" w:rsidRPr="00000000" w14:paraId="00000121">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goods made available by the Supplier as specified in Framework Schedule 1 (Specification) and in relation to a Call-Off Contract as specified in the Order Form ;</w:t>
            </w:r>
          </w:p>
        </w:tc>
      </w:tr>
      <w:tr>
        <w:trPr>
          <w:cantSplit w:val="0"/>
          <w:tblHeader w:val="0"/>
        </w:trPr>
        <w:tc>
          <w:tcPr/>
          <w:p w:rsidR="00000000" w:rsidDel="00000000" w:rsidP="00000000" w:rsidRDefault="00000000" w:rsidRPr="00000000" w14:paraId="0000012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"Good Industry Practice"</w:t>
            </w:r>
          </w:p>
        </w:tc>
        <w:tc>
          <w:tcPr/>
          <w:p w:rsidR="00000000" w:rsidDel="00000000" w:rsidP="00000000" w:rsidRDefault="00000000" w:rsidRPr="00000000" w14:paraId="0000012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24">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"Government"</w:t>
            </w:r>
          </w:p>
        </w:tc>
        <w:tc>
          <w:tcPr/>
          <w:p w:rsidR="00000000" w:rsidDel="00000000" w:rsidP="00000000" w:rsidRDefault="00000000" w:rsidRPr="00000000" w14:paraId="00000125">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26">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"Government Data"</w:t>
            </w:r>
          </w:p>
        </w:tc>
        <w:tc>
          <w:tcPr/>
          <w:p w:rsidR="00000000" w:rsidDel="00000000" w:rsidP="00000000" w:rsidRDefault="00000000" w:rsidRPr="00000000" w14:paraId="00000127">
            <w:pPr>
              <w:tabs>
                <w:tab w:val="left" w:leader="none" w:pos="-576"/>
                <w:tab w:val="left" w:leader="none" w:pos="144"/>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28">
            <w:pPr>
              <w:numPr>
                <w:ilvl w:val="2"/>
                <w:numId w:val="19"/>
              </w:numPr>
              <w:tabs>
                <w:tab w:val="left" w:leader="none" w:pos="-576"/>
                <w:tab w:val="left" w:leader="none" w:pos="144"/>
              </w:tabs>
              <w:spacing w:after="120" w:lineRule="auto"/>
              <w:ind w:left="141.73228346456688" w:firstLine="0"/>
            </w:pPr>
            <w:r w:rsidDel="00000000" w:rsidR="00000000" w:rsidRPr="00000000">
              <w:rPr>
                <w:rFonts w:ascii="Arial" w:cs="Arial" w:eastAsia="Arial" w:hAnsi="Arial"/>
                <w:sz w:val="24"/>
                <w:szCs w:val="24"/>
                <w:rtl w:val="0"/>
              </w:rPr>
              <w:t xml:space="preserve">are supplied to the Supplier by or on behalf of the Authority; or</w:t>
            </w:r>
          </w:p>
          <w:p w:rsidR="00000000" w:rsidDel="00000000" w:rsidP="00000000" w:rsidRDefault="00000000" w:rsidRPr="00000000" w14:paraId="00000129">
            <w:pPr>
              <w:numPr>
                <w:ilvl w:val="2"/>
                <w:numId w:val="19"/>
              </w:numPr>
              <w:tabs>
                <w:tab w:val="left" w:leader="none" w:pos="-576"/>
                <w:tab w:val="left" w:leader="none" w:pos="144"/>
              </w:tabs>
              <w:spacing w:after="120" w:lineRule="auto"/>
              <w:ind w:left="141.73228346456688" w:firstLine="0"/>
            </w:pPr>
            <w:r w:rsidDel="00000000" w:rsidR="00000000" w:rsidRPr="00000000">
              <w:rPr>
                <w:rFonts w:ascii="Arial" w:cs="Arial" w:eastAsia="Arial" w:hAnsi="Arial"/>
                <w:sz w:val="24"/>
                <w:szCs w:val="24"/>
                <w:rtl w:val="0"/>
              </w:rPr>
              <w:t xml:space="preserve">the Supplier is required to generate, process, store or transmit pursuant to a Contract; </w:t>
            </w:r>
          </w:p>
        </w:tc>
      </w:tr>
      <w:tr>
        <w:trPr>
          <w:cantSplit w:val="0"/>
          <w:tblHeader w:val="0"/>
        </w:trPr>
        <w:tc>
          <w:tcPr/>
          <w:p w:rsidR="00000000" w:rsidDel="00000000" w:rsidP="00000000" w:rsidRDefault="00000000" w:rsidRPr="00000000" w14:paraId="0000012A">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"Guarantor"</w:t>
            </w:r>
          </w:p>
        </w:tc>
        <w:tc>
          <w:tcPr/>
          <w:p w:rsidR="00000000" w:rsidDel="00000000" w:rsidP="00000000" w:rsidRDefault="00000000" w:rsidRPr="00000000" w14:paraId="0000012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12C">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"Halifax Abuse Principle"</w:t>
            </w:r>
          </w:p>
        </w:tc>
        <w:tc>
          <w:tcPr/>
          <w:p w:rsidR="00000000" w:rsidDel="00000000" w:rsidP="00000000" w:rsidRDefault="00000000" w:rsidRPr="00000000" w14:paraId="0000012D">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2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"HMRC"</w:t>
            </w:r>
          </w:p>
        </w:tc>
        <w:tc>
          <w:tcPr/>
          <w:p w:rsidR="00000000" w:rsidDel="00000000" w:rsidP="00000000" w:rsidRDefault="00000000" w:rsidRPr="00000000" w14:paraId="0000012F">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His Majesty’s Revenue and Customs;</w:t>
            </w:r>
          </w:p>
        </w:tc>
      </w:tr>
      <w:tr>
        <w:trPr>
          <w:cantSplit w:val="0"/>
          <w:tblHeader w:val="0"/>
        </w:trPr>
        <w:tc>
          <w:tcPr/>
          <w:p w:rsidR="00000000" w:rsidDel="00000000" w:rsidP="00000000" w:rsidRDefault="00000000" w:rsidRPr="00000000" w14:paraId="00000130">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"Homologation"</w:t>
            </w:r>
          </w:p>
        </w:tc>
        <w:tc>
          <w:tcPr/>
          <w:p w:rsidR="00000000" w:rsidDel="00000000" w:rsidP="00000000" w:rsidRDefault="00000000" w:rsidRPr="00000000" w14:paraId="00000131">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tyre model that has been officially designed for a specific vehicle and approved the by the vehicle manufacturer for use on that vehicle model</w:t>
            </w:r>
          </w:p>
        </w:tc>
      </w:tr>
      <w:tr>
        <w:trPr>
          <w:cantSplit w:val="0"/>
          <w:tblHeader w:val="0"/>
        </w:trPr>
        <w:tc>
          <w:tcPr/>
          <w:p w:rsidR="00000000" w:rsidDel="00000000" w:rsidP="00000000" w:rsidRDefault="00000000" w:rsidRPr="00000000" w14:paraId="0000013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"ICT Policy"</w:t>
            </w:r>
          </w:p>
        </w:tc>
        <w:tc>
          <w:tcPr/>
          <w:p w:rsidR="00000000" w:rsidDel="00000000" w:rsidP="00000000" w:rsidRDefault="00000000" w:rsidRPr="00000000" w14:paraId="0000013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34">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"Impact Assessment"</w:t>
            </w:r>
          </w:p>
        </w:tc>
        <w:tc>
          <w:tcPr/>
          <w:p w:rsidR="00000000" w:rsidDel="00000000" w:rsidP="00000000" w:rsidRDefault="00000000" w:rsidRPr="00000000" w14:paraId="00000135">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36">
            <w:pPr>
              <w:numPr>
                <w:ilvl w:val="1"/>
                <w:numId w:val="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37">
            <w:pPr>
              <w:numPr>
                <w:ilvl w:val="1"/>
                <w:numId w:val="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details of the cost of implementing the proposed Variation;</w:t>
            </w:r>
          </w:p>
          <w:p w:rsidR="00000000" w:rsidDel="00000000" w:rsidP="00000000" w:rsidRDefault="00000000" w:rsidRPr="00000000" w14:paraId="00000138">
            <w:pPr>
              <w:numPr>
                <w:ilvl w:val="1"/>
                <w:numId w:val="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39">
            <w:pPr>
              <w:numPr>
                <w:ilvl w:val="1"/>
                <w:numId w:val="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 timetable for the implementation, together with any proposals for the testing of the Variation; and</w:t>
            </w:r>
          </w:p>
          <w:p w:rsidR="00000000" w:rsidDel="00000000" w:rsidP="00000000" w:rsidRDefault="00000000" w:rsidRPr="00000000" w14:paraId="0000013A">
            <w:pPr>
              <w:numPr>
                <w:ilvl w:val="1"/>
                <w:numId w:val="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such other information as the Relevant Authority may reasonably request in (or in response to) the Variation request;</w:t>
              <w:tab/>
              <w:tab/>
              <w:tab/>
              <w:tab/>
            </w:r>
          </w:p>
        </w:tc>
      </w:tr>
      <w:tr>
        <w:trPr>
          <w:cantSplit w:val="0"/>
          <w:tblHeader w:val="0"/>
        </w:trPr>
        <w:tc>
          <w:tcPr/>
          <w:p w:rsidR="00000000" w:rsidDel="00000000" w:rsidP="00000000" w:rsidRDefault="00000000" w:rsidRPr="00000000" w14:paraId="0000013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"Implementation Plan"</w:t>
            </w:r>
          </w:p>
        </w:tc>
        <w:tc>
          <w:tcPr/>
          <w:p w:rsidR="00000000" w:rsidDel="00000000" w:rsidP="00000000" w:rsidRDefault="00000000" w:rsidRPr="00000000" w14:paraId="0000013C">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the plan for provision of the Deliverables set out in Call-Off Schedule 13 (Implementation Plan and Testing) where that Schedule is used or otherwise as agreed between the Supplier and the Buyer;</w:t>
            </w:r>
          </w:p>
        </w:tc>
      </w:tr>
      <w:tr>
        <w:trPr>
          <w:cantSplit w:val="0"/>
          <w:tblHeader w:val="0"/>
        </w:trPr>
        <w:tc>
          <w:tcPr/>
          <w:p w:rsidR="00000000" w:rsidDel="00000000" w:rsidP="00000000" w:rsidRDefault="00000000" w:rsidRPr="00000000" w14:paraId="0000013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"Indemnifier"</w:t>
            </w:r>
          </w:p>
        </w:tc>
        <w:tc>
          <w:tcPr/>
          <w:p w:rsidR="00000000" w:rsidDel="00000000" w:rsidP="00000000" w:rsidRDefault="00000000" w:rsidRPr="00000000" w14:paraId="0000013E">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a Party from whom an indemnity is sought under this Contract;</w:t>
            </w:r>
          </w:p>
        </w:tc>
      </w:tr>
      <w:tr>
        <w:trPr>
          <w:cantSplit w:val="0"/>
          <w:tblHeader w:val="0"/>
        </w:trPr>
        <w:tc>
          <w:tcPr/>
          <w:p w:rsidR="00000000" w:rsidDel="00000000" w:rsidP="00000000" w:rsidRDefault="00000000" w:rsidRPr="00000000" w14:paraId="0000013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“Independent Control”</w:t>
            </w:r>
          </w:p>
        </w:tc>
        <w:tc>
          <w:tcPr/>
          <w:p w:rsidR="00000000" w:rsidDel="00000000" w:rsidP="00000000" w:rsidRDefault="00000000" w:rsidRPr="00000000" w14:paraId="00000140">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sz w:val="24"/>
                <w:szCs w:val="24"/>
                <w:rtl w:val="0"/>
              </w:rPr>
              <w:t xml:space="preserve">Independent Controller</w:t>
            </w:r>
            <w:r w:rsidDel="00000000" w:rsidR="00000000" w:rsidRPr="00000000">
              <w:rPr>
                <w:rFonts w:ascii="Arial" w:cs="Arial" w:eastAsia="Arial" w:hAnsi="Arial"/>
                <w:sz w:val="24"/>
                <w:szCs w:val="24"/>
                <w:rtl w:val="0"/>
              </w:rPr>
              <w:t xml:space="preserve">” shall be construed accordingly;</w:t>
            </w:r>
          </w:p>
        </w:tc>
      </w:tr>
      <w:tr>
        <w:trPr>
          <w:cantSplit w:val="0"/>
          <w:tblHeader w:val="0"/>
        </w:trPr>
        <w:tc>
          <w:tcPr/>
          <w:p w:rsidR="00000000" w:rsidDel="00000000" w:rsidP="00000000" w:rsidRDefault="00000000" w:rsidRPr="00000000" w14:paraId="00000141">
            <w:pPr>
              <w:spacing w:after="120" w:lineRule="auto"/>
              <w:ind w:left="-108" w:firstLine="249.732283464566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"Indexation"</w:t>
            </w:r>
          </w:p>
        </w:tc>
        <w:tc>
          <w:tcPr/>
          <w:p w:rsidR="00000000" w:rsidDel="00000000" w:rsidP="00000000" w:rsidRDefault="00000000" w:rsidRPr="00000000" w14:paraId="00000142">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the adjustment of an amount or sum in accordance with Framework Schedule 3 (Framework Prices) and the relevant Order Form;</w:t>
            </w:r>
          </w:p>
        </w:tc>
      </w:tr>
      <w:tr>
        <w:trPr>
          <w:cantSplit w:val="0"/>
          <w:tblHeader w:val="0"/>
        </w:trPr>
        <w:tc>
          <w:tcPr/>
          <w:p w:rsidR="00000000" w:rsidDel="00000000" w:rsidP="00000000" w:rsidRDefault="00000000" w:rsidRPr="00000000" w14:paraId="00000143">
            <w:pPr>
              <w:spacing w:after="120" w:lineRule="auto"/>
              <w:ind w:left="-108" w:firstLine="249.732283464566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w:t>
            </w:r>
          </w:p>
        </w:tc>
        <w:tc>
          <w:tcPr/>
          <w:p w:rsidR="00000000" w:rsidDel="00000000" w:rsidP="00000000" w:rsidRDefault="00000000" w:rsidRPr="00000000" w14:paraId="00000144">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145">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 Commissioner"</w:t>
            </w:r>
          </w:p>
        </w:tc>
        <w:tc>
          <w:tcPr/>
          <w:p w:rsidR="00000000" w:rsidDel="00000000" w:rsidP="00000000" w:rsidRDefault="00000000" w:rsidRPr="00000000" w14:paraId="00000146">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4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"Initial Period"</w:t>
            </w:r>
          </w:p>
        </w:tc>
        <w:tc>
          <w:tcPr/>
          <w:p w:rsidR="00000000" w:rsidDel="00000000" w:rsidP="00000000" w:rsidRDefault="00000000" w:rsidRPr="00000000" w14:paraId="00000148">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4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"Insolvency Event"</w:t>
            </w:r>
          </w:p>
        </w:tc>
        <w:tc>
          <w:tcPr/>
          <w:p w:rsidR="00000000" w:rsidDel="00000000" w:rsidP="00000000" w:rsidRDefault="00000000" w:rsidRPr="00000000" w14:paraId="0000014A">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any person, means:</w:t>
            </w:r>
          </w:p>
          <w:p w:rsidR="00000000" w:rsidDel="00000000" w:rsidP="00000000" w:rsidRDefault="00000000" w:rsidRPr="00000000" w14:paraId="0000014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14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14D">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14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14F">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15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151">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15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where that person is a company, a LLP or a partnership:</w:t>
            </w:r>
          </w:p>
          <w:p w:rsidR="00000000" w:rsidDel="00000000" w:rsidP="00000000" w:rsidRDefault="00000000" w:rsidRPr="00000000" w14:paraId="0000015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154">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155">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56">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5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58">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"Installation Works"</w:t>
            </w:r>
          </w:p>
        </w:tc>
        <w:tc>
          <w:tcPr/>
          <w:p w:rsidR="00000000" w:rsidDel="00000000" w:rsidP="00000000" w:rsidRDefault="00000000" w:rsidRPr="00000000" w14:paraId="0000015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5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"Intellectual Property Rights" or "IPR"</w:t>
            </w:r>
          </w:p>
        </w:tc>
        <w:tc>
          <w:tcPr/>
          <w:p w:rsidR="00000000" w:rsidDel="00000000" w:rsidP="00000000" w:rsidRDefault="00000000" w:rsidRPr="00000000" w14:paraId="0000015B">
            <w:pPr>
              <w:numPr>
                <w:ilvl w:val="1"/>
                <w:numId w:val="1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5C">
            <w:pPr>
              <w:numPr>
                <w:ilvl w:val="1"/>
                <w:numId w:val="1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5D">
            <w:pPr>
              <w:numPr>
                <w:ilvl w:val="1"/>
                <w:numId w:val="13"/>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15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"Invoicing Address"</w:t>
            </w:r>
          </w:p>
        </w:tc>
        <w:tc>
          <w:tcPr/>
          <w:p w:rsidR="00000000" w:rsidDel="00000000" w:rsidP="00000000" w:rsidRDefault="00000000" w:rsidRPr="00000000" w14:paraId="0000015F">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60">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"IPR Claim"</w:t>
            </w:r>
          </w:p>
        </w:tc>
        <w:tc>
          <w:tcPr/>
          <w:p w:rsidR="00000000" w:rsidDel="00000000" w:rsidP="00000000" w:rsidRDefault="00000000" w:rsidRPr="00000000" w14:paraId="00000161">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6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"IR35"</w:t>
            </w:r>
          </w:p>
        </w:tc>
        <w:tc>
          <w:tcPr/>
          <w:p w:rsidR="00000000" w:rsidDel="00000000" w:rsidP="00000000" w:rsidRDefault="00000000" w:rsidRPr="00000000" w14:paraId="0000016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off-payroll rules requiring individuals who work through their company pay the same income tax and National Insurance contributions as an employee which can be found online at: </w:t>
            </w:r>
            <w:hyperlink r:id="rId7">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164">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Controller Agreement”</w:t>
            </w:r>
          </w:p>
        </w:tc>
        <w:tc>
          <w:tcPr/>
          <w:p w:rsidR="00000000" w:rsidDel="00000000" w:rsidP="00000000" w:rsidRDefault="00000000" w:rsidRPr="00000000" w14:paraId="00000165">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sz w:val="24"/>
                <w:szCs w:val="24"/>
                <w:rtl w:val="0"/>
              </w:rPr>
              <w:t xml:space="preserve">Processing Data</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166">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Controllers”</w:t>
            </w:r>
          </w:p>
        </w:tc>
        <w:tc>
          <w:tcPr/>
          <w:p w:rsidR="00000000" w:rsidDel="00000000" w:rsidP="00000000" w:rsidRDefault="00000000" w:rsidRPr="00000000" w14:paraId="0000016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168">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Staff"</w:t>
            </w:r>
          </w:p>
        </w:tc>
        <w:tc>
          <w:tcPr/>
          <w:p w:rsidR="00000000" w:rsidDel="00000000" w:rsidP="00000000" w:rsidRDefault="00000000" w:rsidRPr="00000000" w14:paraId="0000016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individuals (if any) identified as such in the Order Form;</w:t>
            </w:r>
          </w:p>
        </w:tc>
      </w:tr>
      <w:tr>
        <w:trPr>
          <w:cantSplit w:val="0"/>
          <w:tblHeader w:val="0"/>
        </w:trPr>
        <w:tc>
          <w:tcPr/>
          <w:p w:rsidR="00000000" w:rsidDel="00000000" w:rsidP="00000000" w:rsidRDefault="00000000" w:rsidRPr="00000000" w14:paraId="0000016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Sub-Contract"</w:t>
            </w:r>
          </w:p>
        </w:tc>
        <w:tc>
          <w:tcPr/>
          <w:p w:rsidR="00000000" w:rsidDel="00000000" w:rsidP="00000000" w:rsidRDefault="00000000" w:rsidRPr="00000000" w14:paraId="0000016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Sub-Contract with a Key Subcontractor;</w:t>
            </w:r>
          </w:p>
        </w:tc>
      </w:tr>
      <w:tr>
        <w:trPr>
          <w:cantSplit w:val="0"/>
          <w:tblHeader w:val="0"/>
        </w:trPr>
        <w:tc>
          <w:tcPr/>
          <w:p w:rsidR="00000000" w:rsidDel="00000000" w:rsidP="00000000" w:rsidRDefault="00000000" w:rsidRPr="00000000" w14:paraId="0000016C">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Subcontractor"</w:t>
            </w:r>
          </w:p>
        </w:tc>
        <w:tc>
          <w:tcPr/>
          <w:p w:rsidR="00000000" w:rsidDel="00000000" w:rsidP="00000000" w:rsidRDefault="00000000" w:rsidRPr="00000000" w14:paraId="0000016D">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Subcontractor:</w:t>
            </w:r>
          </w:p>
          <w:p w:rsidR="00000000" w:rsidDel="00000000" w:rsidP="00000000" w:rsidRDefault="00000000" w:rsidRPr="00000000" w14:paraId="0000016E">
            <w:pPr>
              <w:numPr>
                <w:ilvl w:val="1"/>
                <w:numId w:val="14"/>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which is relied upon to deliver any work package within the Deliverables in their entirety; and/or</w:t>
            </w:r>
          </w:p>
          <w:p w:rsidR="00000000" w:rsidDel="00000000" w:rsidP="00000000" w:rsidRDefault="00000000" w:rsidRPr="00000000" w14:paraId="0000016F">
            <w:pPr>
              <w:numPr>
                <w:ilvl w:val="1"/>
                <w:numId w:val="14"/>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70">
            <w:pPr>
              <w:numPr>
                <w:ilvl w:val="1"/>
                <w:numId w:val="14"/>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71">
            <w:pPr>
              <w:tabs>
                <w:tab w:val="left" w:leader="none" w:pos="-576"/>
                <w:tab w:val="left" w:leader="none" w:pos="144"/>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the Supplier shall list all such Key Subcontractors in section 19 of the Framework Award Form and in the Key Subcontractor Section in Order Form;</w:t>
            </w:r>
          </w:p>
        </w:tc>
      </w:tr>
      <w:tr>
        <w:trPr>
          <w:cantSplit w:val="0"/>
          <w:tblHeader w:val="0"/>
        </w:trPr>
        <w:tc>
          <w:tcPr/>
          <w:p w:rsidR="00000000" w:rsidDel="00000000" w:rsidP="00000000" w:rsidRDefault="00000000" w:rsidRPr="00000000" w14:paraId="0000017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Staff"</w:t>
            </w:r>
          </w:p>
        </w:tc>
        <w:tc>
          <w:tcPr/>
          <w:p w:rsidR="00000000" w:rsidDel="00000000" w:rsidP="00000000" w:rsidRDefault="00000000" w:rsidRPr="00000000" w14:paraId="0000017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individuals (if any) identified as such in the Order Form;</w:t>
            </w:r>
          </w:p>
        </w:tc>
      </w:tr>
      <w:tr>
        <w:trPr>
          <w:cantSplit w:val="0"/>
          <w:tblHeader w:val="0"/>
        </w:trPr>
        <w:tc>
          <w:tcPr/>
          <w:p w:rsidR="00000000" w:rsidDel="00000000" w:rsidP="00000000" w:rsidRDefault="00000000" w:rsidRPr="00000000" w14:paraId="00000174">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"Know-How"</w:t>
            </w:r>
          </w:p>
        </w:tc>
        <w:tc>
          <w:tcPr/>
          <w:p w:rsidR="00000000" w:rsidDel="00000000" w:rsidP="00000000" w:rsidRDefault="00000000" w:rsidRPr="00000000" w14:paraId="00000175">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p w:rsidR="00000000" w:rsidDel="00000000" w:rsidP="00000000" w:rsidRDefault="00000000" w:rsidRPr="00000000" w14:paraId="00000176">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"Law"</w:t>
            </w:r>
          </w:p>
        </w:tc>
        <w:tc>
          <w:tcPr/>
          <w:p w:rsidR="00000000" w:rsidDel="00000000" w:rsidP="00000000" w:rsidRDefault="00000000" w:rsidRPr="00000000" w14:paraId="0000017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rPr>
          <w:cantSplit w:val="0"/>
          <w:tblHeader w:val="0"/>
        </w:trPr>
        <w:tc>
          <w:tcPr/>
          <w:p w:rsidR="00000000" w:rsidDel="00000000" w:rsidP="00000000" w:rsidRDefault="00000000" w:rsidRPr="00000000" w14:paraId="00000178">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"Losses"</w:t>
            </w:r>
          </w:p>
        </w:tc>
        <w:tc>
          <w:tcPr/>
          <w:p w:rsidR="00000000" w:rsidDel="00000000" w:rsidP="00000000" w:rsidRDefault="00000000" w:rsidRPr="00000000" w14:paraId="0000017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sz w:val="24"/>
                <w:szCs w:val="24"/>
                <w:rtl w:val="0"/>
              </w:rPr>
              <w:t xml:space="preserve">Loss</w:t>
            </w:r>
            <w:r w:rsidDel="00000000" w:rsidR="00000000" w:rsidRPr="00000000">
              <w:rPr>
                <w:rFonts w:ascii="Arial" w:cs="Arial" w:eastAsia="Arial" w:hAnsi="Arial"/>
                <w:sz w:val="24"/>
                <w:szCs w:val="24"/>
                <w:rtl w:val="0"/>
              </w:rPr>
              <w:t xml:space="preserve">" shall be interpreted accordingly;</w:t>
            </w:r>
          </w:p>
        </w:tc>
      </w:tr>
      <w:tr>
        <w:trPr>
          <w:cantSplit w:val="0"/>
          <w:tblHeader w:val="0"/>
        </w:trPr>
        <w:tc>
          <w:tcPr/>
          <w:p w:rsidR="00000000" w:rsidDel="00000000" w:rsidP="00000000" w:rsidRDefault="00000000" w:rsidRPr="00000000" w14:paraId="0000017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w:t>
            </w:r>
          </w:p>
        </w:tc>
        <w:tc>
          <w:tcPr/>
          <w:p w:rsidR="00000000" w:rsidDel="00000000" w:rsidP="00000000" w:rsidRDefault="00000000" w:rsidRPr="00000000" w14:paraId="0000017B">
            <w:pPr>
              <w:tabs>
                <w:tab w:val="left" w:leader="none" w:pos="-179"/>
                <w:tab w:val="left" w:leader="none" w:pos="175"/>
              </w:tabs>
              <w:spacing w:after="120" w:lineRule="auto"/>
              <w:ind w:left="141.73228346456688" w:right="18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17C">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"Management Charge"</w:t>
            </w:r>
          </w:p>
        </w:tc>
        <w:tc>
          <w:tcPr/>
          <w:p w:rsidR="00000000" w:rsidDel="00000000" w:rsidP="00000000" w:rsidRDefault="00000000" w:rsidRPr="00000000" w14:paraId="0000017D">
            <w:pPr>
              <w:tabs>
                <w:tab w:val="left" w:leader="none" w:pos="-179"/>
                <w:tab w:val="left" w:leader="none" w:pos="-9"/>
              </w:tabs>
              <w:spacing w:after="120" w:lineRule="auto"/>
              <w:ind w:left="141.73228346456688" w:right="18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17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"Management Information" or “MI”</w:t>
            </w:r>
          </w:p>
        </w:tc>
        <w:tc>
          <w:tcPr/>
          <w:p w:rsidR="00000000" w:rsidDel="00000000" w:rsidP="00000000" w:rsidRDefault="00000000" w:rsidRPr="00000000" w14:paraId="0000017F">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management information specified in Framework Schedule 5 (Management Charges and Information);</w:t>
            </w:r>
          </w:p>
        </w:tc>
      </w:tr>
      <w:tr>
        <w:trPr>
          <w:cantSplit w:val="0"/>
          <w:tblHeader w:val="0"/>
        </w:trPr>
        <w:tc>
          <w:tcPr/>
          <w:p w:rsidR="00000000" w:rsidDel="00000000" w:rsidP="00000000" w:rsidRDefault="00000000" w:rsidRPr="00000000" w14:paraId="00000180">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 Default”</w:t>
            </w:r>
          </w:p>
        </w:tc>
        <w:tc>
          <w:tcPr/>
          <w:p w:rsidR="00000000" w:rsidDel="00000000" w:rsidP="00000000" w:rsidRDefault="00000000" w:rsidRPr="00000000" w14:paraId="00000181">
            <w:pPr>
              <w:tabs>
                <w:tab w:val="left" w:leader="none" w:pos="-179"/>
                <w:tab w:val="left" w:leader="none" w:pos="175"/>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8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 Failure"</w:t>
            </w:r>
          </w:p>
        </w:tc>
        <w:tc>
          <w:tcPr/>
          <w:p w:rsidR="00000000" w:rsidDel="00000000" w:rsidP="00000000" w:rsidRDefault="00000000" w:rsidRPr="00000000" w14:paraId="00000183">
            <w:pPr>
              <w:tabs>
                <w:tab w:val="left" w:leader="none" w:pos="-179"/>
                <w:tab w:val="left" w:leader="none" w:pos="175"/>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means when an MI report:</w:t>
            </w:r>
          </w:p>
          <w:p w:rsidR="00000000" w:rsidDel="00000000" w:rsidP="00000000" w:rsidRDefault="00000000" w:rsidRPr="00000000" w14:paraId="00000184">
            <w:pPr>
              <w:numPr>
                <w:ilvl w:val="1"/>
                <w:numId w:val="17"/>
              </w:numPr>
              <w:tabs>
                <w:tab w:val="left" w:leader="none" w:pos="-576"/>
                <w:tab w:val="left" w:leader="none" w:pos="175"/>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contains any material errors or material omissions or a missing mandatory field; or  </w:t>
            </w:r>
          </w:p>
          <w:p w:rsidR="00000000" w:rsidDel="00000000" w:rsidP="00000000" w:rsidRDefault="00000000" w:rsidRPr="00000000" w14:paraId="00000185">
            <w:pPr>
              <w:numPr>
                <w:ilvl w:val="1"/>
                <w:numId w:val="17"/>
              </w:numPr>
              <w:tabs>
                <w:tab w:val="left" w:leader="none" w:pos="-576"/>
                <w:tab w:val="left" w:leader="none" w:pos="175"/>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is submitted using an incorrect MI reporting Template; or </w:t>
            </w:r>
          </w:p>
          <w:p w:rsidR="00000000" w:rsidDel="00000000" w:rsidP="00000000" w:rsidRDefault="00000000" w:rsidRPr="00000000" w14:paraId="00000186">
            <w:pPr>
              <w:numPr>
                <w:ilvl w:val="1"/>
                <w:numId w:val="17"/>
              </w:numPr>
              <w:tabs>
                <w:tab w:val="left" w:leader="none" w:pos="-576"/>
                <w:tab w:val="left" w:leader="none" w:pos="175"/>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is not submitted by the reporting date (including where a declaration of no business should have been filed);</w:t>
            </w:r>
          </w:p>
        </w:tc>
      </w:tr>
      <w:tr>
        <w:trPr>
          <w:cantSplit w:val="0"/>
          <w:tblHeader w:val="0"/>
        </w:trPr>
        <w:tc>
          <w:tcPr/>
          <w:p w:rsidR="00000000" w:rsidDel="00000000" w:rsidP="00000000" w:rsidRDefault="00000000" w:rsidRPr="00000000" w14:paraId="0000018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 Report"</w:t>
            </w:r>
          </w:p>
        </w:tc>
        <w:tc>
          <w:tcPr/>
          <w:p w:rsidR="00000000" w:rsidDel="00000000" w:rsidP="00000000" w:rsidRDefault="00000000" w:rsidRPr="00000000" w14:paraId="00000188">
            <w:pPr>
              <w:tabs>
                <w:tab w:val="left" w:leader="none" w:pos="-179"/>
                <w:tab w:val="left" w:leader="none" w:pos="175"/>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18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 Reporting Template"</w:t>
            </w:r>
          </w:p>
        </w:tc>
        <w:tc>
          <w:tcPr/>
          <w:p w:rsidR="00000000" w:rsidDel="00000000" w:rsidP="00000000" w:rsidRDefault="00000000" w:rsidRPr="00000000" w14:paraId="0000018A">
            <w:pPr>
              <w:tabs>
                <w:tab w:val="left" w:leader="none" w:pos="-179"/>
                <w:tab w:val="left" w:leader="none" w:pos="175"/>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18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"Milestone"</w:t>
            </w:r>
          </w:p>
        </w:tc>
        <w:tc>
          <w:tcPr/>
          <w:p w:rsidR="00000000" w:rsidDel="00000000" w:rsidP="00000000" w:rsidRDefault="00000000" w:rsidRPr="00000000" w14:paraId="0000018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8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"Milestone Date"</w:t>
            </w:r>
          </w:p>
        </w:tc>
        <w:tc>
          <w:tcPr/>
          <w:p w:rsidR="00000000" w:rsidDel="00000000" w:rsidP="00000000" w:rsidRDefault="00000000" w:rsidRPr="00000000" w14:paraId="0000018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8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"Month"</w:t>
            </w:r>
          </w:p>
        </w:tc>
        <w:tc>
          <w:tcPr/>
          <w:p w:rsidR="00000000" w:rsidDel="00000000" w:rsidP="00000000" w:rsidRDefault="00000000" w:rsidRPr="00000000" w14:paraId="0000019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calendar month and "</w:t>
            </w:r>
            <w:r w:rsidDel="00000000" w:rsidR="00000000" w:rsidRPr="00000000">
              <w:rPr>
                <w:rFonts w:ascii="Arial" w:cs="Arial" w:eastAsia="Arial" w:hAnsi="Arial"/>
                <w:b w:val="1"/>
                <w:sz w:val="24"/>
                <w:szCs w:val="24"/>
                <w:rtl w:val="0"/>
              </w:rPr>
              <w:t xml:space="preserve">Monthly</w:t>
            </w:r>
            <w:r w:rsidDel="00000000" w:rsidR="00000000" w:rsidRPr="00000000">
              <w:rPr>
                <w:rFonts w:ascii="Arial" w:cs="Arial" w:eastAsia="Arial" w:hAnsi="Arial"/>
                <w:sz w:val="24"/>
                <w:szCs w:val="24"/>
                <w:rtl w:val="0"/>
              </w:rPr>
              <w:t xml:space="preserve">" shall be interpreted accordingly;</w:t>
            </w:r>
          </w:p>
        </w:tc>
      </w:tr>
      <w:tr>
        <w:trPr>
          <w:cantSplit w:val="0"/>
          <w:tblHeader w:val="0"/>
        </w:trPr>
        <w:tc>
          <w:tcPr/>
          <w:p w:rsidR="00000000" w:rsidDel="00000000" w:rsidP="00000000" w:rsidRDefault="00000000" w:rsidRPr="00000000" w14:paraId="0000019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"National Insurance"</w:t>
            </w:r>
          </w:p>
        </w:tc>
        <w:tc>
          <w:tcPr/>
          <w:p w:rsidR="00000000" w:rsidDel="00000000" w:rsidP="00000000" w:rsidRDefault="00000000" w:rsidRPr="00000000" w14:paraId="0000019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93">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"New IPR"</w:t>
            </w:r>
          </w:p>
        </w:tc>
        <w:tc>
          <w:tcPr/>
          <w:p w:rsidR="00000000" w:rsidDel="00000000" w:rsidP="00000000" w:rsidRDefault="00000000" w:rsidRPr="00000000" w14:paraId="00000194">
            <w:pPr>
              <w:numPr>
                <w:ilvl w:val="1"/>
                <w:numId w:val="4"/>
              </w:numPr>
              <w:tabs>
                <w:tab w:val="left" w:leader="none" w:pos="-576"/>
                <w:tab w:val="left" w:leader="none" w:pos="144"/>
              </w:tabs>
              <w:spacing w:after="120" w:lineRule="auto"/>
              <w:ind w:left="141.73228346456688" w:firstLine="240"/>
              <w:rPr>
                <w:sz w:val="24"/>
                <w:szCs w:val="24"/>
              </w:rPr>
            </w:pPr>
            <w:r w:rsidDel="00000000" w:rsidR="00000000" w:rsidRPr="00000000">
              <w:rPr>
                <w:rFonts w:ascii="Arial" w:cs="Arial" w:eastAsia="Arial" w:hAnsi="Arial"/>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p>
          <w:p w:rsidR="00000000" w:rsidDel="00000000" w:rsidP="00000000" w:rsidRDefault="00000000" w:rsidRPr="00000000" w14:paraId="00000195">
            <w:pPr>
              <w:numPr>
                <w:ilvl w:val="1"/>
                <w:numId w:val="4"/>
              </w:numPr>
              <w:tabs>
                <w:tab w:val="left" w:leader="none" w:pos="-576"/>
                <w:tab w:val="left" w:leader="none" w:pos="144"/>
              </w:tabs>
              <w:spacing w:after="120" w:lineRule="auto"/>
              <w:ind w:left="141.73228346456688" w:firstLine="240"/>
              <w:rPr>
                <w:sz w:val="24"/>
                <w:szCs w:val="24"/>
              </w:rPr>
            </w:pPr>
            <w:r w:rsidDel="00000000" w:rsidR="00000000" w:rsidRPr="00000000">
              <w:rPr>
                <w:rFonts w:ascii="Arial" w:cs="Arial" w:eastAsia="Arial" w:hAnsi="Arial"/>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96">
            <w:pPr>
              <w:tabs>
                <w:tab w:val="left" w:leader="none" w:pos="-179"/>
                <w:tab w:val="left" w:leader="none" w:pos="-9"/>
              </w:tabs>
              <w:spacing w:after="120" w:lineRule="auto"/>
              <w:ind w:left="141.73228346456688" w:firstLine="240"/>
              <w:rPr>
                <w:rFonts w:ascii="Arial" w:cs="Arial" w:eastAsia="Arial" w:hAnsi="Arial"/>
                <w:sz w:val="24"/>
                <w:szCs w:val="24"/>
              </w:rPr>
            </w:pPr>
            <w:r w:rsidDel="00000000" w:rsidR="00000000" w:rsidRPr="00000000">
              <w:rPr>
                <w:rFonts w:ascii="Arial" w:cs="Arial" w:eastAsia="Arial" w:hAnsi="Arial"/>
                <w:sz w:val="24"/>
                <w:szCs w:val="24"/>
                <w:rtl w:val="0"/>
              </w:rPr>
              <w:t xml:space="preserve">but shall not include the Supplier’s Existing IPR;</w:t>
            </w:r>
          </w:p>
        </w:tc>
      </w:tr>
      <w:tr>
        <w:trPr>
          <w:cantSplit w:val="0"/>
          <w:tblHeader w:val="0"/>
        </w:trPr>
        <w:tc>
          <w:tcPr/>
          <w:p w:rsidR="00000000" w:rsidDel="00000000" w:rsidP="00000000" w:rsidRDefault="00000000" w:rsidRPr="00000000" w14:paraId="0000019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"Occasion of Tax Non–Compliance"</w:t>
            </w:r>
          </w:p>
        </w:tc>
        <w:tc>
          <w:tcPr/>
          <w:p w:rsidR="00000000" w:rsidDel="00000000" w:rsidP="00000000" w:rsidRDefault="00000000" w:rsidRPr="00000000" w14:paraId="00000198">
            <w:pPr>
              <w:tabs>
                <w:tab w:val="left" w:leader="none" w:pos="-179"/>
                <w:tab w:val="left" w:leader="none" w:pos="-9"/>
              </w:tabs>
              <w:spacing w:after="120" w:lineRule="auto"/>
              <w:ind w:left="141.73228346456688" w:firstLine="240"/>
              <w:rPr>
                <w:rFonts w:ascii="Arial" w:cs="Arial" w:eastAsia="Arial" w:hAnsi="Arial"/>
                <w:sz w:val="24"/>
                <w:szCs w:val="24"/>
              </w:rPr>
            </w:pPr>
            <w:r w:rsidDel="00000000" w:rsidR="00000000" w:rsidRPr="00000000">
              <w:rPr>
                <w:rFonts w:ascii="Arial" w:cs="Arial" w:eastAsia="Arial" w:hAnsi="Arial"/>
                <w:sz w:val="24"/>
                <w:szCs w:val="24"/>
                <w:rtl w:val="0"/>
              </w:rPr>
              <w:t xml:space="preserve">where: </w:t>
            </w:r>
          </w:p>
          <w:p w:rsidR="00000000" w:rsidDel="00000000" w:rsidP="00000000" w:rsidRDefault="00000000" w:rsidRPr="00000000" w14:paraId="00000199">
            <w:pPr>
              <w:numPr>
                <w:ilvl w:val="1"/>
                <w:numId w:val="5"/>
              </w:numPr>
              <w:tabs>
                <w:tab w:val="left" w:leader="none" w:pos="-576"/>
                <w:tab w:val="left" w:leader="none" w:pos="144"/>
              </w:tabs>
              <w:spacing w:after="120" w:lineRule="auto"/>
              <w:ind w:left="141.73228346456688" w:firstLine="240"/>
              <w:rPr>
                <w:sz w:val="24"/>
                <w:szCs w:val="24"/>
              </w:rPr>
            </w:pPr>
            <w:r w:rsidDel="00000000" w:rsidR="00000000" w:rsidRPr="00000000">
              <w:rPr>
                <w:rFonts w:ascii="Arial" w:cs="Arial" w:eastAsia="Arial" w:hAnsi="Arial"/>
                <w:sz w:val="24"/>
                <w:szCs w:val="24"/>
                <w:rtl w:val="0"/>
              </w:rPr>
              <w:t xml:space="preserve">any Tax return of the Supplier submitted to a Relevant Tax Authority on or after 1 October 2012 is found on or after 1 April 2013 to be incorrect as a result of:</w:t>
            </w:r>
          </w:p>
          <w:p w:rsidR="00000000" w:rsidDel="00000000" w:rsidP="00000000" w:rsidRDefault="00000000" w:rsidRPr="00000000" w14:paraId="0000019A">
            <w:pPr>
              <w:numPr>
                <w:ilvl w:val="2"/>
                <w:numId w:val="5"/>
              </w:numPr>
              <w:tabs>
                <w:tab w:val="left" w:leader="none" w:pos="-576"/>
                <w:tab w:val="left" w:leader="none" w:pos="144"/>
              </w:tabs>
              <w:spacing w:after="120" w:lineRule="auto"/>
              <w:ind w:left="141.73228346456688" w:firstLine="240"/>
            </w:pPr>
            <w:r w:rsidDel="00000000" w:rsidR="00000000" w:rsidRPr="00000000">
              <w:rPr>
                <w:rFonts w:ascii="Arial" w:cs="Arial" w:eastAsia="Arial" w:hAnsi="Arial"/>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9B">
            <w:pPr>
              <w:numPr>
                <w:ilvl w:val="2"/>
                <w:numId w:val="5"/>
              </w:numPr>
              <w:tabs>
                <w:tab w:val="left" w:leader="none" w:pos="-576"/>
                <w:tab w:val="left" w:leader="none" w:pos="144"/>
              </w:tabs>
              <w:spacing w:after="120" w:lineRule="auto"/>
              <w:ind w:left="141.73228346456688" w:firstLine="240"/>
            </w:pPr>
            <w:r w:rsidDel="00000000" w:rsidR="00000000" w:rsidRPr="00000000">
              <w:rPr>
                <w:rFonts w:ascii="Arial" w:cs="Arial" w:eastAsia="Arial" w:hAnsi="Arial"/>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9C">
            <w:pPr>
              <w:numPr>
                <w:ilvl w:val="1"/>
                <w:numId w:val="5"/>
              </w:numPr>
              <w:tabs>
                <w:tab w:val="left" w:leader="none" w:pos="-576"/>
                <w:tab w:val="left" w:leader="none" w:pos="144"/>
              </w:tabs>
              <w:spacing w:after="120" w:lineRule="auto"/>
              <w:ind w:left="141.73228346456688" w:firstLine="240"/>
              <w:rPr>
                <w:sz w:val="24"/>
                <w:szCs w:val="24"/>
              </w:rPr>
            </w:pPr>
            <w:r w:rsidDel="00000000" w:rsidR="00000000" w:rsidRPr="00000000">
              <w:rPr>
                <w:rFonts w:ascii="Arial" w:cs="Arial" w:eastAsia="Arial" w:hAnsi="Arial"/>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rPr>
          <w:cantSplit w:val="0"/>
          <w:tblHeader w:val="0"/>
        </w:trPr>
        <w:tc>
          <w:tcPr/>
          <w:p w:rsidR="00000000" w:rsidDel="00000000" w:rsidP="00000000" w:rsidRDefault="00000000" w:rsidRPr="00000000" w14:paraId="0000019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"Open Book Data "</w:t>
            </w:r>
          </w:p>
        </w:tc>
        <w:tc>
          <w:tcPr/>
          <w:p w:rsidR="00000000" w:rsidDel="00000000" w:rsidP="00000000" w:rsidRDefault="00000000" w:rsidRPr="00000000" w14:paraId="0000019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9F">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A0">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operating expenditure relating to the provision of the Deliverables including an analysis showing:</w:t>
            </w:r>
          </w:p>
          <w:p w:rsidR="00000000" w:rsidDel="00000000" w:rsidP="00000000" w:rsidRDefault="00000000" w:rsidRPr="00000000" w14:paraId="000001A1">
            <w:pPr>
              <w:numPr>
                <w:ilvl w:val="2"/>
                <w:numId w:val="6"/>
              </w:numPr>
              <w:tabs>
                <w:tab w:val="left" w:leader="none" w:pos="-576"/>
                <w:tab w:val="left" w:leader="none" w:pos="144"/>
              </w:tabs>
              <w:spacing w:after="120" w:lineRule="auto"/>
              <w:ind w:left="141.73228346456688" w:firstLine="0"/>
            </w:pPr>
            <w:r w:rsidDel="00000000" w:rsidR="00000000" w:rsidRPr="00000000">
              <w:rPr>
                <w:rFonts w:ascii="Arial" w:cs="Arial" w:eastAsia="Arial" w:hAnsi="Arial"/>
                <w:sz w:val="24"/>
                <w:szCs w:val="24"/>
                <w:rtl w:val="0"/>
              </w:rPr>
              <w:t xml:space="preserve">the unit costs and quantity of Goods and any other consumables and bought-in Deliverables;</w:t>
            </w:r>
          </w:p>
          <w:p w:rsidR="00000000" w:rsidDel="00000000" w:rsidP="00000000" w:rsidRDefault="00000000" w:rsidRPr="00000000" w14:paraId="000001A2">
            <w:pPr>
              <w:numPr>
                <w:ilvl w:val="2"/>
                <w:numId w:val="6"/>
              </w:numPr>
              <w:tabs>
                <w:tab w:val="left" w:leader="none" w:pos="-576"/>
                <w:tab w:val="left" w:leader="none" w:pos="144"/>
              </w:tabs>
              <w:spacing w:after="120" w:lineRule="auto"/>
              <w:ind w:left="141.73228346456688" w:firstLine="0"/>
            </w:pPr>
            <w:r w:rsidDel="00000000" w:rsidR="00000000" w:rsidRPr="00000000">
              <w:rPr>
                <w:rFonts w:ascii="Arial" w:cs="Arial" w:eastAsia="Arial" w:hAnsi="Arial"/>
                <w:sz w:val="24"/>
                <w:szCs w:val="24"/>
                <w:rtl w:val="0"/>
              </w:rPr>
              <w:t xml:space="preserve">staff costs broken down into the number and grade/role of all Supplier Staff (free of any contingency) together with a list of agreed rates against each grade;</w:t>
            </w:r>
          </w:p>
          <w:p w:rsidR="00000000" w:rsidDel="00000000" w:rsidP="00000000" w:rsidRDefault="00000000" w:rsidRPr="00000000" w14:paraId="000001A3">
            <w:pPr>
              <w:numPr>
                <w:ilvl w:val="2"/>
                <w:numId w:val="6"/>
              </w:numPr>
              <w:tabs>
                <w:tab w:val="left" w:leader="none" w:pos="-576"/>
                <w:tab w:val="left" w:leader="none" w:pos="144"/>
              </w:tabs>
              <w:spacing w:after="120" w:lineRule="auto"/>
              <w:ind w:left="141.73228346456688" w:firstLine="0"/>
            </w:pPr>
            <w:r w:rsidDel="00000000" w:rsidR="00000000" w:rsidRPr="00000000">
              <w:rPr>
                <w:rFonts w:ascii="Arial" w:cs="Arial" w:eastAsia="Arial" w:hAnsi="Arial"/>
                <w:sz w:val="24"/>
                <w:szCs w:val="24"/>
                <w:rtl w:val="0"/>
              </w:rPr>
              <w:t xml:space="preserve">a list of Costs underpinning those rates for each grade, being the agreed rate less the Supplier Profit Margin; and</w:t>
            </w:r>
          </w:p>
          <w:p w:rsidR="00000000" w:rsidDel="00000000" w:rsidP="00000000" w:rsidRDefault="00000000" w:rsidRPr="00000000" w14:paraId="000001A4">
            <w:pPr>
              <w:numPr>
                <w:ilvl w:val="2"/>
                <w:numId w:val="6"/>
              </w:numPr>
              <w:tabs>
                <w:tab w:val="left" w:leader="none" w:pos="-576"/>
                <w:tab w:val="left" w:leader="none" w:pos="144"/>
              </w:tabs>
              <w:spacing w:after="120" w:lineRule="auto"/>
              <w:ind w:left="141.73228346456688" w:firstLine="0"/>
            </w:pPr>
            <w:r w:rsidDel="00000000" w:rsidR="00000000" w:rsidRPr="00000000">
              <w:rPr>
                <w:rFonts w:ascii="Arial" w:cs="Arial" w:eastAsia="Arial" w:hAnsi="Arial"/>
                <w:sz w:val="24"/>
                <w:szCs w:val="24"/>
                <w:rtl w:val="0"/>
              </w:rPr>
              <w:t xml:space="preserve">Reimbursable Expenses, if allowed under the Order Form; </w:t>
            </w:r>
          </w:p>
          <w:p w:rsidR="00000000" w:rsidDel="00000000" w:rsidP="00000000" w:rsidRDefault="00000000" w:rsidRPr="00000000" w14:paraId="000001A5">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Overheads; </w:t>
            </w:r>
          </w:p>
          <w:p w:rsidR="00000000" w:rsidDel="00000000" w:rsidP="00000000" w:rsidRDefault="00000000" w:rsidRPr="00000000" w14:paraId="000001A6">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all interest, expenses and any other third party financing costs incurred in relation to the provision of the Deliverables;</w:t>
            </w:r>
          </w:p>
          <w:p w:rsidR="00000000" w:rsidDel="00000000" w:rsidP="00000000" w:rsidRDefault="00000000" w:rsidRPr="00000000" w14:paraId="000001A7">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Supplier Profit achieved over the Framework Contract Period and on an annual basis;</w:t>
            </w:r>
          </w:p>
          <w:p w:rsidR="00000000" w:rsidDel="00000000" w:rsidP="00000000" w:rsidRDefault="00000000" w:rsidRPr="00000000" w14:paraId="000001A8">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A9">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AA">
            <w:pPr>
              <w:numPr>
                <w:ilvl w:val="1"/>
                <w:numId w:val="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actual Costs profile for each Service Period;</w:t>
            </w:r>
          </w:p>
        </w:tc>
      </w:tr>
      <w:tr>
        <w:trPr>
          <w:cantSplit w:val="0"/>
          <w:tblHeader w:val="0"/>
        </w:trPr>
        <w:tc>
          <w:tcPr/>
          <w:p w:rsidR="00000000" w:rsidDel="00000000" w:rsidP="00000000" w:rsidRDefault="00000000" w:rsidRPr="00000000" w14:paraId="000001A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"Order"</w:t>
            </w:r>
          </w:p>
        </w:tc>
        <w:tc>
          <w:tcPr/>
          <w:p w:rsidR="00000000" w:rsidDel="00000000" w:rsidP="00000000" w:rsidRDefault="00000000" w:rsidRPr="00000000" w14:paraId="000001A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A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"Order Form"</w:t>
            </w:r>
          </w:p>
        </w:tc>
        <w:tc>
          <w:tcPr/>
          <w:p w:rsidR="00000000" w:rsidDel="00000000" w:rsidP="00000000" w:rsidRDefault="00000000" w:rsidRPr="00000000" w14:paraId="000001A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A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"Order Form Template"</w:t>
            </w:r>
          </w:p>
        </w:tc>
        <w:tc>
          <w:tcPr/>
          <w:p w:rsidR="00000000" w:rsidDel="00000000" w:rsidP="00000000" w:rsidRDefault="00000000" w:rsidRPr="00000000" w14:paraId="000001B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template in Framework Schedule 6 (Order Form Template and Call-Off Schedules);</w:t>
            </w:r>
          </w:p>
        </w:tc>
      </w:tr>
      <w:tr>
        <w:trPr>
          <w:cantSplit w:val="0"/>
          <w:tblHeader w:val="0"/>
        </w:trPr>
        <w:tc>
          <w:tcPr/>
          <w:p w:rsidR="00000000" w:rsidDel="00000000" w:rsidP="00000000" w:rsidRDefault="00000000" w:rsidRPr="00000000" w14:paraId="000001B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Contracting Authority"</w:t>
            </w:r>
          </w:p>
        </w:tc>
        <w:tc>
          <w:tcPr/>
          <w:p w:rsidR="00000000" w:rsidDel="00000000" w:rsidP="00000000" w:rsidRDefault="00000000" w:rsidRPr="00000000" w14:paraId="000001B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B3">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"Overhead"</w:t>
            </w:r>
          </w:p>
        </w:tc>
        <w:tc>
          <w:tcPr/>
          <w:p w:rsidR="00000000" w:rsidDel="00000000" w:rsidP="00000000" w:rsidRDefault="00000000" w:rsidRPr="00000000" w14:paraId="000001B4">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B5">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“Parent Undertaking”</w:t>
            </w:r>
          </w:p>
        </w:tc>
        <w:tc>
          <w:tcPr/>
          <w:p w:rsidR="00000000" w:rsidDel="00000000" w:rsidP="00000000" w:rsidRDefault="00000000" w:rsidRPr="00000000" w14:paraId="000001B6">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1B7">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"Parliament"</w:t>
            </w:r>
          </w:p>
        </w:tc>
        <w:tc>
          <w:tcPr/>
          <w:p w:rsidR="00000000" w:rsidDel="00000000" w:rsidP="00000000" w:rsidRDefault="00000000" w:rsidRPr="00000000" w14:paraId="000001B8">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B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"Party"</w:t>
            </w:r>
          </w:p>
        </w:tc>
        <w:tc>
          <w:tcPr/>
          <w:p w:rsidR="00000000" w:rsidDel="00000000" w:rsidP="00000000" w:rsidRDefault="00000000" w:rsidRPr="00000000" w14:paraId="000001BA">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the context of the Framework Contract, CCS or the Supplier, and in the context of a Call-Off Contract the Buyer or the Supplier. "</w:t>
            </w:r>
            <w:r w:rsidDel="00000000" w:rsidR="00000000" w:rsidRPr="00000000">
              <w:rPr>
                <w:rFonts w:ascii="Arial" w:cs="Arial" w:eastAsia="Arial" w:hAnsi="Arial"/>
                <w:b w:val="1"/>
                <w:sz w:val="24"/>
                <w:szCs w:val="24"/>
                <w:rtl w:val="0"/>
              </w:rPr>
              <w:t xml:space="preserve">Parties</w:t>
            </w:r>
            <w:r w:rsidDel="00000000" w:rsidR="00000000" w:rsidRPr="00000000">
              <w:rPr>
                <w:rFonts w:ascii="Arial" w:cs="Arial" w:eastAsia="Arial" w:hAnsi="Arial"/>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1B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"Performance Indicators" or "PIs"</w:t>
            </w:r>
          </w:p>
        </w:tc>
        <w:tc>
          <w:tcPr/>
          <w:p w:rsidR="00000000" w:rsidDel="00000000" w:rsidP="00000000" w:rsidRDefault="00000000" w:rsidRPr="00000000" w14:paraId="000001B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performance measurements and targets in respect of the Supplier’s performance of the Framework Contract set out in Framework Schedule 4 (Framework Management);</w:t>
            </w:r>
          </w:p>
        </w:tc>
      </w:tr>
      <w:tr>
        <w:trPr>
          <w:cantSplit w:val="0"/>
          <w:tblHeader w:val="0"/>
        </w:trPr>
        <w:tc>
          <w:tcPr/>
          <w:p w:rsidR="00000000" w:rsidDel="00000000" w:rsidP="00000000" w:rsidRDefault="00000000" w:rsidRPr="00000000" w14:paraId="000001B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"Personal Data"</w:t>
            </w:r>
          </w:p>
        </w:tc>
        <w:tc>
          <w:tcPr/>
          <w:p w:rsidR="00000000" w:rsidDel="00000000" w:rsidP="00000000" w:rsidRDefault="00000000" w:rsidRPr="00000000" w14:paraId="000001B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B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“Personal Data Breach”</w:t>
            </w:r>
          </w:p>
        </w:tc>
        <w:tc>
          <w:tcPr/>
          <w:p w:rsidR="00000000" w:rsidDel="00000000" w:rsidP="00000000" w:rsidRDefault="00000000" w:rsidRPr="00000000" w14:paraId="000001C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event that results, or may result, in unauthorised access to Personal Data held under this Contract, and/or actual or potential loss and/or destruction of Personal Data in breach of this Contract, including any Personal Data Breach as defined by UK GDPR;</w:t>
            </w:r>
          </w:p>
        </w:tc>
      </w:tr>
      <w:tr>
        <w:trPr>
          <w:cantSplit w:val="0"/>
          <w:tblHeader w:val="0"/>
        </w:trPr>
        <w:tc>
          <w:tcPr/>
          <w:p w:rsidR="00000000" w:rsidDel="00000000" w:rsidP="00000000" w:rsidRDefault="00000000" w:rsidRPr="00000000" w14:paraId="000001C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“Personnel”</w:t>
            </w:r>
          </w:p>
        </w:tc>
        <w:tc>
          <w:tcPr/>
          <w:p w:rsidR="00000000" w:rsidDel="00000000" w:rsidP="00000000" w:rsidRDefault="00000000" w:rsidRPr="00000000" w14:paraId="000001C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p w:rsidR="00000000" w:rsidDel="00000000" w:rsidP="00000000" w:rsidRDefault="00000000" w:rsidRPr="00000000" w14:paraId="000001C3">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"Prescribed Person"</w:t>
            </w:r>
          </w:p>
        </w:tc>
        <w:tc>
          <w:tcPr/>
          <w:p w:rsidR="00000000" w:rsidDel="00000000" w:rsidP="00000000" w:rsidRDefault="00000000" w:rsidRPr="00000000" w14:paraId="000001C4">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legal adviser, an MP or an appropriate body which a whistle-blower may make a disclosure to as detailed in ‘Whistleblowing: list of prescribed people and bodies’, 24 November 2016, available online at: </w:t>
            </w:r>
            <w:hyperlink r:id="rId8">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1C5">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“Processing”</w:t>
            </w:r>
          </w:p>
        </w:tc>
        <w:tc>
          <w:tcPr/>
          <w:p w:rsidR="00000000" w:rsidDel="00000000" w:rsidP="00000000" w:rsidRDefault="00000000" w:rsidRPr="00000000" w14:paraId="000001C6">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w:t>
            </w:r>
          </w:p>
        </w:tc>
        <w:tc>
          <w:tcPr/>
          <w:p w:rsidR="00000000" w:rsidDel="00000000" w:rsidP="00000000" w:rsidRDefault="00000000" w:rsidRPr="00000000" w14:paraId="000001C8">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 Meeting"</w:t>
            </w:r>
          </w:p>
        </w:tc>
        <w:tc>
          <w:tcPr/>
          <w:p w:rsidR="00000000" w:rsidDel="00000000" w:rsidP="00000000" w:rsidRDefault="00000000" w:rsidRPr="00000000" w14:paraId="000001CA">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1C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 Meeting Frequency"</w:t>
            </w:r>
          </w:p>
        </w:tc>
        <w:tc>
          <w:tcPr/>
          <w:p w:rsidR="00000000" w:rsidDel="00000000" w:rsidP="00000000" w:rsidRDefault="00000000" w:rsidRPr="00000000" w14:paraId="000001C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1C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 Report”</w:t>
            </w:r>
          </w:p>
        </w:tc>
        <w:tc>
          <w:tcPr/>
          <w:p w:rsidR="00000000" w:rsidDel="00000000" w:rsidP="00000000" w:rsidRDefault="00000000" w:rsidRPr="00000000" w14:paraId="000001C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1C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 Report Frequency”</w:t>
            </w:r>
          </w:p>
        </w:tc>
        <w:tc>
          <w:tcPr/>
          <w:p w:rsidR="00000000" w:rsidDel="00000000" w:rsidP="00000000" w:rsidRDefault="00000000" w:rsidRPr="00000000" w14:paraId="000001D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1D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“Prohibited Acts”</w:t>
            </w:r>
          </w:p>
        </w:tc>
        <w:tc>
          <w:tcPr/>
          <w:p w:rsidR="00000000" w:rsidDel="00000000" w:rsidP="00000000" w:rsidRDefault="00000000" w:rsidRPr="00000000" w14:paraId="000001D2">
            <w:pPr>
              <w:numPr>
                <w:ilvl w:val="1"/>
                <w:numId w:val="24"/>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1D3">
            <w:pPr>
              <w:numPr>
                <w:ilvl w:val="2"/>
                <w:numId w:val="24"/>
              </w:numPr>
              <w:tabs>
                <w:tab w:val="left" w:leader="none" w:pos="-179"/>
                <w:tab w:val="left" w:leader="none" w:pos="-9"/>
              </w:tabs>
              <w:spacing w:after="120" w:lineRule="auto"/>
              <w:ind w:left="141.73228346456688" w:firstLine="0"/>
            </w:pPr>
            <w:r w:rsidDel="00000000" w:rsidR="00000000" w:rsidRPr="00000000">
              <w:rPr>
                <w:rFonts w:ascii="Arial" w:cs="Arial" w:eastAsia="Arial" w:hAnsi="Arial"/>
                <w:sz w:val="24"/>
                <w:szCs w:val="24"/>
                <w:rtl w:val="0"/>
              </w:rPr>
              <w:t xml:space="preserve">induce that person to perform improperly a relevant function or activity; or</w:t>
            </w:r>
          </w:p>
          <w:p w:rsidR="00000000" w:rsidDel="00000000" w:rsidP="00000000" w:rsidRDefault="00000000" w:rsidRPr="00000000" w14:paraId="000001D4">
            <w:pPr>
              <w:numPr>
                <w:ilvl w:val="2"/>
                <w:numId w:val="24"/>
              </w:numPr>
              <w:tabs>
                <w:tab w:val="left" w:leader="none" w:pos="-179"/>
                <w:tab w:val="left" w:leader="none" w:pos="-9"/>
              </w:tabs>
              <w:spacing w:after="120" w:lineRule="auto"/>
              <w:ind w:left="141.73228346456688" w:firstLine="0"/>
            </w:pPr>
            <w:r w:rsidDel="00000000" w:rsidR="00000000" w:rsidRPr="00000000">
              <w:rPr>
                <w:rFonts w:ascii="Arial" w:cs="Arial" w:eastAsia="Arial" w:hAnsi="Arial"/>
                <w:sz w:val="24"/>
                <w:szCs w:val="24"/>
                <w:rtl w:val="0"/>
              </w:rPr>
              <w:t xml:space="preserve">reward that person for improper performance of a relevant function or activity; </w:t>
            </w:r>
          </w:p>
          <w:p w:rsidR="00000000" w:rsidDel="00000000" w:rsidP="00000000" w:rsidRDefault="00000000" w:rsidRPr="00000000" w14:paraId="000001D5">
            <w:pPr>
              <w:numPr>
                <w:ilvl w:val="1"/>
                <w:numId w:val="24"/>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1D6">
            <w:pPr>
              <w:numPr>
                <w:ilvl w:val="1"/>
                <w:numId w:val="24"/>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committing any offence:</w:t>
              <w:tab/>
            </w:r>
          </w:p>
          <w:p w:rsidR="00000000" w:rsidDel="00000000" w:rsidP="00000000" w:rsidRDefault="00000000" w:rsidRPr="00000000" w14:paraId="000001D7">
            <w:pPr>
              <w:numPr>
                <w:ilvl w:val="2"/>
                <w:numId w:val="24"/>
              </w:numPr>
              <w:tabs>
                <w:tab w:val="left" w:leader="none" w:pos="-179"/>
                <w:tab w:val="left" w:leader="none" w:pos="-9"/>
              </w:tabs>
              <w:spacing w:after="120" w:lineRule="auto"/>
              <w:ind w:left="141.73228346456688" w:firstLine="0"/>
            </w:pPr>
            <w:r w:rsidDel="00000000" w:rsidR="00000000" w:rsidRPr="00000000">
              <w:rPr>
                <w:rFonts w:ascii="Arial" w:cs="Arial" w:eastAsia="Arial" w:hAnsi="Arial"/>
                <w:sz w:val="24"/>
                <w:szCs w:val="24"/>
                <w:rtl w:val="0"/>
              </w:rPr>
              <w:t xml:space="preserve">under the Bribery Act 2010 (or any legislation repealed or revoked by such Act); or</w:t>
            </w:r>
          </w:p>
          <w:p w:rsidR="00000000" w:rsidDel="00000000" w:rsidP="00000000" w:rsidRDefault="00000000" w:rsidRPr="00000000" w14:paraId="000001D8">
            <w:pPr>
              <w:numPr>
                <w:ilvl w:val="2"/>
                <w:numId w:val="24"/>
              </w:numPr>
              <w:tabs>
                <w:tab w:val="left" w:leader="none" w:pos="-179"/>
                <w:tab w:val="left" w:leader="none" w:pos="-9"/>
              </w:tabs>
              <w:spacing w:after="120" w:lineRule="auto"/>
              <w:ind w:left="141.73228346456688" w:firstLine="0"/>
            </w:pPr>
            <w:r w:rsidDel="00000000" w:rsidR="00000000" w:rsidRPr="00000000">
              <w:rPr>
                <w:rFonts w:ascii="Arial" w:cs="Arial" w:eastAsia="Arial" w:hAnsi="Arial"/>
                <w:sz w:val="24"/>
                <w:szCs w:val="24"/>
                <w:rtl w:val="0"/>
              </w:rPr>
              <w:t xml:space="preserve">under legislation or common law concerning fraudulent acts; or</w:t>
            </w:r>
          </w:p>
          <w:p w:rsidR="00000000" w:rsidDel="00000000" w:rsidP="00000000" w:rsidRDefault="00000000" w:rsidRPr="00000000" w14:paraId="000001D9">
            <w:pPr>
              <w:numPr>
                <w:ilvl w:val="2"/>
                <w:numId w:val="24"/>
              </w:numPr>
              <w:tabs>
                <w:tab w:val="left" w:leader="none" w:pos="-179"/>
                <w:tab w:val="left" w:leader="none" w:pos="-9"/>
              </w:tabs>
              <w:spacing w:after="120" w:lineRule="auto"/>
              <w:ind w:left="141.73228346456688" w:firstLine="0"/>
            </w:pPr>
            <w:r w:rsidDel="00000000" w:rsidR="00000000" w:rsidRPr="00000000">
              <w:rPr>
                <w:rFonts w:ascii="Arial" w:cs="Arial" w:eastAsia="Arial" w:hAnsi="Arial"/>
                <w:sz w:val="24"/>
                <w:szCs w:val="24"/>
                <w:rtl w:val="0"/>
              </w:rPr>
              <w:t xml:space="preserve">defrauding, attempting to defraud or conspiring to defraud a Buyer or other public body; or </w:t>
            </w:r>
          </w:p>
          <w:p w:rsidR="00000000" w:rsidDel="00000000" w:rsidP="00000000" w:rsidRDefault="00000000" w:rsidRPr="00000000" w14:paraId="000001DA">
            <w:pPr>
              <w:numPr>
                <w:ilvl w:val="1"/>
                <w:numId w:val="24"/>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any activity, practice or conduct which would constitute one of the offences listed under (c) above if such activity, practice or conduct had been carried out in the UK;</w:t>
              <w:tab/>
              <w:tab/>
              <w:tab/>
              <w:tab/>
              <w:tab/>
              <w:tab/>
              <w:tab/>
            </w:r>
          </w:p>
        </w:tc>
      </w:tr>
      <w:tr>
        <w:trPr>
          <w:cantSplit w:val="0"/>
          <w:tblHeader w:val="0"/>
        </w:trPr>
        <w:tc>
          <w:tcPr/>
          <w:p w:rsidR="00000000" w:rsidDel="00000000" w:rsidP="00000000" w:rsidRDefault="00000000" w:rsidRPr="00000000" w14:paraId="000001D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“Protective Measures”</w:t>
            </w:r>
          </w:p>
        </w:tc>
        <w:tc>
          <w:tcPr/>
          <w:p w:rsidR="00000000" w:rsidDel="00000000" w:rsidP="00000000" w:rsidRDefault="00000000" w:rsidRPr="00000000" w14:paraId="000001D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appropriate technical and organisational measures which may include: </w:t>
            </w:r>
            <w:r w:rsidDel="00000000" w:rsidR="00000000" w:rsidRPr="00000000">
              <w:rPr>
                <w:rFonts w:ascii="Arial" w:cs="Arial" w:eastAsia="Arial" w:hAnsi="Arial"/>
                <w:sz w:val="24"/>
                <w:szCs w:val="24"/>
                <w:rtl w:val="0"/>
              </w:rPr>
              <w:t xml:space="preserve">pseudonymising</w:t>
            </w:r>
            <w:r w:rsidDel="00000000" w:rsidR="00000000" w:rsidRPr="00000000">
              <w:rPr>
                <w:rFonts w:ascii="Arial" w:cs="Arial" w:eastAsia="Arial" w:hAnsi="Arial"/>
                <w:sz w:val="24"/>
                <w:szCs w:val="24"/>
                <w:rtl w:val="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rPr>
          <w:cantSplit w:val="0"/>
          <w:tblHeader w:val="0"/>
        </w:trPr>
        <w:tc>
          <w:tcPr/>
          <w:p w:rsidR="00000000" w:rsidDel="00000000" w:rsidP="00000000" w:rsidRDefault="00000000" w:rsidRPr="00000000" w14:paraId="000001D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“Recall”</w:t>
            </w:r>
          </w:p>
        </w:tc>
        <w:tc>
          <w:tcPr/>
          <w:p w:rsidR="00000000" w:rsidDel="00000000" w:rsidP="00000000" w:rsidRDefault="00000000" w:rsidRPr="00000000" w14:paraId="000001D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1D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"Recipient Party"</w:t>
            </w:r>
          </w:p>
        </w:tc>
        <w:tc>
          <w:tcPr/>
          <w:p w:rsidR="00000000" w:rsidDel="00000000" w:rsidP="00000000" w:rsidRDefault="00000000" w:rsidRPr="00000000" w14:paraId="000001E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1E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"Rectification Plan"</w:t>
            </w:r>
          </w:p>
        </w:tc>
        <w:tc>
          <w:tcPr/>
          <w:p w:rsidR="00000000" w:rsidDel="00000000" w:rsidP="00000000" w:rsidRDefault="00000000" w:rsidRPr="00000000" w14:paraId="000001E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1E3">
            <w:pPr>
              <w:numPr>
                <w:ilvl w:val="1"/>
                <w:numId w:val="25"/>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full details of the Default that has occurred, including a root cause analysis; </w:t>
            </w:r>
          </w:p>
          <w:p w:rsidR="00000000" w:rsidDel="00000000" w:rsidP="00000000" w:rsidRDefault="00000000" w:rsidRPr="00000000" w14:paraId="000001E4">
            <w:pPr>
              <w:numPr>
                <w:ilvl w:val="1"/>
                <w:numId w:val="25"/>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actual or anticipated effect of the Default; and</w:t>
            </w:r>
          </w:p>
          <w:p w:rsidR="00000000" w:rsidDel="00000000" w:rsidP="00000000" w:rsidRDefault="00000000" w:rsidRPr="00000000" w14:paraId="000001E5">
            <w:pPr>
              <w:numPr>
                <w:ilvl w:val="1"/>
                <w:numId w:val="25"/>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p>
        </w:tc>
      </w:tr>
      <w:tr>
        <w:trPr>
          <w:cantSplit w:val="0"/>
          <w:tblHeader w:val="0"/>
        </w:trPr>
        <w:tc>
          <w:tcPr/>
          <w:p w:rsidR="00000000" w:rsidDel="00000000" w:rsidP="00000000" w:rsidRDefault="00000000" w:rsidRPr="00000000" w14:paraId="000001E6">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"Rectification Plan Process"</w:t>
            </w:r>
          </w:p>
        </w:tc>
        <w:tc>
          <w:tcPr/>
          <w:p w:rsidR="00000000" w:rsidDel="00000000" w:rsidP="00000000" w:rsidRDefault="00000000" w:rsidRPr="00000000" w14:paraId="000001E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set out in Clause 10.3.1 to 10.3.4 (Rectification Plan Process); </w:t>
            </w:r>
          </w:p>
        </w:tc>
      </w:tr>
      <w:tr>
        <w:trPr>
          <w:cantSplit w:val="0"/>
          <w:tblHeader w:val="0"/>
        </w:trPr>
        <w:tc>
          <w:tcPr/>
          <w:p w:rsidR="00000000" w:rsidDel="00000000" w:rsidP="00000000" w:rsidRDefault="00000000" w:rsidRPr="00000000" w14:paraId="000001E8">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"Recut Tyre"</w:t>
            </w:r>
          </w:p>
        </w:tc>
        <w:tc>
          <w:tcPr/>
          <w:p w:rsidR="00000000" w:rsidDel="00000000" w:rsidP="00000000" w:rsidRDefault="00000000" w:rsidRPr="00000000" w14:paraId="000001E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groove being cut into a nearly worn tyre to cut deeper into the pattern</w:t>
            </w:r>
          </w:p>
        </w:tc>
      </w:tr>
      <w:tr>
        <w:trPr>
          <w:cantSplit w:val="0"/>
          <w:tblHeader w:val="0"/>
        </w:trPr>
        <w:tc>
          <w:tcPr/>
          <w:p w:rsidR="00000000" w:rsidDel="00000000" w:rsidP="00000000" w:rsidRDefault="00000000" w:rsidRPr="00000000" w14:paraId="000001E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“Recall”</w:t>
            </w:r>
          </w:p>
        </w:tc>
        <w:tc>
          <w:tcPr/>
          <w:p w:rsidR="00000000" w:rsidDel="00000000" w:rsidP="00000000" w:rsidRDefault="00000000" w:rsidRPr="00000000" w14:paraId="000001E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1EC">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"Regulations"</w:t>
            </w:r>
          </w:p>
        </w:tc>
        <w:tc>
          <w:tcPr/>
          <w:p w:rsidR="00000000" w:rsidDel="00000000" w:rsidP="00000000" w:rsidRDefault="00000000" w:rsidRPr="00000000" w14:paraId="000001ED">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1E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"Reimbursable Expenses"</w:t>
            </w:r>
          </w:p>
        </w:tc>
        <w:tc>
          <w:tcPr/>
          <w:p w:rsidR="00000000" w:rsidDel="00000000" w:rsidP="00000000" w:rsidRDefault="00000000" w:rsidRPr="00000000" w14:paraId="000001EF">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1F0">
            <w:pPr>
              <w:numPr>
                <w:ilvl w:val="1"/>
                <w:numId w:val="8"/>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1F1">
            <w:pPr>
              <w:numPr>
                <w:ilvl w:val="1"/>
                <w:numId w:val="8"/>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1F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"Relevant Authority"</w:t>
            </w:r>
          </w:p>
        </w:tc>
        <w:tc>
          <w:tcPr/>
          <w:p w:rsidR="00000000" w:rsidDel="00000000" w:rsidP="00000000" w:rsidRDefault="00000000" w:rsidRPr="00000000" w14:paraId="000001F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1F4">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"Relevant Authority's Confidential Information"</w:t>
            </w:r>
          </w:p>
        </w:tc>
        <w:tc>
          <w:tcPr/>
          <w:p w:rsidR="00000000" w:rsidDel="00000000" w:rsidP="00000000" w:rsidRDefault="00000000" w:rsidRPr="00000000" w14:paraId="000001F5">
            <w:pPr>
              <w:numPr>
                <w:ilvl w:val="1"/>
                <w:numId w:val="9"/>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1F6">
            <w:pPr>
              <w:numPr>
                <w:ilvl w:val="1"/>
                <w:numId w:val="9"/>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1F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1F8">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"Relevant   Requirements"</w:t>
            </w:r>
          </w:p>
        </w:tc>
        <w:tc>
          <w:tcPr/>
          <w:p w:rsidR="00000000" w:rsidDel="00000000" w:rsidP="00000000" w:rsidRDefault="00000000" w:rsidRPr="00000000" w14:paraId="000001F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1FA">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"Relevant Tax Authority"</w:t>
            </w:r>
          </w:p>
        </w:tc>
        <w:tc>
          <w:tcPr/>
          <w:p w:rsidR="00000000" w:rsidDel="00000000" w:rsidP="00000000" w:rsidRDefault="00000000" w:rsidRPr="00000000" w14:paraId="000001F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1FC">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"Reminder Notice"</w:t>
            </w:r>
          </w:p>
        </w:tc>
        <w:tc>
          <w:tcPr/>
          <w:p w:rsidR="00000000" w:rsidDel="00000000" w:rsidP="00000000" w:rsidRDefault="00000000" w:rsidRPr="00000000" w14:paraId="000001FD">
            <w:pPr>
              <w:tabs>
                <w:tab w:val="left" w:leader="none" w:pos="1985"/>
                <w:tab w:val="left" w:leader="none" w:pos="2127"/>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notice sent in accordance with Clause 10.5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1F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"Replacement Deliverables"</w:t>
            </w:r>
          </w:p>
        </w:tc>
        <w:tc>
          <w:tcPr/>
          <w:p w:rsidR="00000000" w:rsidDel="00000000" w:rsidP="00000000" w:rsidRDefault="00000000" w:rsidRPr="00000000" w14:paraId="000001FF">
            <w:pPr>
              <w:tabs>
                <w:tab w:val="left" w:leader="none" w:pos="1985"/>
                <w:tab w:val="left" w:leader="none" w:pos="2127"/>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00">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"Replacement Subcontractor"</w:t>
            </w:r>
          </w:p>
        </w:tc>
        <w:tc>
          <w:tcPr/>
          <w:p w:rsidR="00000000" w:rsidDel="00000000" w:rsidP="00000000" w:rsidRDefault="00000000" w:rsidRPr="00000000" w14:paraId="00000201">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20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"Replacement Supplier"</w:t>
            </w:r>
          </w:p>
        </w:tc>
        <w:tc>
          <w:tcPr/>
          <w:p w:rsidR="00000000" w:rsidDel="00000000" w:rsidP="00000000" w:rsidRDefault="00000000" w:rsidRPr="00000000" w14:paraId="0000020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04">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"Retread/ remould"</w:t>
            </w:r>
          </w:p>
        </w:tc>
        <w:tc>
          <w:tcPr/>
          <w:p w:rsidR="00000000" w:rsidDel="00000000" w:rsidP="00000000" w:rsidRDefault="00000000" w:rsidRPr="00000000" w14:paraId="00000205">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is the process of recycling a tyre that is worn but still has enough structure to replace the treads;</w:t>
            </w:r>
          </w:p>
        </w:tc>
      </w:tr>
      <w:tr>
        <w:trPr>
          <w:cantSplit w:val="0"/>
          <w:tblHeader w:val="0"/>
        </w:trPr>
        <w:tc>
          <w:tcPr/>
          <w:p w:rsidR="00000000" w:rsidDel="00000000" w:rsidP="00000000" w:rsidRDefault="00000000" w:rsidRPr="00000000" w14:paraId="00000206">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"Request For Information"</w:t>
            </w:r>
          </w:p>
        </w:tc>
        <w:tc>
          <w:tcPr/>
          <w:p w:rsidR="00000000" w:rsidDel="00000000" w:rsidP="00000000" w:rsidRDefault="00000000" w:rsidRPr="00000000" w14:paraId="0000020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08">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"Required Insurances"</w:t>
            </w:r>
          </w:p>
        </w:tc>
        <w:tc>
          <w:tcPr/>
          <w:p w:rsidR="00000000" w:rsidDel="00000000" w:rsidP="00000000" w:rsidRDefault="00000000" w:rsidRPr="00000000" w14:paraId="0000020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insurances required by Joint Schedule 3 (Insurance Requirements) or any additional insurances specified in the Order Form; </w:t>
            </w:r>
          </w:p>
        </w:tc>
      </w:tr>
      <w:tr>
        <w:trPr>
          <w:cantSplit w:val="0"/>
          <w:tblHeader w:val="0"/>
        </w:trPr>
        <w:tc>
          <w:tcPr/>
          <w:p w:rsidR="00000000" w:rsidDel="00000000" w:rsidP="00000000" w:rsidRDefault="00000000" w:rsidRPr="00000000" w14:paraId="0000020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"Satisfaction Certificate"</w:t>
            </w:r>
          </w:p>
        </w:tc>
        <w:tc>
          <w:tcPr/>
          <w:p w:rsidR="00000000" w:rsidDel="00000000" w:rsidP="00000000" w:rsidRDefault="00000000" w:rsidRPr="00000000" w14:paraId="0000020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0C">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Management Plan"</w:t>
            </w:r>
          </w:p>
        </w:tc>
        <w:tc>
          <w:tcPr/>
          <w:p w:rsidR="00000000" w:rsidDel="00000000" w:rsidP="00000000" w:rsidRDefault="00000000" w:rsidRPr="00000000" w14:paraId="0000020D">
            <w:pPr>
              <w:tabs>
                <w:tab w:val="left" w:leader="none" w:pos="-179"/>
                <w:tab w:val="left" w:leader="none" w:pos="-9"/>
              </w:tabs>
              <w:spacing w:after="120" w:lineRule="auto"/>
              <w:ind w:left="141.73228346456688" w:firstLine="2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20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Policy"</w:t>
            </w:r>
          </w:p>
        </w:tc>
        <w:tc>
          <w:tcPr/>
          <w:p w:rsidR="00000000" w:rsidDel="00000000" w:rsidP="00000000" w:rsidRDefault="00000000" w:rsidRPr="00000000" w14:paraId="0000020F">
            <w:pPr>
              <w:tabs>
                <w:tab w:val="left" w:leader="none" w:pos="-179"/>
                <w:tab w:val="left" w:leader="none" w:pos="-9"/>
              </w:tabs>
              <w:spacing w:after="120" w:lineRule="auto"/>
              <w:ind w:left="141.73228346456688" w:firstLine="240"/>
              <w:rPr>
                <w:rFonts w:ascii="Arial" w:cs="Arial" w:eastAsia="Arial" w:hAnsi="Arial"/>
                <w:sz w:val="24"/>
                <w:szCs w:val="24"/>
              </w:rPr>
            </w:pPr>
            <w:r w:rsidDel="00000000" w:rsidR="00000000" w:rsidRPr="00000000">
              <w:rPr>
                <w:rFonts w:ascii="Arial" w:cs="Arial" w:eastAsia="Arial" w:hAnsi="Arial"/>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210">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"Self Audit Certificate"</w:t>
            </w:r>
          </w:p>
        </w:tc>
        <w:tc>
          <w:tcPr/>
          <w:p w:rsidR="00000000" w:rsidDel="00000000" w:rsidP="00000000" w:rsidRDefault="00000000" w:rsidRPr="00000000" w14:paraId="00000211">
            <w:pPr>
              <w:tabs>
                <w:tab w:val="left" w:leader="none" w:pos="-179"/>
                <w:tab w:val="left" w:leader="none" w:pos="-9"/>
              </w:tabs>
              <w:spacing w:after="120" w:lineRule="auto"/>
              <w:ind w:left="141.73228346456688" w:firstLine="240"/>
              <w:rPr>
                <w:rFonts w:ascii="Arial" w:cs="Arial" w:eastAsia="Arial" w:hAnsi="Arial"/>
                <w:sz w:val="24"/>
                <w:szCs w:val="24"/>
              </w:rPr>
            </w:pPr>
            <w:r w:rsidDel="00000000" w:rsidR="00000000" w:rsidRPr="00000000">
              <w:rPr>
                <w:rFonts w:ascii="Arial" w:cs="Arial" w:eastAsia="Arial" w:hAnsi="Arial"/>
                <w:sz w:val="24"/>
                <w:szCs w:val="24"/>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212">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"Serious Fraud Office"</w:t>
            </w:r>
          </w:p>
        </w:tc>
        <w:tc>
          <w:tcPr/>
          <w:p w:rsidR="00000000" w:rsidDel="00000000" w:rsidP="00000000" w:rsidRDefault="00000000" w:rsidRPr="00000000" w14:paraId="00000213">
            <w:pPr>
              <w:tabs>
                <w:tab w:val="left" w:leader="none" w:pos="-179"/>
                <w:tab w:val="left" w:leader="none" w:pos="-9"/>
              </w:tabs>
              <w:spacing w:after="120" w:lineRule="auto"/>
              <w:ind w:left="141.73228346456688" w:firstLine="240"/>
              <w:rPr>
                <w:rFonts w:ascii="Arial" w:cs="Arial" w:eastAsia="Arial" w:hAnsi="Arial"/>
                <w:sz w:val="24"/>
                <w:szCs w:val="24"/>
              </w:rPr>
            </w:pPr>
            <w:r w:rsidDel="00000000" w:rsidR="00000000" w:rsidRPr="00000000">
              <w:rPr>
                <w:rFonts w:ascii="Arial" w:cs="Arial" w:eastAsia="Arial" w:hAnsi="Arial"/>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14">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 Levels”</w:t>
            </w:r>
          </w:p>
        </w:tc>
        <w:tc>
          <w:tcPr/>
          <w:p w:rsidR="00000000" w:rsidDel="00000000" w:rsidP="00000000" w:rsidRDefault="00000000" w:rsidRPr="00000000" w14:paraId="00000215">
            <w:pPr>
              <w:tabs>
                <w:tab w:val="left" w:leader="none" w:pos="-179"/>
                <w:tab w:val="left" w:leader="none" w:pos="-9"/>
              </w:tabs>
              <w:spacing w:after="120" w:lineRule="auto"/>
              <w:ind w:left="141.73228346456688" w:firstLine="240"/>
              <w:rPr>
                <w:rFonts w:ascii="Arial" w:cs="Arial" w:eastAsia="Arial" w:hAnsi="Arial"/>
                <w:sz w:val="24"/>
                <w:szCs w:val="24"/>
              </w:rPr>
            </w:pPr>
            <w:r w:rsidDel="00000000" w:rsidR="00000000" w:rsidRPr="00000000">
              <w:rPr>
                <w:rFonts w:ascii="Arial" w:cs="Arial" w:eastAsia="Arial" w:hAnsi="Arial"/>
                <w:sz w:val="24"/>
                <w:szCs w:val="24"/>
                <w:rtl w:val="0"/>
              </w:rPr>
              <w:t xml:space="preserve">any service levels applicable to the provision of the Deliverables under the Call-Off Contract (which, where Call-Off Schedule 14 (Service Levels) is used in this Contract, are specified in the Annex to Part A of such Schedule);</w:t>
            </w:r>
          </w:p>
        </w:tc>
      </w:tr>
      <w:tr>
        <w:trPr>
          <w:cantSplit w:val="0"/>
          <w:tblHeader w:val="0"/>
        </w:trPr>
        <w:tc>
          <w:tcPr/>
          <w:p w:rsidR="00000000" w:rsidDel="00000000" w:rsidP="00000000" w:rsidRDefault="00000000" w:rsidRPr="00000000" w14:paraId="00000216">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 Period"</w:t>
            </w:r>
          </w:p>
        </w:tc>
        <w:tc>
          <w:tcPr/>
          <w:p w:rsidR="00000000" w:rsidDel="00000000" w:rsidP="00000000" w:rsidRDefault="00000000" w:rsidRPr="00000000" w14:paraId="0000021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18">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"Services"</w:t>
            </w:r>
          </w:p>
        </w:tc>
        <w:tc>
          <w:tcPr/>
          <w:p w:rsidR="00000000" w:rsidDel="00000000" w:rsidP="00000000" w:rsidRDefault="00000000" w:rsidRPr="00000000" w14:paraId="0000021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21A">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 Transfer"</w:t>
            </w:r>
          </w:p>
        </w:tc>
        <w:tc>
          <w:tcPr/>
          <w:p w:rsidR="00000000" w:rsidDel="00000000" w:rsidP="00000000" w:rsidRDefault="00000000" w:rsidRPr="00000000" w14:paraId="0000021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21C">
            <w:pPr>
              <w:spacing w:after="120" w:lineRule="auto"/>
              <w:ind w:left="141.73228346456688" w:firstLine="0"/>
              <w:rPr>
                <w:rFonts w:ascii="Arial" w:cs="Arial" w:eastAsia="Arial" w:hAnsi="Arial"/>
                <w:b w:val="1"/>
                <w:sz w:val="24"/>
                <w:szCs w:val="24"/>
                <w:highlight w:val="green"/>
              </w:rPr>
            </w:pPr>
            <w:r w:rsidDel="00000000" w:rsidR="00000000" w:rsidRPr="00000000">
              <w:rPr>
                <w:rFonts w:ascii="Arial" w:cs="Arial" w:eastAsia="Arial" w:hAnsi="Arial"/>
                <w:b w:val="1"/>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21D">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date of a Service Transfer;</w:t>
            </w:r>
          </w:p>
        </w:tc>
      </w:tr>
      <w:tr>
        <w:trPr>
          <w:cantSplit w:val="0"/>
          <w:tblHeader w:val="0"/>
        </w:trPr>
        <w:tc>
          <w:tcPr/>
          <w:p w:rsidR="00000000" w:rsidDel="00000000" w:rsidP="00000000" w:rsidRDefault="00000000" w:rsidRPr="00000000" w14:paraId="0000021E">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"Sites"</w:t>
            </w:r>
          </w:p>
        </w:tc>
        <w:tc>
          <w:tcPr/>
          <w:p w:rsidR="00000000" w:rsidDel="00000000" w:rsidP="00000000" w:rsidRDefault="00000000" w:rsidRPr="00000000" w14:paraId="0000021F">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220">
            <w:pPr>
              <w:numPr>
                <w:ilvl w:val="1"/>
                <w:numId w:val="1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Deliverables are (or are to be) provided; or</w:t>
            </w:r>
          </w:p>
          <w:p w:rsidR="00000000" w:rsidDel="00000000" w:rsidP="00000000" w:rsidRDefault="00000000" w:rsidRPr="00000000" w14:paraId="00000221">
            <w:pPr>
              <w:numPr>
                <w:ilvl w:val="1"/>
                <w:numId w:val="1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the Supplier manages, organises or otherwise directs the provision or the use of the Deliverables;</w:t>
              <w:tab/>
              <w:tab/>
              <w:tab/>
            </w:r>
          </w:p>
        </w:tc>
      </w:tr>
      <w:tr>
        <w:trPr>
          <w:cantSplit w:val="0"/>
          <w:tblHeader w:val="0"/>
        </w:trPr>
        <w:tc>
          <w:tcPr/>
          <w:p w:rsidR="00000000" w:rsidDel="00000000" w:rsidP="00000000" w:rsidRDefault="00000000" w:rsidRPr="00000000" w14:paraId="00000222">
            <w:pPr>
              <w:spacing w:after="120" w:lineRule="auto"/>
              <w:ind w:left="-108" w:firstLine="249.732283464566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"SME"</w:t>
            </w:r>
          </w:p>
        </w:tc>
        <w:tc>
          <w:tcPr/>
          <w:p w:rsidR="00000000" w:rsidDel="00000000" w:rsidP="00000000" w:rsidRDefault="00000000" w:rsidRPr="00000000" w14:paraId="00000223">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blHeader w:val="0"/>
        </w:trPr>
        <w:tc>
          <w:tcPr/>
          <w:p w:rsidR="00000000" w:rsidDel="00000000" w:rsidP="00000000" w:rsidRDefault="00000000" w:rsidRPr="00000000" w14:paraId="00000224">
            <w:pPr>
              <w:spacing w:after="120" w:lineRule="auto"/>
              <w:ind w:left="-108" w:firstLine="249.732283464566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"Special Terms"</w:t>
            </w:r>
          </w:p>
        </w:tc>
        <w:tc>
          <w:tcPr/>
          <w:p w:rsidR="00000000" w:rsidDel="00000000" w:rsidP="00000000" w:rsidRDefault="00000000" w:rsidRPr="00000000" w14:paraId="00000225">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any additional Clauses set out in the Framework Award Form or Order Form which shall form part of the respective Contract;</w:t>
            </w:r>
          </w:p>
        </w:tc>
      </w:tr>
      <w:tr>
        <w:trPr>
          <w:cantSplit w:val="0"/>
          <w:tblHeader w:val="0"/>
        </w:trPr>
        <w:tc>
          <w:tcPr/>
          <w:p w:rsidR="00000000" w:rsidDel="00000000" w:rsidP="00000000" w:rsidRDefault="00000000" w:rsidRPr="00000000" w14:paraId="00000226">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 Change in Law"</w:t>
            </w:r>
          </w:p>
        </w:tc>
        <w:tc>
          <w:tcPr/>
          <w:p w:rsidR="00000000" w:rsidDel="00000000" w:rsidP="00000000" w:rsidRDefault="00000000" w:rsidRPr="00000000" w14:paraId="00000227">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blHeader w:val="0"/>
        </w:trPr>
        <w:tc>
          <w:tcPr/>
          <w:p w:rsidR="00000000" w:rsidDel="00000000" w:rsidP="00000000" w:rsidRDefault="00000000" w:rsidRPr="00000000" w14:paraId="00000228">
            <w:pPr>
              <w:spacing w:after="120" w:lineRule="auto"/>
              <w:ind w:left="-108" w:firstLine="249.732283464566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"Specification"</w:t>
            </w:r>
          </w:p>
        </w:tc>
        <w:tc>
          <w:tcPr/>
          <w:p w:rsidR="00000000" w:rsidDel="00000000" w:rsidP="00000000" w:rsidRDefault="00000000" w:rsidRPr="00000000" w14:paraId="00000229">
            <w:pPr>
              <w:tabs>
                <w:tab w:val="left" w:leader="none" w:pos="-179"/>
                <w:tab w:val="left" w:leader="none" w:pos="-9"/>
              </w:tabs>
              <w:spacing w:after="120" w:lineRule="auto"/>
              <w:ind w:left="170" w:hanging="28.26771653543311"/>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22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"Standards"</w:t>
            </w:r>
          </w:p>
        </w:tc>
        <w:tc>
          <w:tcPr/>
          <w:p w:rsidR="00000000" w:rsidDel="00000000" w:rsidP="00000000" w:rsidRDefault="00000000" w:rsidRPr="00000000" w14:paraId="0000022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w:t>
            </w:r>
          </w:p>
          <w:p w:rsidR="00000000" w:rsidDel="00000000" w:rsidP="00000000" w:rsidRDefault="00000000" w:rsidRPr="00000000" w14:paraId="0000022C">
            <w:pPr>
              <w:numPr>
                <w:ilvl w:val="1"/>
                <w:numId w:val="2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2D">
            <w:pPr>
              <w:numPr>
                <w:ilvl w:val="1"/>
                <w:numId w:val="2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standards detailed in the specification in Schedule 1 (Specification);</w:t>
            </w:r>
          </w:p>
          <w:p w:rsidR="00000000" w:rsidDel="00000000" w:rsidP="00000000" w:rsidRDefault="00000000" w:rsidRPr="00000000" w14:paraId="0000022E">
            <w:pPr>
              <w:numPr>
                <w:ilvl w:val="1"/>
                <w:numId w:val="2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standards detailed by the Buyer in the Order Form or agreed between the Parties from time to time;</w:t>
            </w:r>
          </w:p>
          <w:p w:rsidR="00000000" w:rsidDel="00000000" w:rsidP="00000000" w:rsidRDefault="00000000" w:rsidRPr="00000000" w14:paraId="0000022F">
            <w:pPr>
              <w:numPr>
                <w:ilvl w:val="1"/>
                <w:numId w:val="26"/>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relevant Government codes of practice and guidance applicable from time to time;</w:t>
              <w:tab/>
              <w:tab/>
            </w:r>
          </w:p>
        </w:tc>
      </w:tr>
      <w:tr>
        <w:trPr>
          <w:cantSplit w:val="0"/>
          <w:tblHeader w:val="0"/>
        </w:trPr>
        <w:tc>
          <w:tcPr/>
          <w:p w:rsidR="00000000" w:rsidDel="00000000" w:rsidP="00000000" w:rsidRDefault="00000000" w:rsidRPr="00000000" w14:paraId="00000230">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"Start Date"</w:t>
            </w:r>
          </w:p>
        </w:tc>
        <w:tc>
          <w:tcPr/>
          <w:p w:rsidR="00000000" w:rsidDel="00000000" w:rsidP="00000000" w:rsidRDefault="00000000" w:rsidRPr="00000000" w14:paraId="00000231">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32">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"Statement of Requirements"</w:t>
            </w:r>
          </w:p>
        </w:tc>
        <w:tc>
          <w:tcPr/>
          <w:p w:rsidR="00000000" w:rsidDel="00000000" w:rsidP="00000000" w:rsidRDefault="00000000" w:rsidRPr="00000000" w14:paraId="00000233">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34">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"Storage Media"</w:t>
            </w:r>
          </w:p>
        </w:tc>
        <w:tc>
          <w:tcPr/>
          <w:p w:rsidR="00000000" w:rsidDel="00000000" w:rsidP="00000000" w:rsidRDefault="00000000" w:rsidRPr="00000000" w14:paraId="00000235">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236">
            <w:pPr>
              <w:keepNext w:val="1"/>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"Sub-Contract"</w:t>
            </w:r>
          </w:p>
        </w:tc>
        <w:tc>
          <w:tcPr/>
          <w:p w:rsidR="00000000" w:rsidDel="00000000" w:rsidP="00000000" w:rsidRDefault="00000000" w:rsidRPr="00000000" w14:paraId="00000237">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38">
            <w:pPr>
              <w:numPr>
                <w:ilvl w:val="1"/>
                <w:numId w:val="1"/>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provides the Deliverables (or any part of them);</w:t>
            </w:r>
          </w:p>
          <w:p w:rsidR="00000000" w:rsidDel="00000000" w:rsidP="00000000" w:rsidRDefault="00000000" w:rsidRPr="00000000" w14:paraId="00000239">
            <w:pPr>
              <w:numPr>
                <w:ilvl w:val="1"/>
                <w:numId w:val="1"/>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provides facilities or services necessary for the provision of the Deliverables (or any part of them); and/or</w:t>
            </w:r>
          </w:p>
          <w:p w:rsidR="00000000" w:rsidDel="00000000" w:rsidP="00000000" w:rsidRDefault="00000000" w:rsidRPr="00000000" w14:paraId="0000023A">
            <w:pPr>
              <w:numPr>
                <w:ilvl w:val="1"/>
                <w:numId w:val="1"/>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is responsible for the management, direction or control of the provision of the Deliverables (or any part of them);</w:t>
            </w:r>
          </w:p>
        </w:tc>
      </w:tr>
      <w:tr>
        <w:trPr>
          <w:cantSplit w:val="0"/>
          <w:tblHeader w:val="0"/>
        </w:trPr>
        <w:tc>
          <w:tcPr/>
          <w:p w:rsidR="00000000" w:rsidDel="00000000" w:rsidP="00000000" w:rsidRDefault="00000000" w:rsidRPr="00000000" w14:paraId="0000023B">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"Subcontractor"</w:t>
            </w:r>
          </w:p>
        </w:tc>
        <w:tc>
          <w:tcPr/>
          <w:p w:rsidR="00000000" w:rsidDel="00000000" w:rsidP="00000000" w:rsidRDefault="00000000" w:rsidRPr="00000000" w14:paraId="0000023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3D">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"Subprocessor"</w:t>
            </w:r>
          </w:p>
        </w:tc>
        <w:tc>
          <w:tcPr/>
          <w:p w:rsidR="00000000" w:rsidDel="00000000" w:rsidP="00000000" w:rsidRDefault="00000000" w:rsidRPr="00000000" w14:paraId="0000023E">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3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“Subsidiary Undertaking”</w:t>
            </w:r>
          </w:p>
        </w:tc>
        <w:tc>
          <w:tcPr/>
          <w:p w:rsidR="00000000" w:rsidDel="00000000" w:rsidP="00000000" w:rsidRDefault="00000000" w:rsidRPr="00000000" w14:paraId="0000024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24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Group”</w:t>
            </w:r>
          </w:p>
        </w:tc>
        <w:tc>
          <w:tcPr/>
          <w:p w:rsidR="00000000" w:rsidDel="00000000" w:rsidP="00000000" w:rsidRDefault="00000000" w:rsidRPr="00000000" w14:paraId="0000024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means the Supplier, its Dependent Parent Undertakings and all Subsidiary Undertakings and Associates of such Dependent Parent Undertakings; and</w:t>
            </w:r>
          </w:p>
        </w:tc>
      </w:tr>
      <w:tr>
        <w:trPr>
          <w:cantSplit w:val="0"/>
          <w:tblHeader w:val="0"/>
        </w:trPr>
        <w:tc>
          <w:tcPr/>
          <w:p w:rsidR="00000000" w:rsidDel="00000000" w:rsidP="00000000" w:rsidRDefault="00000000" w:rsidRPr="00000000" w14:paraId="00000243">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w:t>
            </w:r>
          </w:p>
        </w:tc>
        <w:tc>
          <w:tcPr/>
          <w:p w:rsidR="00000000" w:rsidDel="00000000" w:rsidP="00000000" w:rsidRDefault="00000000" w:rsidRPr="00000000" w14:paraId="00000244">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45">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Assets"</w:t>
            </w:r>
          </w:p>
        </w:tc>
        <w:tc>
          <w:tcPr/>
          <w:p w:rsidR="00000000" w:rsidDel="00000000" w:rsidP="00000000" w:rsidRDefault="00000000" w:rsidRPr="00000000" w14:paraId="00000246">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47">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Authorised Representative"</w:t>
            </w:r>
          </w:p>
        </w:tc>
        <w:tc>
          <w:tcPr/>
          <w:p w:rsidR="00000000" w:rsidDel="00000000" w:rsidP="00000000" w:rsidRDefault="00000000" w:rsidRPr="00000000" w14:paraId="00000248">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49">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"Supplier's Confidential Information"</w:t>
            </w:r>
          </w:p>
        </w:tc>
        <w:tc>
          <w:tcPr/>
          <w:p w:rsidR="00000000" w:rsidDel="00000000" w:rsidP="00000000" w:rsidRDefault="00000000" w:rsidRPr="00000000" w14:paraId="0000024A">
            <w:pPr>
              <w:numPr>
                <w:ilvl w:val="1"/>
                <w:numId w:val="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4B">
            <w:pPr>
              <w:numPr>
                <w:ilvl w:val="1"/>
                <w:numId w:val="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24C">
            <w:pPr>
              <w:numPr>
                <w:ilvl w:val="1"/>
                <w:numId w:val="2"/>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Information derived from any of (a) and (b) above;</w:t>
            </w:r>
          </w:p>
        </w:tc>
      </w:tr>
      <w:tr>
        <w:trPr>
          <w:cantSplit w:val="0"/>
          <w:tblHeader w:val="0"/>
        </w:trPr>
        <w:tc>
          <w:tcPr/>
          <w:p w:rsidR="00000000" w:rsidDel="00000000" w:rsidP="00000000" w:rsidRDefault="00000000" w:rsidRPr="00000000" w14:paraId="0000024D">
            <w:pPr>
              <w:tabs>
                <w:tab w:val="left" w:leader="none" w:pos="1134"/>
              </w:tabs>
              <w:spacing w:after="120" w:before="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"Supplier's Contract Manager </w:t>
            </w:r>
          </w:p>
        </w:tc>
        <w:tc>
          <w:tcPr/>
          <w:p w:rsidR="00000000" w:rsidDel="00000000" w:rsidP="00000000" w:rsidRDefault="00000000" w:rsidRPr="00000000" w14:paraId="0000024E">
            <w:pPr>
              <w:tabs>
                <w:tab w:val="left" w:leader="none" w:pos="1134"/>
              </w:tabs>
              <w:spacing w:after="120" w:before="120" w:lineRule="auto"/>
              <w:ind w:left="141.73228346456688"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24F">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Equipment"</w:t>
            </w:r>
          </w:p>
        </w:tc>
        <w:tc>
          <w:tcPr/>
          <w:p w:rsidR="00000000" w:rsidDel="00000000" w:rsidP="00000000" w:rsidRDefault="00000000" w:rsidRPr="00000000" w14:paraId="00000250">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251">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Marketing Contact"</w:t>
            </w:r>
          </w:p>
        </w:tc>
        <w:tc>
          <w:tcPr/>
          <w:p w:rsidR="00000000" w:rsidDel="00000000" w:rsidP="00000000" w:rsidRDefault="00000000" w:rsidRPr="00000000" w14:paraId="00000252">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53">
            <w:pPr>
              <w:spacing w:after="12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Non-Performance"</w:t>
            </w:r>
          </w:p>
        </w:tc>
        <w:tc>
          <w:tcPr/>
          <w:p w:rsidR="00000000" w:rsidDel="00000000" w:rsidP="00000000" w:rsidRDefault="00000000" w:rsidRPr="00000000" w14:paraId="00000254">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has failed to:</w:t>
            </w:r>
          </w:p>
          <w:p w:rsidR="00000000" w:rsidDel="00000000" w:rsidP="00000000" w:rsidRDefault="00000000" w:rsidRPr="00000000" w14:paraId="00000255">
            <w:pPr>
              <w:numPr>
                <w:ilvl w:val="1"/>
                <w:numId w:val="11"/>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Achieve a Milestone by its Milestone Date;</w:t>
            </w:r>
          </w:p>
          <w:p w:rsidR="00000000" w:rsidDel="00000000" w:rsidP="00000000" w:rsidRDefault="00000000" w:rsidRPr="00000000" w14:paraId="00000256">
            <w:pPr>
              <w:numPr>
                <w:ilvl w:val="1"/>
                <w:numId w:val="11"/>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provide the Goods and/or Services in accordance with the Service Levels ; and/or</w:t>
            </w:r>
          </w:p>
          <w:p w:rsidR="00000000" w:rsidDel="00000000" w:rsidP="00000000" w:rsidRDefault="00000000" w:rsidRPr="00000000" w14:paraId="00000257">
            <w:pPr>
              <w:numPr>
                <w:ilvl w:val="1"/>
                <w:numId w:val="11"/>
              </w:numPr>
              <w:tabs>
                <w:tab w:val="left" w:leader="none" w:pos="-576"/>
                <w:tab w:val="left" w:leader="none" w:pos="144"/>
              </w:tabs>
              <w:spacing w:after="120" w:lineRule="auto"/>
              <w:ind w:left="141.73228346456688" w:firstLine="0"/>
              <w:rPr>
                <w:sz w:val="24"/>
                <w:szCs w:val="24"/>
              </w:rPr>
            </w:pPr>
            <w:r w:rsidDel="00000000" w:rsidR="00000000" w:rsidRPr="00000000">
              <w:rPr>
                <w:rFonts w:ascii="Arial" w:cs="Arial" w:eastAsia="Arial" w:hAnsi="Arial"/>
                <w:sz w:val="24"/>
                <w:szCs w:val="24"/>
                <w:rtl w:val="0"/>
              </w:rPr>
              <w:t xml:space="preserve">comply with an obligation under a Contract;</w:t>
            </w:r>
          </w:p>
        </w:tc>
      </w:tr>
      <w:tr>
        <w:trPr>
          <w:cantSplit w:val="0"/>
          <w:tblHeader w:val="0"/>
        </w:trPr>
        <w:tc>
          <w:tcPr/>
          <w:p w:rsidR="00000000" w:rsidDel="00000000" w:rsidP="00000000" w:rsidRDefault="00000000" w:rsidRPr="00000000" w14:paraId="00000258">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Profit"</w:t>
            </w:r>
          </w:p>
        </w:tc>
        <w:tc>
          <w:tcPr/>
          <w:p w:rsidR="00000000" w:rsidDel="00000000" w:rsidP="00000000" w:rsidRDefault="00000000" w:rsidRPr="00000000" w14:paraId="00000259">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5A">
            <w:pPr>
              <w:spacing w:after="120" w:lineRule="auto"/>
              <w:ind w:left="141.7322834645668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Profit Margin"</w:t>
            </w:r>
          </w:p>
        </w:tc>
        <w:tc>
          <w:tcPr/>
          <w:p w:rsidR="00000000" w:rsidDel="00000000" w:rsidP="00000000" w:rsidRDefault="00000000" w:rsidRPr="00000000" w14:paraId="0000025B">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period or a Milestone (as the context requires), the Supplier Profit for the relevant period or in relation to the relevant</w:t>
            </w:r>
          </w:p>
          <w:p w:rsidR="00000000" w:rsidDel="00000000" w:rsidP="00000000" w:rsidRDefault="00000000" w:rsidRPr="00000000" w14:paraId="0000025C">
            <w:pPr>
              <w:tabs>
                <w:tab w:val="left" w:leader="none" w:pos="-179"/>
                <w:tab w:val="left" w:leader="none" w:pos="-9"/>
              </w:tabs>
              <w:spacing w:after="120" w:lineRule="auto"/>
              <w:ind w:left="141.73228346456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5D">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Staff"</w:t>
            </w:r>
          </w:p>
        </w:tc>
        <w:tc>
          <w:tcPr/>
          <w:p w:rsidR="00000000" w:rsidDel="00000000" w:rsidP="00000000" w:rsidRDefault="00000000" w:rsidRPr="00000000" w14:paraId="0000025E">
            <w:pPr>
              <w:tabs>
                <w:tab w:val="left" w:leader="none" w:pos="-179"/>
                <w:tab w:val="left" w:leader="none" w:pos="-9"/>
              </w:tabs>
              <w:spacing w:after="120" w:lineRule="auto"/>
              <w:ind w:left="141.732283464566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25F">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"Supporting Documentation"</w:t>
            </w:r>
          </w:p>
        </w:tc>
        <w:tc>
          <w:tcPr/>
          <w:p w:rsidR="00000000" w:rsidDel="00000000" w:rsidP="00000000" w:rsidRDefault="00000000" w:rsidRPr="00000000" w14:paraId="00000260">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p w:rsidR="00000000" w:rsidDel="00000000" w:rsidP="00000000" w:rsidRDefault="00000000" w:rsidRPr="00000000" w14:paraId="00000261">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“Tax”</w:t>
            </w:r>
          </w:p>
        </w:tc>
        <w:tc>
          <w:tcPr/>
          <w:p w:rsidR="00000000" w:rsidDel="00000000" w:rsidP="00000000" w:rsidRDefault="00000000" w:rsidRPr="00000000" w14:paraId="00000262">
            <w:pPr>
              <w:numPr>
                <w:ilvl w:val="0"/>
                <w:numId w:val="15"/>
              </w:num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forms of taxation whether direct or indirect;</w:t>
            </w:r>
          </w:p>
          <w:p w:rsidR="00000000" w:rsidDel="00000000" w:rsidP="00000000" w:rsidRDefault="00000000" w:rsidRPr="00000000" w14:paraId="00000263">
            <w:pPr>
              <w:numPr>
                <w:ilvl w:val="0"/>
                <w:numId w:val="15"/>
              </w:num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264">
            <w:pPr>
              <w:numPr>
                <w:ilvl w:val="0"/>
                <w:numId w:val="15"/>
              </w:num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265">
            <w:pPr>
              <w:numPr>
                <w:ilvl w:val="0"/>
                <w:numId w:val="15"/>
              </w:num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penalty, fine, surcharge, interest, charges or costs relating to any of the above,</w:t>
            </w:r>
          </w:p>
          <w:p w:rsidR="00000000" w:rsidDel="00000000" w:rsidP="00000000" w:rsidRDefault="00000000" w:rsidRPr="00000000" w14:paraId="00000266">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67">
            <w:pPr>
              <w:spacing w:after="120" w:lineRule="auto"/>
              <w:ind w:left="-108" w:firstLine="249.7322834645668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"Termination Notice"</w:t>
            </w:r>
          </w:p>
        </w:tc>
        <w:tc>
          <w:tcPr/>
          <w:p w:rsidR="00000000" w:rsidDel="00000000" w:rsidP="00000000" w:rsidRDefault="00000000" w:rsidRPr="00000000" w14:paraId="00000268">
            <w:pPr>
              <w:tabs>
                <w:tab w:val="left" w:leader="none" w:pos="-179"/>
                <w:tab w:val="left" w:leader="none" w:pos="-9"/>
              </w:tabs>
              <w:spacing w:after="120" w:lineRule="auto"/>
              <w:ind w:left="170" w:hanging="28.26771653543318"/>
              <w:rPr>
                <w:rFonts w:ascii="Arial" w:cs="Arial" w:eastAsia="Arial" w:hAnsi="Arial"/>
                <w:sz w:val="24"/>
                <w:szCs w:val="24"/>
              </w:rPr>
            </w:pPr>
            <w:r w:rsidDel="00000000" w:rsidR="00000000" w:rsidRPr="00000000">
              <w:rPr>
                <w:rFonts w:ascii="Arial" w:cs="Arial" w:eastAsia="Arial" w:hAnsi="Arial"/>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69">
            <w:pPr>
              <w:spacing w:after="120" w:lineRule="auto"/>
              <w:ind w:left="-108" w:firstLine="249.7322834645668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Issue"</w:t>
            </w:r>
          </w:p>
        </w:tc>
        <w:tc>
          <w:tcPr/>
          <w:p w:rsidR="00000000" w:rsidDel="00000000" w:rsidP="00000000" w:rsidRDefault="00000000" w:rsidRPr="00000000" w14:paraId="0000026A">
            <w:pPr>
              <w:tabs>
                <w:tab w:val="left" w:leader="none" w:pos="-179"/>
                <w:tab w:val="left" w:leader="none" w:pos="-9"/>
              </w:tabs>
              <w:spacing w:after="120" w:lineRule="auto"/>
              <w:ind w:left="170" w:hanging="28.26771653543318"/>
              <w:rPr>
                <w:rFonts w:ascii="Arial" w:cs="Arial" w:eastAsia="Arial" w:hAnsi="Arial"/>
                <w:sz w:val="24"/>
                <w:szCs w:val="24"/>
              </w:rPr>
            </w:pPr>
            <w:r w:rsidDel="00000000" w:rsidR="00000000" w:rsidRPr="00000000">
              <w:rPr>
                <w:rFonts w:ascii="Arial" w:cs="Arial" w:eastAsia="Arial" w:hAnsi="Arial"/>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6B">
            <w:pPr>
              <w:spacing w:after="120" w:lineRule="auto"/>
              <w:ind w:left="-108" w:firstLine="249.7322834645668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Plan"</w:t>
            </w:r>
          </w:p>
        </w:tc>
        <w:tc>
          <w:tcPr/>
          <w:p w:rsidR="00000000" w:rsidDel="00000000" w:rsidP="00000000" w:rsidRDefault="00000000" w:rsidRPr="00000000" w14:paraId="0000026C">
            <w:pPr>
              <w:tabs>
                <w:tab w:val="left" w:leader="none" w:pos="-179"/>
                <w:tab w:val="left" w:leader="none" w:pos="-9"/>
              </w:tabs>
              <w:spacing w:after="120" w:lineRule="auto"/>
              <w:ind w:left="170" w:hanging="28.26771653543318"/>
              <w:rPr>
                <w:rFonts w:ascii="Arial" w:cs="Arial" w:eastAsia="Arial" w:hAnsi="Arial"/>
                <w:sz w:val="24"/>
                <w:szCs w:val="24"/>
              </w:rPr>
            </w:pPr>
            <w:r w:rsidDel="00000000" w:rsidR="00000000" w:rsidRPr="00000000">
              <w:rPr>
                <w:rFonts w:ascii="Arial" w:cs="Arial" w:eastAsia="Arial" w:hAnsi="Arial"/>
                <w:sz w:val="24"/>
                <w:szCs w:val="24"/>
                <w:rtl w:val="0"/>
              </w:rPr>
              <w:t xml:space="preserve">a plan:</w:t>
            </w:r>
          </w:p>
          <w:p w:rsidR="00000000" w:rsidDel="00000000" w:rsidP="00000000" w:rsidRDefault="00000000" w:rsidRPr="00000000" w14:paraId="0000026D">
            <w:pPr>
              <w:numPr>
                <w:ilvl w:val="1"/>
                <w:numId w:val="20"/>
              </w:numPr>
              <w:tabs>
                <w:tab w:val="left" w:leader="none" w:pos="-576"/>
                <w:tab w:val="left" w:leader="none" w:pos="141"/>
              </w:tabs>
              <w:spacing w:after="120" w:lineRule="auto"/>
              <w:ind w:left="432" w:hanging="290.26771653543324"/>
              <w:rPr>
                <w:sz w:val="24"/>
                <w:szCs w:val="24"/>
              </w:rPr>
            </w:pPr>
            <w:r w:rsidDel="00000000" w:rsidR="00000000" w:rsidRPr="00000000">
              <w:rPr>
                <w:rFonts w:ascii="Arial" w:cs="Arial" w:eastAsia="Arial" w:hAnsi="Arial"/>
                <w:sz w:val="24"/>
                <w:szCs w:val="24"/>
                <w:rtl w:val="0"/>
              </w:rPr>
              <w:t xml:space="preserve">for the Testing of the Deliverables; and </w:t>
            </w:r>
          </w:p>
          <w:p w:rsidR="00000000" w:rsidDel="00000000" w:rsidP="00000000" w:rsidRDefault="00000000" w:rsidRPr="00000000" w14:paraId="0000026E">
            <w:pPr>
              <w:numPr>
                <w:ilvl w:val="1"/>
                <w:numId w:val="20"/>
              </w:numPr>
              <w:tabs>
                <w:tab w:val="left" w:leader="none" w:pos="-576"/>
                <w:tab w:val="left" w:leader="none" w:pos="144"/>
              </w:tabs>
              <w:spacing w:after="120" w:lineRule="auto"/>
              <w:ind w:left="432" w:hanging="290.26771653543324"/>
              <w:rPr>
                <w:sz w:val="24"/>
                <w:szCs w:val="24"/>
              </w:rPr>
            </w:pPr>
            <w:r w:rsidDel="00000000" w:rsidR="00000000" w:rsidRPr="00000000">
              <w:rPr>
                <w:rFonts w:ascii="Arial" w:cs="Arial" w:eastAsia="Arial" w:hAnsi="Arial"/>
                <w:sz w:val="24"/>
                <w:szCs w:val="24"/>
                <w:rtl w:val="0"/>
              </w:rPr>
              <w:t xml:space="preserve">setting out other agreed criteria related to the achievement of Milestones;</w:t>
              <w:tab/>
              <w:tab/>
            </w:r>
          </w:p>
        </w:tc>
      </w:tr>
      <w:tr>
        <w:trPr>
          <w:cantSplit w:val="0"/>
          <w:tblHeader w:val="0"/>
        </w:trPr>
        <w:tc>
          <w:tcPr/>
          <w:p w:rsidR="00000000" w:rsidDel="00000000" w:rsidP="00000000" w:rsidRDefault="00000000" w:rsidRPr="00000000" w14:paraId="0000026F">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"Tests "</w:t>
            </w:r>
          </w:p>
        </w:tc>
        <w:tc>
          <w:tcPr/>
          <w:p w:rsidR="00000000" w:rsidDel="00000000" w:rsidP="00000000" w:rsidRDefault="00000000" w:rsidRPr="00000000" w14:paraId="00000270">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sz w:val="24"/>
                <w:szCs w:val="24"/>
                <w:rtl w:val="0"/>
              </w:rPr>
              <w:t xml:space="preserve">Tested</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Testing</w:t>
            </w:r>
            <w:r w:rsidDel="00000000" w:rsidR="00000000" w:rsidRPr="00000000">
              <w:rPr>
                <w:rFonts w:ascii="Arial" w:cs="Arial" w:eastAsia="Arial" w:hAnsi="Arial"/>
                <w:sz w:val="24"/>
                <w:szCs w:val="24"/>
                <w:rtl w:val="0"/>
              </w:rPr>
              <w:t xml:space="preserve">” shall be construed accordingly;</w:t>
            </w:r>
          </w:p>
        </w:tc>
      </w:tr>
      <w:tr>
        <w:trPr>
          <w:cantSplit w:val="0"/>
          <w:tblHeader w:val="0"/>
        </w:trPr>
        <w:tc>
          <w:tcPr/>
          <w:p w:rsidR="00000000" w:rsidDel="00000000" w:rsidP="00000000" w:rsidRDefault="00000000" w:rsidRPr="00000000" w14:paraId="00000271">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"Third Party IPR"</w:t>
            </w:r>
          </w:p>
        </w:tc>
        <w:tc>
          <w:tcPr/>
          <w:p w:rsidR="00000000" w:rsidDel="00000000" w:rsidP="00000000" w:rsidRDefault="00000000" w:rsidRPr="00000000" w14:paraId="00000272">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73">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"Transferring Supplier Employees"</w:t>
            </w:r>
          </w:p>
        </w:tc>
        <w:tc>
          <w:tcPr/>
          <w:p w:rsidR="00000000" w:rsidDel="00000000" w:rsidP="00000000" w:rsidRDefault="00000000" w:rsidRPr="00000000" w14:paraId="00000274">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75">
            <w:pPr>
              <w:keepNext w:val="1"/>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"Transparency Information"</w:t>
            </w:r>
          </w:p>
        </w:tc>
        <w:tc>
          <w:tcPr/>
          <w:p w:rsidR="00000000" w:rsidDel="00000000" w:rsidP="00000000" w:rsidRDefault="00000000" w:rsidRPr="00000000" w14:paraId="00000276">
            <w:pPr>
              <w:keepNext w:val="1"/>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277">
            <w:pPr>
              <w:keepNext w:val="1"/>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278">
            <w:pPr>
              <w:keepNext w:val="1"/>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(ii)</w:t>
              <w:tab/>
              <w:t xml:space="preserve">Commercially Sensitive Information;</w:t>
            </w:r>
          </w:p>
          <w:p w:rsidR="00000000" w:rsidDel="00000000" w:rsidP="00000000" w:rsidRDefault="00000000" w:rsidRPr="00000000" w14:paraId="00000279">
            <w:pPr>
              <w:keepNext w:val="1"/>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A">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"Transparency Reports"</w:t>
            </w:r>
          </w:p>
        </w:tc>
        <w:tc>
          <w:tcPr/>
          <w:p w:rsidR="00000000" w:rsidDel="00000000" w:rsidP="00000000" w:rsidRDefault="00000000" w:rsidRPr="00000000" w14:paraId="0000027B">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p w:rsidR="00000000" w:rsidDel="00000000" w:rsidP="00000000" w:rsidRDefault="00000000" w:rsidRPr="00000000" w14:paraId="0000027C">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"Variation"</w:t>
            </w:r>
          </w:p>
        </w:tc>
        <w:tc>
          <w:tcPr/>
          <w:p w:rsidR="00000000" w:rsidDel="00000000" w:rsidP="00000000" w:rsidRDefault="00000000" w:rsidRPr="00000000" w14:paraId="0000027D">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change to a Contract;</w:t>
            </w:r>
          </w:p>
        </w:tc>
      </w:tr>
      <w:tr>
        <w:trPr>
          <w:cantSplit w:val="0"/>
          <w:tblHeader w:val="0"/>
        </w:trPr>
        <w:tc>
          <w:tcPr/>
          <w:p w:rsidR="00000000" w:rsidDel="00000000" w:rsidP="00000000" w:rsidRDefault="00000000" w:rsidRPr="00000000" w14:paraId="0000027E">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"Variation Form"</w:t>
            </w:r>
          </w:p>
        </w:tc>
        <w:tc>
          <w:tcPr/>
          <w:p w:rsidR="00000000" w:rsidDel="00000000" w:rsidP="00000000" w:rsidRDefault="00000000" w:rsidRPr="00000000" w14:paraId="0000027F">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form set out in Joint Schedule 2 (Variation Form);</w:t>
            </w:r>
          </w:p>
        </w:tc>
      </w:tr>
      <w:tr>
        <w:trPr>
          <w:cantSplit w:val="0"/>
          <w:tblHeader w:val="0"/>
        </w:trPr>
        <w:tc>
          <w:tcPr/>
          <w:p w:rsidR="00000000" w:rsidDel="00000000" w:rsidP="00000000" w:rsidRDefault="00000000" w:rsidRPr="00000000" w14:paraId="00000280">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"Variation Procedure"</w:t>
            </w:r>
          </w:p>
        </w:tc>
        <w:tc>
          <w:tcPr/>
          <w:p w:rsidR="00000000" w:rsidDel="00000000" w:rsidP="00000000" w:rsidRDefault="00000000" w:rsidRPr="00000000" w14:paraId="00000281">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procedure set out in Clause 24 (Changing the contract);</w:t>
            </w:r>
          </w:p>
        </w:tc>
      </w:tr>
      <w:tr>
        <w:trPr>
          <w:cantSplit w:val="0"/>
          <w:tblHeader w:val="0"/>
        </w:trPr>
        <w:tc>
          <w:tcPr/>
          <w:p w:rsidR="00000000" w:rsidDel="00000000" w:rsidP="00000000" w:rsidRDefault="00000000" w:rsidRPr="00000000" w14:paraId="00000282">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"VAT"</w:t>
            </w:r>
          </w:p>
        </w:tc>
        <w:tc>
          <w:tcPr/>
          <w:p w:rsidR="00000000" w:rsidDel="00000000" w:rsidP="00000000" w:rsidRDefault="00000000" w:rsidRPr="00000000" w14:paraId="00000283">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84">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"VCSE"</w:t>
            </w:r>
          </w:p>
        </w:tc>
        <w:tc>
          <w:tcPr/>
          <w:p w:rsidR="00000000" w:rsidDel="00000000" w:rsidP="00000000" w:rsidRDefault="00000000" w:rsidRPr="00000000" w14:paraId="00000285">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86">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"Worker"</w:t>
            </w:r>
          </w:p>
        </w:tc>
        <w:tc>
          <w:tcPr/>
          <w:p w:rsidR="00000000" w:rsidDel="00000000" w:rsidP="00000000" w:rsidRDefault="00000000" w:rsidRPr="00000000" w14:paraId="00000287">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rPr>
          <w:cantSplit w:val="0"/>
          <w:tblHeader w:val="0"/>
        </w:trPr>
        <w:tc>
          <w:tcPr/>
          <w:p w:rsidR="00000000" w:rsidDel="00000000" w:rsidP="00000000" w:rsidRDefault="00000000" w:rsidRPr="00000000" w14:paraId="00000288">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"Working Day"</w:t>
            </w:r>
          </w:p>
        </w:tc>
        <w:tc>
          <w:tcPr/>
          <w:p w:rsidR="00000000" w:rsidDel="00000000" w:rsidP="00000000" w:rsidRDefault="00000000" w:rsidRPr="00000000" w14:paraId="00000289">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8A">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 Day"</w:t>
            </w:r>
          </w:p>
        </w:tc>
        <w:tc>
          <w:tcPr/>
          <w:p w:rsidR="00000000" w:rsidDel="00000000" w:rsidP="00000000" w:rsidRDefault="00000000" w:rsidRPr="00000000" w14:paraId="0000028B">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7.5 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8C">
            <w:pPr>
              <w:spacing w:after="120" w:lineRule="auto"/>
              <w:ind w:left="141.7322834645668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 Hours"</w:t>
            </w:r>
          </w:p>
        </w:tc>
        <w:tc>
          <w:tcPr/>
          <w:p w:rsidR="00000000" w:rsidDel="00000000" w:rsidP="00000000" w:rsidRDefault="00000000" w:rsidRPr="00000000" w14:paraId="0000028D">
            <w:pPr>
              <w:tabs>
                <w:tab w:val="left" w:leader="none" w:pos="-179"/>
                <w:tab w:val="left" w:leader="none" w:pos="-9"/>
              </w:tabs>
              <w:spacing w:after="120"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rtl w:val="0"/>
        </w:rPr>
        <w:tab/>
        <w:tab/>
      </w:r>
      <w:r w:rsidDel="00000000" w:rsidR="00000000" w:rsidRPr="00000000">
        <w:rPr>
          <w:rtl w:val="0"/>
        </w:rPr>
      </w:r>
    </w:p>
    <w:p w:rsidR="00000000" w:rsidDel="00000000" w:rsidP="00000000" w:rsidRDefault="00000000" w:rsidRPr="00000000" w14:paraId="0000028F">
      <w:pPr>
        <w:spacing w:after="0" w:line="240" w:lineRule="auto"/>
        <w:rPr>
          <w:rFonts w:ascii="Arial" w:cs="Arial" w:eastAsia="Arial" w:hAnsi="Arial"/>
          <w:sz w:val="24"/>
          <w:szCs w:val="24"/>
        </w:rPr>
      </w:pPr>
      <w:bookmarkStart w:colFirst="0" w:colLast="0" w:name="_heading=h.gjdgxs" w:id="4"/>
      <w:bookmarkEnd w:id="4"/>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4">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v3.12</w:t>
      <w:tab/>
    </w:r>
    <w:r w:rsidDel="00000000" w:rsidR="00000000" w:rsidRPr="00000000">
      <w:rPr>
        <w:rFonts w:ascii="Arial" w:cs="Arial" w:eastAsia="Arial" w:hAnsi="Arial"/>
        <w:color w:val="bfbfbf"/>
        <w:sz w:val="20"/>
        <w:szCs w:val="20"/>
        <w:rtl w:val="0"/>
      </w:rPr>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7">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w:t>
    </w:r>
  </w:p>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2023</w:t>
    </w:r>
    <w:r w:rsidDel="00000000" w:rsidR="00000000" w:rsidRPr="00000000">
      <w:rPr>
        <w:rFonts w:ascii="Arial" w:cs="Arial" w:eastAsia="Arial" w:hAnsi="Arial"/>
        <w:color w:val="bfbfbf"/>
        <w:sz w:val="20"/>
        <w:szCs w:val="2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141.7322834645671" w:firstLine="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1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644" w:hanging="357.9999999999998"/>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2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val="1"/>
    <w:rsid w:val="004E36B0"/>
    <w:pPr>
      <w:widowControl w:val="0"/>
      <w:tabs>
        <w:tab w:val="num" w:pos="709"/>
      </w:tabs>
      <w:spacing w:after="220" w:line="240" w:lineRule="auto"/>
      <w:ind w:left="709" w:hanging="709"/>
      <w:jc w:val="both"/>
      <w:outlineLvl w:val="1"/>
    </w:pPr>
    <w:rPr>
      <w:rFonts w:ascii="Trebuchet MS" w:cs="Arial" w:eastAsia="Times New Roman" w:hAnsi="Trebuchet MS"/>
      <w:bCs w:val="1"/>
      <w:iCs w:val="1"/>
      <w:sz w:val="20"/>
      <w:szCs w:val="28"/>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odyText1" w:customStyle="1">
    <w:name w:val="Body Text 1"/>
    <w:basedOn w:val="BodyText"/>
    <w:pPr>
      <w:autoSpaceDN w:val="0"/>
      <w:spacing w:after="240" w:line="360" w:lineRule="auto"/>
      <w:ind w:left="851"/>
    </w:pPr>
    <w:rPr>
      <w:rFonts w:ascii="Arial" w:cs="Times New Roman" w:eastAsia="Times New Roman" w:hAnsi="Arial"/>
      <w:sz w:val="20"/>
      <w:szCs w:val="20"/>
    </w:rPr>
  </w:style>
  <w:style w:type="paragraph" w:styleId="BodyText">
    <w:name w:val="Body Text"/>
    <w:basedOn w:val="Normal"/>
    <w:link w:val="BodyTextChar"/>
    <w:uiPriority w:val="99"/>
    <w:unhideWhenUsed w:val="1"/>
    <w:pPr>
      <w:spacing w:after="120"/>
    </w:pPr>
  </w:style>
  <w:style w:type="character" w:styleId="BodyTextChar" w:customStyle="1">
    <w:name w:val="Body Text Char"/>
    <w:basedOn w:val="DefaultParagraphFont"/>
    <w:link w:val="BodyText"/>
    <w:uiPriority w:val="99"/>
  </w:style>
  <w:style w:type="paragraph" w:styleId="ListParagraph">
    <w:name w:val="List Paragraph"/>
    <w:basedOn w:val="Normal"/>
    <w:uiPriority w:val="34"/>
    <w:qFormat w:val="1"/>
    <w:pPr>
      <w:suppressAutoHyphens w:val="1"/>
      <w:autoSpaceDN w:val="0"/>
      <w:ind w:left="720"/>
      <w:textAlignment w:val="baseline"/>
    </w:pPr>
    <w:rPr>
      <w:rFonts w:cs="Times New Roman"/>
    </w:rPr>
  </w:style>
  <w:style w:type="character" w:styleId="Emphasis">
    <w:name w:val="Emphasis"/>
    <w:basedOn w:val="DefaultParagraphFont"/>
    <w:rPr>
      <w:i w:val="1"/>
      <w:iCs w:val="1"/>
    </w:rPr>
  </w:style>
  <w:style w:type="paragraph" w:styleId="GPSDefinitionL2" w:customStyle="1">
    <w:name w:val="GPS Definition L2"/>
    <w:basedOn w:val="Normal"/>
    <w:link w:val="GPSDefinitionL2Char"/>
    <w:qFormat w:val="1"/>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Definition" w:customStyle="1">
    <w:name w:val="GPs Definition"/>
    <w:basedOn w:val="Normal"/>
    <w:uiPriority w:val="99"/>
    <w:qFormat w:val="1"/>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paragraph" w:styleId="GPSDefinitionL3" w:customStyle="1">
    <w:name w:val="GPS Definition L3"/>
    <w:basedOn w:val="GPSDefinitionL2"/>
    <w:link w:val="GPSDefinitionL3Char"/>
    <w:qFormat w:val="1"/>
  </w:style>
  <w:style w:type="paragraph" w:styleId="GPSDefinitionL4" w:customStyle="1">
    <w:name w:val="GPS Definition L4"/>
    <w:basedOn w:val="GPSDefinitionL3"/>
    <w:qFormat w:val="1"/>
    <w:pPr>
      <w:numPr>
        <w:numId w:val="1"/>
      </w:numPr>
      <w:tabs>
        <w:tab w:val="clear" w:pos="-576"/>
        <w:tab w:val="left" w:pos="-2316"/>
        <w:tab w:val="left" w:pos="-2100"/>
      </w:tabs>
    </w:pPr>
  </w:style>
  <w:style w:type="numbering" w:styleId="LFO12" w:customStyle="1">
    <w:name w:val="LFO12"/>
    <w:basedOn w:val="NoList"/>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character" w:styleId="CommentSubjectChar" w:customStyle="1">
    <w:name w:val="Comment Subject Char"/>
    <w:basedOn w:val="CommentTextChar"/>
    <w:link w:val="CommentSubject"/>
    <w:semiHidden w:val="1"/>
    <w:rPr>
      <w:b w:val="1"/>
      <w:bCs w:val="1"/>
      <w:sz w:val="20"/>
      <w:szCs w:val="20"/>
    </w:rPr>
  </w:style>
  <w:style w:type="paragraph" w:styleId="Revision">
    <w:name w:val="Revision"/>
    <w:hidden w:val="1"/>
    <w:uiPriority w:val="99"/>
    <w:semiHidden w:val="1"/>
    <w:pPr>
      <w:spacing w:after="0" w:line="240" w:lineRule="auto"/>
    </w:p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GuidanceNumbered" w:customStyle="1">
    <w:name w:val="GPS L2 Guidance Numbered"/>
    <w:basedOn w:val="Normal"/>
    <w:link w:val="GPSL2GuidanceNumberedChar"/>
    <w:qFormat w:val="1"/>
    <w:pPr>
      <w:numPr>
        <w:numId w:val="4"/>
      </w:numPr>
      <w:tabs>
        <w:tab w:val="left" w:pos="1418"/>
      </w:tabs>
      <w:adjustRightInd w:val="0"/>
      <w:spacing w:after="120" w:before="120" w:line="240" w:lineRule="auto"/>
      <w:jc w:val="both"/>
    </w:pPr>
    <w:rPr>
      <w:rFonts w:ascii="Arial" w:cs="Arial" w:eastAsia="Times New Roman" w:hAnsi="Arial"/>
      <w:b w:val="1"/>
      <w:i w:val="1"/>
      <w:lang w:eastAsia="zh-CN"/>
    </w:rPr>
  </w:style>
  <w:style w:type="character" w:styleId="GPSL2GuidanceNumberedChar" w:customStyle="1">
    <w:name w:val="GPS L2 Guidance Numbered Char"/>
    <w:link w:val="GPSL2GuidanceNumbered"/>
    <w:rPr>
      <w:rFonts w:ascii="Arial" w:cs="Arial" w:eastAsia="Times New Roman" w:hAnsi="Arial"/>
      <w:b w:val="1"/>
      <w:i w:val="1"/>
      <w:lang w:eastAsia="zh-CN"/>
    </w:rPr>
  </w:style>
  <w:style w:type="paragraph" w:styleId="GPSDefinitionTerm" w:customStyle="1">
    <w:name w:val="GPS Definition Term"/>
    <w:basedOn w:val="Normal"/>
    <w:uiPriority w:val="99"/>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character" w:styleId="GPSDefinitionL2Char" w:customStyle="1">
    <w:name w:val="GPS Definition L2 Char"/>
    <w:link w:val="GPSDefinitionL2"/>
    <w:rPr>
      <w:rFonts w:ascii="Arial" w:cs="Arial" w:eastAsia="Times New Roman" w:hAnsi="Arial"/>
    </w:rPr>
  </w:style>
  <w:style w:type="character" w:styleId="GPSDefinitionL3Char" w:customStyle="1">
    <w:name w:val="GPS Definition L3 Char"/>
    <w:link w:val="GPSDefinitionL3"/>
    <w:rPr>
      <w:rFonts w:ascii="Arial" w:cs="Arial" w:eastAsia="Times New Roman" w:hAnsi="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val="1"/>
    <w:locked w:val="1"/>
    <w:rPr>
      <w:rFonts w:ascii="Calibri" w:hAnsi="Calibri"/>
      <w:b w:val="1"/>
      <w:lang w:eastAsia="en-GB" w:val="en-GB"/>
    </w:rPr>
  </w:style>
  <w:style w:type="paragraph" w:styleId="GPSL1CLAUSEHEADING" w:customStyle="1">
    <w:name w:val="GPS L1 CLAUSE HEADING"/>
    <w:basedOn w:val="Normal"/>
    <w:next w:val="Normal"/>
    <w:qFormat w:val="1"/>
    <w:pPr>
      <w:numPr>
        <w:numId w:val="6"/>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6"/>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pPr>
  </w:style>
  <w:style w:type="paragraph" w:styleId="GPSL6numbered" w:customStyle="1">
    <w:name w:val="GPS L6 numbered"/>
    <w:basedOn w:val="GPSL5numberedclause"/>
    <w:qFormat w:val="1"/>
    <w:pPr>
      <w:numPr>
        <w:ilvl w:val="5"/>
      </w:numPr>
      <w:tabs>
        <w:tab w:val="left" w:pos="4253"/>
      </w:tabs>
      <w:ind w:left="4253" w:hanging="709"/>
    </w:p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ORDERFORML1PraraNo" w:customStyle="1">
    <w:name w:val="ORDER FORM L1 Prara No"/>
    <w:basedOn w:val="Normal"/>
    <w:qFormat w:val="1"/>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cs="Times New Roman"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LFO5" w:customStyle="1">
    <w:name w:val="LFO5"/>
    <w:basedOn w:val="NoList"/>
  </w:style>
  <w:style w:type="paragraph" w:styleId="Guidancenoteparagraphtext" w:customStyle="1">
    <w:name w:val="Guidance note paragraph text"/>
    <w:basedOn w:val="Normal"/>
    <w:link w:val="GuidancenoteparagraphtextChar"/>
    <w:qFormat w:val="1"/>
    <w:pPr>
      <w:spacing w:after="240" w:line="240" w:lineRule="auto"/>
      <w:ind w:left="709"/>
      <w:jc w:val="both"/>
    </w:pPr>
    <w:rPr>
      <w:rFonts w:ascii="Arial" w:cs="Times New Roman"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cs="Times New Roman" w:eastAsia="STZhongsong" w:hAnsi="Arial"/>
      <w:b w:val="1"/>
      <w:i w:val="1"/>
      <w:color w:val="000000"/>
      <w:sz w:val="20"/>
      <w:szCs w:val="24"/>
      <w:lang w:eastAsia="zh-CN"/>
    </w:rPr>
  </w:style>
  <w:style w:type="paragraph" w:styleId="GPSL2Numbered" w:customStyle="1">
    <w:name w:val="GPS L2 Numbered"/>
    <w:basedOn w:val="Normal"/>
    <w:pPr>
      <w:tabs>
        <w:tab w:val="left" w:pos="709"/>
        <w:tab w:val="left" w:pos="1134"/>
      </w:tabs>
      <w:autoSpaceDN w:val="0"/>
      <w:spacing w:after="120" w:before="120" w:line="240" w:lineRule="auto"/>
      <w:ind w:left="1494" w:hanging="360"/>
      <w:jc w:val="both"/>
    </w:pPr>
    <w:rPr>
      <w:rFonts w:cs="Arial" w:eastAsia="Times New Roman"/>
      <w:lang w:eastAsia="zh-CN"/>
    </w:rPr>
  </w:style>
  <w:style w:type="paragraph" w:styleId="tabletxt" w:customStyle="1">
    <w:name w:val="tabletxt"/>
    <w:basedOn w:val="Normal"/>
    <w:pPr>
      <w:autoSpaceDE w:val="0"/>
      <w:autoSpaceDN w:val="0"/>
      <w:adjustRightInd w:val="0"/>
      <w:spacing w:after="20" w:before="20" w:line="240" w:lineRule="auto"/>
      <w:jc w:val="both"/>
    </w:pPr>
    <w:rPr>
      <w:rFonts w:ascii="Times New Roman" w:cs="Arial" w:eastAsia="Times New Roman" w:hAnsi="Times New Roman"/>
      <w:sz w:val="20"/>
      <w:szCs w:val="20"/>
      <w:lang w:val="en-US"/>
    </w:rPr>
  </w:style>
  <w:style w:type="paragraph" w:styleId="Tabletext" w:customStyle="1">
    <w:name w:val="Tabletext"/>
    <w:basedOn w:val="Normal"/>
    <w:pPr>
      <w:keepLines w:val="1"/>
      <w:widowControl w:val="0"/>
      <w:spacing w:after="0" w:line="240" w:lineRule="atLeast"/>
    </w:pPr>
    <w:rPr>
      <w:rFonts w:ascii="Arial" w:cs="Times New Roman" w:eastAsia="Times New Roman" w:hAnsi="Arial"/>
      <w:sz w:val="20"/>
      <w:szCs w:val="20"/>
      <w:lang w:val="en-US"/>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cs="Arial" w:eastAsia="Times New Roman" w:hAnsi="Trebuchet MS"/>
      <w:bCs w:val="1"/>
      <w:iCs w:val="1"/>
      <w:sz w:val="20"/>
      <w:szCs w:val="2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pPr>
      <w:spacing w:after="0" w:line="240" w:lineRule="auto"/>
    </w:pPr>
    <w:rPr>
      <w:sz w:val="20"/>
      <w:szCs w:val="20"/>
    </w:rPr>
    <w:tblPr>
      <w:tblStyleRowBandSize w:val="1"/>
      <w:tblStyleColBandSize w:val="1"/>
    </w:tblPr>
  </w:style>
  <w:style w:type="table" w:styleId="a2"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3"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4" w:customStyle="1">
    <w:basedOn w:val="TableNormal"/>
    <w:pPr>
      <w:spacing w:after="0" w:line="240" w:lineRule="auto"/>
    </w:pPr>
    <w:rPr>
      <w:sz w:val="20"/>
      <w:szCs w:val="20"/>
    </w:r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ir35-find-out-if-it-applies" TargetMode="External"/><Relationship Id="rId8"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THfc7Kq92lmm72yV1ngpyWZpw==">CgMxLjAyCWguMmV0OTJwMDIJaC4zMGowemxsMgloLjFmb2I5dGUyCWguM3pueXNoNzIIaC5namRneHM4AHIhMURramhTVm40R3FEVTdpQ3J1MEUybmZnVDdxcGZ5d3My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2023-01-29T23:28:00Z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